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February 29, 2000.</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Registration No. 333-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FORM S-8</w:t>
      </w:r>
    </w:p>
    <w:p>
      <w:pPr>
        <w:jc w:val="center"/>
        <w:ind w:right="1699"/>
        <w:spacing w:after="0" w:line="238" w:lineRule="auto"/>
        <w:rPr>
          <w:sz w:val="20"/>
          <w:szCs w:val="20"/>
          <w:color w:val="auto"/>
        </w:rPr>
      </w:pPr>
      <w:r>
        <w:rPr>
          <w:rFonts w:ascii="Courier New" w:cs="Courier New" w:eastAsia="Courier New" w:hAnsi="Courier New"/>
          <w:sz w:val="18"/>
          <w:szCs w:val="18"/>
          <w:color w:val="auto"/>
        </w:rPr>
        <w:t>REGISTRATION STATEMENT</w:t>
      </w: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2740" w:type="dxa"/>
            <w:vAlign w:val="bottom"/>
          </w:tcPr>
          <w:p>
            <w:pPr>
              <w:jc w:val="center"/>
              <w:ind w:left="2112"/>
              <w:spacing w:after="0" w:line="171" w:lineRule="exact"/>
              <w:rPr>
                <w:sz w:val="20"/>
                <w:szCs w:val="20"/>
                <w:color w:val="auto"/>
              </w:rPr>
            </w:pPr>
            <w:r>
              <w:rPr>
                <w:rFonts w:ascii="Courier New" w:cs="Courier New" w:eastAsia="Courier New" w:hAnsi="Courier New"/>
                <w:sz w:val="18"/>
                <w:szCs w:val="18"/>
                <w:color w:val="auto"/>
                <w:w w:val="99"/>
              </w:rPr>
              <w:t>UNDER</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900" w:type="dxa"/>
            <w:vAlign w:val="bottom"/>
            <w:gridSpan w:val="2"/>
          </w:tcPr>
          <w:p>
            <w:pPr>
              <w:jc w:val="center"/>
              <w:ind w:left="852"/>
              <w:spacing w:after="0" w:line="203" w:lineRule="exact"/>
              <w:rPr>
                <w:sz w:val="20"/>
                <w:szCs w:val="20"/>
                <w:color w:val="auto"/>
              </w:rPr>
            </w:pPr>
            <w:r>
              <w:rPr>
                <w:rFonts w:ascii="Courier New" w:cs="Courier New" w:eastAsia="Courier New" w:hAnsi="Courier New"/>
                <w:sz w:val="18"/>
                <w:szCs w:val="18"/>
                <w:color w:val="auto"/>
                <w:w w:val="96"/>
              </w:rPr>
              <w:t>THE SECURITIES ACT OF 1933</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900" w:type="dxa"/>
            <w:vAlign w:val="bottom"/>
            <w:gridSpan w:val="2"/>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Honeywell International Inc.</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380" w:type="dxa"/>
            <w:vAlign w:val="bottom"/>
            <w:gridSpan w:val="4"/>
          </w:tcPr>
          <w:p>
            <w:pPr>
              <w:jc w:val="center"/>
              <w:ind w:left="972"/>
              <w:spacing w:after="0"/>
              <w:rPr>
                <w:sz w:val="20"/>
                <w:szCs w:val="20"/>
                <w:color w:val="auto"/>
              </w:rPr>
            </w:pPr>
            <w:r>
              <w:rPr>
                <w:rFonts w:ascii="Courier New" w:cs="Courier New" w:eastAsia="Courier New" w:hAnsi="Courier New"/>
                <w:sz w:val="18"/>
                <w:szCs w:val="18"/>
                <w:color w:val="auto"/>
                <w:w w:val="97"/>
              </w:rPr>
              <w:t>(Exact name of registrant as specified in its charter)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9"/>
        </w:trPr>
        <w:tc>
          <w:tcPr>
            <w:tcW w:w="1800" w:type="dxa"/>
            <w:vAlign w:val="bottom"/>
          </w:tcPr>
          <w:p>
            <w:pPr>
              <w:spacing w:after="0"/>
              <w:rPr>
                <w:sz w:val="24"/>
                <w:szCs w:val="24"/>
                <w:color w:val="auto"/>
              </w:rPr>
            </w:pPr>
          </w:p>
        </w:tc>
        <w:tc>
          <w:tcPr>
            <w:tcW w:w="2740" w:type="dxa"/>
            <w:vAlign w:val="bottom"/>
          </w:tcPr>
          <w:p>
            <w:pPr>
              <w:jc w:val="right"/>
              <w:ind w:right="1812"/>
              <w:spacing w:after="0"/>
              <w:rPr>
                <w:sz w:val="20"/>
                <w:szCs w:val="20"/>
                <w:color w:val="auto"/>
              </w:rPr>
            </w:pPr>
            <w:r>
              <w:rPr>
                <w:rFonts w:ascii="Courier New" w:cs="Courier New" w:eastAsia="Courier New" w:hAnsi="Courier New"/>
                <w:sz w:val="18"/>
                <w:szCs w:val="18"/>
                <w:color w:val="auto"/>
                <w:w w:val="94"/>
              </w:rPr>
              <w:t>Delaware</w:t>
            </w:r>
          </w:p>
        </w:tc>
        <w:tc>
          <w:tcPr>
            <w:tcW w:w="11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22-2640650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(I.R.S. Employer</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of incorporation or organization)</w:t>
            </w:r>
          </w:p>
        </w:tc>
        <w:tc>
          <w:tcPr>
            <w:tcW w:w="410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Identification Number)</w:t>
            </w:r>
          </w:p>
        </w:tc>
        <w:tc>
          <w:tcPr>
            <w:tcW w:w="0" w:type="dxa"/>
            <w:vAlign w:val="bottom"/>
          </w:tcPr>
          <w:p>
            <w:pPr>
              <w:spacing w:after="0"/>
              <w:rPr>
                <w:sz w:val="1"/>
                <w:szCs w:val="1"/>
                <w:color w:val="auto"/>
              </w:rPr>
            </w:pPr>
          </w:p>
        </w:tc>
      </w:tr>
      <w:tr>
        <w:trPr>
          <w:trHeight w:val="311"/>
        </w:trPr>
        <w:tc>
          <w:tcPr>
            <w:tcW w:w="4540" w:type="dxa"/>
            <w:vAlign w:val="bottom"/>
            <w:gridSpan w:val="2"/>
          </w:tcPr>
          <w:p>
            <w:pPr>
              <w:ind w:left="1480"/>
              <w:spacing w:after="0"/>
              <w:rPr>
                <w:sz w:val="20"/>
                <w:szCs w:val="20"/>
                <w:color w:val="auto"/>
              </w:rPr>
            </w:pPr>
            <w:r>
              <w:rPr>
                <w:rFonts w:ascii="Courier New" w:cs="Courier New" w:eastAsia="Courier New" w:hAnsi="Courier New"/>
                <w:sz w:val="18"/>
                <w:szCs w:val="18"/>
                <w:color w:val="auto"/>
              </w:rPr>
              <w:t>P.O. Box 4000</w:t>
            </w:r>
          </w:p>
        </w:tc>
        <w:tc>
          <w:tcPr>
            <w:tcW w:w="1160" w:type="dxa"/>
            <w:vAlign w:val="bottom"/>
          </w:tcPr>
          <w:p>
            <w:pPr>
              <w:spacing w:after="0"/>
              <w:rPr>
                <w:sz w:val="24"/>
                <w:szCs w:val="24"/>
                <w:color w:val="auto"/>
              </w:rPr>
            </w:pPr>
          </w:p>
        </w:tc>
        <w:tc>
          <w:tcPr>
            <w:tcW w:w="16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07962-2497</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Morristown, New Jersey</w:t>
            </w:r>
          </w:p>
        </w:tc>
        <w:tc>
          <w:tcPr>
            <w:tcW w:w="116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(Address of Principal Executive Offices)</w:t>
            </w:r>
          </w:p>
        </w:tc>
        <w:tc>
          <w:tcPr>
            <w:tcW w:w="1160" w:type="dxa"/>
            <w:vAlign w:val="bottom"/>
          </w:tcPr>
          <w:p>
            <w:pPr>
              <w:spacing w:after="0"/>
              <w:rPr>
                <w:sz w:val="24"/>
                <w:szCs w:val="2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(Zip Code)</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1800" w:type="dxa"/>
            <w:vAlign w:val="bottom"/>
          </w:tcPr>
          <w:p>
            <w:pPr>
              <w:spacing w:after="0"/>
              <w:rPr>
                <w:sz w:val="24"/>
                <w:szCs w:val="24"/>
                <w:color w:val="auto"/>
              </w:rPr>
            </w:pPr>
          </w:p>
        </w:tc>
        <w:tc>
          <w:tcPr>
            <w:tcW w:w="3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5580" w:type="dxa"/>
            <w:vAlign w:val="bottom"/>
            <w:gridSpan w:val="3"/>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Honeywell Savings and Stock Ownership Plan</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900" w:type="dxa"/>
            <w:vAlign w:val="bottom"/>
            <w:gridSpan w:val="2"/>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(Full title of the plan)</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900" w:type="dxa"/>
            <w:vAlign w:val="bottom"/>
            <w:gridSpan w:val="2"/>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PETER M. KREINDLER, ESQ.</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5580" w:type="dxa"/>
            <w:vAlign w:val="bottom"/>
            <w:gridSpan w:val="3"/>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Senior Vice President and General Counsel</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900" w:type="dxa"/>
            <w:vAlign w:val="bottom"/>
            <w:gridSpan w:val="2"/>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Honeywell International Inc.</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900" w:type="dxa"/>
            <w:vAlign w:val="bottom"/>
            <w:gridSpan w:val="2"/>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101 Columbia Road Morris</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5580" w:type="dxa"/>
            <w:vAlign w:val="bottom"/>
            <w:gridSpan w:val="3"/>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Township, New Jersey 07962-2497 (Name and</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5580" w:type="dxa"/>
            <w:vAlign w:val="bottom"/>
            <w:gridSpan w:val="3"/>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address of agent for service)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900" w:type="dxa"/>
            <w:vAlign w:val="bottom"/>
            <w:gridSpan w:val="2"/>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(973) 455-2000</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gridSpan w:val="4"/>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(Telephone number, including area code of agent for service)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4"/>
                <w:szCs w:val="24"/>
                <w:color w:val="auto"/>
              </w:rPr>
            </w:pPr>
          </w:p>
        </w:tc>
        <w:tc>
          <w:tcPr>
            <w:tcW w:w="5580" w:type="dxa"/>
            <w:vAlign w:val="bottom"/>
            <w:gridSpan w:val="3"/>
          </w:tcPr>
          <w:p>
            <w:pPr>
              <w:jc w:val="center"/>
              <w:ind w:right="552"/>
              <w:spacing w:after="0"/>
              <w:rPr>
                <w:sz w:val="20"/>
                <w:szCs w:val="20"/>
                <w:color w:val="auto"/>
              </w:rPr>
            </w:pPr>
            <w:r>
              <w:rPr>
                <w:rFonts w:ascii="Courier New" w:cs="Courier New" w:eastAsia="Courier New" w:hAnsi="Courier New"/>
                <w:sz w:val="18"/>
                <w:szCs w:val="18"/>
                <w:color w:val="auto"/>
                <w:w w:val="97"/>
              </w:rPr>
              <w:t>CALCULATION OF REGISTRATION FEE</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1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Title of</w:t>
            </w:r>
          </w:p>
        </w:tc>
        <w:tc>
          <w:tcPr>
            <w:tcW w:w="27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Proposed</w:t>
            </w:r>
          </w:p>
        </w:tc>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Proposed</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maximum</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maximum</w:t>
            </w:r>
          </w:p>
        </w:tc>
        <w:tc>
          <w:tcPr>
            <w:tcW w:w="1260" w:type="dxa"/>
            <w:vAlign w:val="bottom"/>
            <w:vMerge w:val="restart"/>
          </w:tcPr>
          <w:p>
            <w:pPr>
              <w:spacing w:after="0"/>
              <w:rPr>
                <w:sz w:val="20"/>
                <w:szCs w:val="20"/>
                <w:color w:val="auto"/>
              </w:rPr>
            </w:pPr>
            <w:r>
              <w:rPr>
                <w:rFonts w:ascii="Courier New" w:cs="Courier New" w:eastAsia="Courier New" w:hAnsi="Courier New"/>
                <w:sz w:val="18"/>
                <w:szCs w:val="18"/>
                <w:color w:val="auto"/>
              </w:rPr>
              <w:t>Amount of</w:t>
            </w:r>
          </w:p>
        </w:tc>
        <w:tc>
          <w:tcPr>
            <w:tcW w:w="0" w:type="dxa"/>
            <w:vAlign w:val="bottom"/>
          </w:tcPr>
          <w:p>
            <w:pPr>
              <w:spacing w:after="0"/>
              <w:rPr>
                <w:sz w:val="1"/>
                <w:szCs w:val="1"/>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securities</w:t>
            </w:r>
          </w:p>
        </w:tc>
        <w:tc>
          <w:tcPr>
            <w:tcW w:w="274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Amount to be</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offering</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aggregate</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be</w:t>
            </w:r>
          </w:p>
        </w:tc>
        <w:tc>
          <w:tcPr>
            <w:tcW w:w="2740" w:type="dxa"/>
            <w:vAlign w:val="bottom"/>
            <w:vMerge w:val="continue"/>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price per</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offering</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registration</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 (1)</w:t>
            </w:r>
          </w:p>
        </w:tc>
        <w:tc>
          <w:tcPr>
            <w:tcW w:w="2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Registered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(2)</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price (2)</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fee (2)</w:t>
            </w: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1800" w:type="dxa"/>
            <w:vAlign w:val="bottom"/>
          </w:tcPr>
          <w:p>
            <w:pPr>
              <w:spacing w:after="0"/>
              <w:rPr>
                <w:sz w:val="20"/>
                <w:szCs w:val="20"/>
                <w:color w:val="auto"/>
              </w:rPr>
            </w:pPr>
            <w:r>
              <w:rPr>
                <w:rFonts w:ascii="Courier New" w:cs="Courier New" w:eastAsia="Courier New" w:hAnsi="Courier New"/>
                <w:sz w:val="18"/>
                <w:szCs w:val="18"/>
                <w:color w:val="auto"/>
                <w:w w:val="96"/>
              </w:rPr>
              <w:t>Common Stock, par</w:t>
            </w:r>
          </w:p>
        </w:tc>
        <w:tc>
          <w:tcPr>
            <w:tcW w:w="2740" w:type="dxa"/>
            <w:vAlign w:val="bottom"/>
          </w:tcPr>
          <w:p>
            <w:pPr>
              <w:spacing w:after="0"/>
              <w:rPr>
                <w:sz w:val="24"/>
                <w:szCs w:val="24"/>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5"/>
              </w:rPr>
              <w:t>$44.625</w:t>
            </w:r>
          </w:p>
        </w:tc>
        <w:tc>
          <w:tcPr>
            <w:tcW w:w="16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$6,247,500</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$1,649.34</w:t>
            </w:r>
          </w:p>
        </w:tc>
        <w:tc>
          <w:tcPr>
            <w:tcW w:w="0" w:type="dxa"/>
            <w:vAlign w:val="bottom"/>
          </w:tcPr>
          <w:p>
            <w:pPr>
              <w:spacing w:after="0"/>
              <w:rPr>
                <w:sz w:val="1"/>
                <w:szCs w:val="1"/>
                <w:color w:val="auto"/>
              </w:rPr>
            </w:pPr>
          </w:p>
        </w:tc>
      </w:tr>
      <w:tr>
        <w:trPr>
          <w:trHeight w:val="296"/>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Value $1.00 per share (3) 140,000 sh.</w:t>
            </w:r>
          </w:p>
        </w:tc>
        <w:tc>
          <w:tcPr>
            <w:tcW w:w="116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4" w:lineRule="exact"/>
        <w:rPr>
          <w:sz w:val="24"/>
          <w:szCs w:val="24"/>
          <w:color w:val="auto"/>
        </w:rPr>
      </w:pPr>
    </w:p>
    <w:p>
      <w:pPr>
        <w:ind w:left="640" w:right="1699" w:hanging="632"/>
        <w:spacing w:after="0" w:line="292"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pursuant to Rule 416(c) of the Securities Act of 1933, this registration statement also covers an indeterminate amount of interests to be offered or sold pursuant to the plan.</w:t>
      </w:r>
    </w:p>
    <w:p>
      <w:pPr>
        <w:spacing w:after="0" w:line="65" w:lineRule="exact"/>
        <w:rPr>
          <w:rFonts w:ascii="Courier New" w:cs="Courier New" w:eastAsia="Courier New" w:hAnsi="Courier New"/>
          <w:sz w:val="18"/>
          <w:szCs w:val="18"/>
          <w:color w:val="auto"/>
        </w:rPr>
      </w:pPr>
    </w:p>
    <w:p>
      <w:pPr>
        <w:ind w:left="640" w:right="1919" w:hanging="632"/>
        <w:spacing w:after="0" w:line="274"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in accordance with Rule 457(h) of the Act, solely for the purpose of calculating the registration fee. $44.625 represents the average of the high and low sales prices of common stock on the New York Stock Exchange Composite Tape on February 24, 2000.</w:t>
      </w:r>
    </w:p>
    <w:p>
      <w:pPr>
        <w:spacing w:after="0" w:line="81" w:lineRule="exact"/>
        <w:rPr>
          <w:rFonts w:ascii="Courier New" w:cs="Courier New" w:eastAsia="Courier New" w:hAnsi="Courier New"/>
          <w:sz w:val="18"/>
          <w:szCs w:val="18"/>
          <w:color w:val="auto"/>
        </w:rPr>
      </w:pPr>
    </w:p>
    <w:p>
      <w:pPr>
        <w:ind w:left="640" w:right="2019" w:hanging="632"/>
        <w:spacing w:after="0" w:line="292"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being registered consist of shares of common stock to be acquired by the plan trustee pursuant to the plan for the account of participants.</w:t>
      </w:r>
    </w:p>
    <w:p>
      <w:pPr>
        <w:sectPr>
          <w:pgSz w:w="11900" w:h="16838" w:orient="portrait"/>
          <w:cols w:equalWidth="0" w:num="1">
            <w:col w:w="10139"/>
          </w:cols>
          <w:pgMar w:left="320" w:top="1406" w:right="1440" w:bottom="556" w:gutter="0" w:footer="0" w:header="0"/>
        </w:sectPr>
      </w:pPr>
    </w:p>
    <w:bookmarkStart w:id="1" w:name="page2"/>
    <w:bookmarkEnd w:id="1"/>
    <w:p>
      <w:pPr>
        <w:jc w:val="center"/>
        <w:ind w:right="169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1" w:lineRule="exact"/>
        <w:rPr>
          <w:sz w:val="20"/>
          <w:szCs w:val="20"/>
          <w:color w:val="auto"/>
        </w:rPr>
      </w:pPr>
    </w:p>
    <w:p>
      <w:pPr>
        <w:ind w:right="1819" w:firstLine="948"/>
        <w:spacing w:after="0" w:line="274" w:lineRule="auto"/>
        <w:rPr>
          <w:sz w:val="20"/>
          <w:szCs w:val="20"/>
          <w:color w:val="auto"/>
        </w:rPr>
      </w:pPr>
      <w:r>
        <w:rPr>
          <w:rFonts w:ascii="Courier New" w:cs="Courier New" w:eastAsia="Courier New" w:hAnsi="Courier New"/>
          <w:sz w:val="18"/>
          <w:szCs w:val="18"/>
          <w:color w:val="auto"/>
        </w:rPr>
        <w:t>The document(s) containing the information specified in Part I of Form S-8 will be sent or given to participants in the Honeywell Savings and Stock Ownership Plan as specified by Rule 428(b)(1) promulgated by the SEC under the Securities Act of 1933.</w:t>
      </w:r>
    </w:p>
    <w:p>
      <w:pPr>
        <w:spacing w:after="0" w:line="81" w:lineRule="exact"/>
        <w:rPr>
          <w:sz w:val="20"/>
          <w:szCs w:val="20"/>
          <w:color w:val="auto"/>
        </w:rPr>
      </w:pPr>
    </w:p>
    <w:p>
      <w:pPr>
        <w:jc w:val="both"/>
        <w:ind w:right="2239" w:firstLine="948"/>
        <w:spacing w:after="0" w:line="274" w:lineRule="auto"/>
        <w:rPr>
          <w:sz w:val="20"/>
          <w:szCs w:val="20"/>
          <w:color w:val="auto"/>
        </w:rPr>
      </w:pPr>
      <w:r>
        <w:rPr>
          <w:rFonts w:ascii="Courier New" w:cs="Courier New" w:eastAsia="Courier New" w:hAnsi="Courier New"/>
          <w:sz w:val="18"/>
          <w:szCs w:val="18"/>
          <w:color w:val="auto"/>
        </w:rPr>
        <w:t>Such document(s) are not being filed with the SEC, but constitute (along with the documents incorporated by reference into this registration statement pursuant to Item 3 of Part II hereof) a prospectus that meets the requirements of Section 10(a) of the Securities Act.</w:t>
      </w:r>
    </w:p>
    <w:p>
      <w:pPr>
        <w:spacing w:after="0" w:line="81"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1" w:lineRule="exact"/>
        <w:rPr>
          <w:sz w:val="20"/>
          <w:szCs w:val="20"/>
          <w:color w:val="auto"/>
        </w:rPr>
      </w:pPr>
    </w:p>
    <w:p>
      <w:pPr>
        <w:ind w:right="1699" w:firstLine="526"/>
        <w:spacing w:after="0" w:line="256" w:lineRule="auto"/>
        <w:rPr>
          <w:sz w:val="20"/>
          <w:szCs w:val="20"/>
          <w:color w:val="auto"/>
        </w:rPr>
      </w:pPr>
      <w:r>
        <w:rPr>
          <w:rFonts w:ascii="Courier New" w:cs="Courier New" w:eastAsia="Courier New" w:hAnsi="Courier New"/>
          <w:sz w:val="18"/>
          <w:szCs w:val="18"/>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a part of this prospectus, and information filed with the SEC after the date of this prospectus will update and supersede information on file with the SEC as of the date of this prospectus. We incorporate by reference:</w:t>
      </w:r>
    </w:p>
    <w:p>
      <w:pPr>
        <w:spacing w:after="0" w:line="9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HONEYWELL'S SEC FILINGS (FORMERLY ALLIEDSIGNAL INC.) (FILE NO. 1-8974)</w:t>
      </w: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Annual Report on Form 10-K for the year ended December 31, 1999.</w:t>
      </w:r>
    </w:p>
    <w:p>
      <w:pPr>
        <w:spacing w:after="0" w:line="201" w:lineRule="exact"/>
        <w:rPr>
          <w:sz w:val="20"/>
          <w:szCs w:val="20"/>
          <w:color w:val="auto"/>
        </w:rPr>
      </w:pPr>
    </w:p>
    <w:p>
      <w:pPr>
        <w:ind w:left="320" w:right="1699"/>
        <w:spacing w:after="0" w:line="346" w:lineRule="auto"/>
        <w:rPr>
          <w:sz w:val="20"/>
          <w:szCs w:val="20"/>
          <w:color w:val="auto"/>
        </w:rPr>
      </w:pPr>
      <w:r>
        <w:rPr>
          <w:rFonts w:ascii="Courier New" w:cs="Courier New" w:eastAsia="Courier New" w:hAnsi="Courier New"/>
          <w:sz w:val="18"/>
          <w:szCs w:val="18"/>
          <w:color w:val="auto"/>
        </w:rPr>
        <w:t>Current Reports on Form 8-K filed on January 21, February 14 and February 29, 2000.</w:t>
      </w:r>
    </w:p>
    <w:p>
      <w:pPr>
        <w:spacing w:after="0" w:line="20"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Annual Report on Form 11-K of the Plan for the year ended December 31, 1998.</w:t>
      </w:r>
    </w:p>
    <w:p>
      <w:pPr>
        <w:spacing w:after="0" w:line="224" w:lineRule="exact"/>
        <w:rPr>
          <w:sz w:val="20"/>
          <w:szCs w:val="20"/>
          <w:color w:val="auto"/>
        </w:rPr>
      </w:pPr>
    </w:p>
    <w:p>
      <w:pPr>
        <w:ind w:left="320" w:right="2439"/>
        <w:spacing w:after="0" w:line="346" w:lineRule="auto"/>
        <w:rPr>
          <w:sz w:val="20"/>
          <w:szCs w:val="20"/>
          <w:color w:val="auto"/>
        </w:rPr>
      </w:pPr>
      <w:r>
        <w:rPr>
          <w:rFonts w:ascii="Courier New" w:cs="Courier New" w:eastAsia="Courier New" w:hAnsi="Courier New"/>
          <w:sz w:val="18"/>
          <w:szCs w:val="18"/>
          <w:color w:val="auto"/>
        </w:rPr>
        <w:t>Registration Statement on Form 8-B filed on August 16, 1985 describing Honeywell's common stock.</w:t>
      </w:r>
    </w:p>
    <w:p>
      <w:pPr>
        <w:spacing w:after="0" w:line="20" w:lineRule="exact"/>
        <w:rPr>
          <w:sz w:val="20"/>
          <w:szCs w:val="20"/>
          <w:color w:val="auto"/>
        </w:rPr>
      </w:pPr>
    </w:p>
    <w:p>
      <w:pPr>
        <w:ind w:right="1819" w:firstLine="632"/>
        <w:spacing w:after="0" w:line="306" w:lineRule="auto"/>
        <w:rPr>
          <w:sz w:val="20"/>
          <w:szCs w:val="20"/>
          <w:color w:val="auto"/>
        </w:rPr>
      </w:pPr>
      <w:r>
        <w:rPr>
          <w:rFonts w:ascii="Courier New" w:cs="Courier New" w:eastAsia="Courier New" w:hAnsi="Courier New"/>
          <w:sz w:val="16"/>
          <w:szCs w:val="16"/>
          <w:color w:val="auto"/>
        </w:rPr>
        <w:t>We incorporate by reference additional documents that Honeywell or the Plan may file with the SEC after the date of this registration statement. These documents include periodic reports, which may include the Plan's Annual Report on Form 11-K, and Honeywell's Annual Reports on Form 10-K, Quarterly Reports on Form 10-Q, and Current Reports on Form 8-K, as well as proxy statements.</w:t>
      </w:r>
    </w:p>
    <w:p>
      <w:pPr>
        <w:sectPr>
          <w:pgSz w:w="11900" w:h="16838" w:orient="portrait"/>
          <w:cols w:equalWidth="0" w:num="1">
            <w:col w:w="10139"/>
          </w:cols>
          <w:pgMar w:left="320" w:top="109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ind w:right="2119" w:firstLine="632"/>
        <w:spacing w:after="0" w:line="346" w:lineRule="auto"/>
        <w:rPr>
          <w:sz w:val="20"/>
          <w:szCs w:val="20"/>
          <w:color w:val="auto"/>
        </w:rPr>
      </w:pPr>
      <w:r>
        <w:rPr>
          <w:rFonts w:ascii="Courier New" w:cs="Courier New" w:eastAsia="Courier New" w:hAnsi="Courier New"/>
          <w:sz w:val="18"/>
          <w:szCs w:val="18"/>
          <w:color w:val="auto"/>
        </w:rPr>
        <w:t>The securities to be offered are registered under Section 12(b) of the Securities Exchange Act of 1934.</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1" w:lineRule="exact"/>
        <w:rPr>
          <w:sz w:val="20"/>
          <w:szCs w:val="20"/>
          <w:color w:val="auto"/>
        </w:rPr>
      </w:pPr>
    </w:p>
    <w:p>
      <w:pPr>
        <w:ind w:right="1699" w:firstLine="632"/>
        <w:spacing w:after="0" w:line="245" w:lineRule="auto"/>
        <w:rPr>
          <w:sz w:val="20"/>
          <w:szCs w:val="20"/>
          <w:color w:val="auto"/>
        </w:rPr>
      </w:pPr>
      <w:r>
        <w:rPr>
          <w:rFonts w:ascii="Courier New" w:cs="Courier New" w:eastAsia="Courier New" w:hAnsi="Courier New"/>
          <w:sz w:val="18"/>
          <w:szCs w:val="18"/>
          <w:color w:val="auto"/>
        </w:rPr>
        <w:t>Delaware law provides that a corporation may indemnify directors and officers as well as other employees and individuals against expenses (including attorneys' fees), judgments, fines, and amounts paid in settlement in connection with specified actions, suits, proceedings whether civil, criminal, administrative, or investigative (other than action by or in the right of the corporation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or other indemnification that may be granted by a corporation's charter, by-laws, disinterested director vote, shareowner vote, agreement, or otherwise.</w:t>
      </w:r>
    </w:p>
    <w:p>
      <w:pPr>
        <w:spacing w:after="0" w:line="106"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Delaware law permits a corporation to provide in its certificate of incorporation that a director of the corporation shall not be personally liable to the corporation or its shareowners for monetary damages for breach of fiduciary duty as a director, except for liability for (i) any breach of the director's duly of loyalty to the corporation or its shareowners, (ii) acts or omissions not in good faith or which involve intentional misconduct or a knowing violation of law, (iii) payment of unlawful dividends or unlawful stock purchases or redemptions, or (iv) any transaction from which the director derived an improper personal benefit.</w:t>
      </w:r>
    </w:p>
    <w:p>
      <w:pPr>
        <w:spacing w:after="0" w:line="106" w:lineRule="exact"/>
        <w:rPr>
          <w:sz w:val="20"/>
          <w:szCs w:val="20"/>
          <w:color w:val="auto"/>
        </w:rPr>
      </w:pPr>
    </w:p>
    <w:p>
      <w:pPr>
        <w:ind w:right="1699" w:firstLine="632"/>
        <w:spacing w:after="0" w:line="265" w:lineRule="auto"/>
        <w:rPr>
          <w:sz w:val="20"/>
          <w:szCs w:val="20"/>
          <w:color w:val="auto"/>
        </w:rPr>
      </w:pPr>
      <w:r>
        <w:rPr>
          <w:rFonts w:ascii="Courier New" w:cs="Courier New" w:eastAsia="Courier New" w:hAnsi="Courier New"/>
          <w:sz w:val="18"/>
          <w:szCs w:val="18"/>
          <w:color w:val="auto"/>
        </w:rPr>
        <w:t>Under Article ELEVENTH of Honeywell's Restated Certificate of Incorporation, each person who is or was a director or officer of Honeywell, and each director or officer of Honeywell who serves or served any other enterprise or organization at the request of Honeywell, shall be indemnified by Honeywell to the full extent permitted by Delaware law.</w:t>
      </w:r>
    </w:p>
    <w:p>
      <w:pPr>
        <w:spacing w:after="0" w:line="89" w:lineRule="exact"/>
        <w:rPr>
          <w:sz w:val="20"/>
          <w:szCs w:val="20"/>
          <w:color w:val="auto"/>
        </w:rPr>
      </w:pPr>
    </w:p>
    <w:p>
      <w:pPr>
        <w:ind w:right="1699" w:firstLine="632"/>
        <w:spacing w:after="0" w:line="256" w:lineRule="auto"/>
        <w:rPr>
          <w:sz w:val="20"/>
          <w:szCs w:val="20"/>
          <w:color w:val="auto"/>
        </w:rPr>
      </w:pPr>
      <w:r>
        <w:rPr>
          <w:rFonts w:ascii="Courier New" w:cs="Courier New" w:eastAsia="Courier New" w:hAnsi="Courier New"/>
          <w:sz w:val="18"/>
          <w:szCs w:val="18"/>
          <w:color w:val="auto"/>
        </w:rPr>
        <w:t>Under Delaware law, to the extent that such a person is successful on the merits or otherwise in defense of a suit or proceeding brought against such person by reason of the fact that such person is or was a director or officer of Honeywell, or serves or served any other enterprise or organization at the request of Honeywell, such person shall be indemnified against expenses (including attorneys' fees) actually and reasonably incurred in connection with such action.</w:t>
      </w:r>
    </w:p>
    <w:p>
      <w:pPr>
        <w:spacing w:after="0" w:line="97" w:lineRule="exact"/>
        <w:rPr>
          <w:sz w:val="20"/>
          <w:szCs w:val="20"/>
          <w:color w:val="auto"/>
        </w:rPr>
      </w:pPr>
    </w:p>
    <w:p>
      <w:pPr>
        <w:ind w:right="1819" w:firstLine="526"/>
        <w:spacing w:after="0" w:line="293" w:lineRule="auto"/>
        <w:rPr>
          <w:sz w:val="20"/>
          <w:szCs w:val="20"/>
          <w:color w:val="auto"/>
        </w:rPr>
      </w:pPr>
      <w:r>
        <w:rPr>
          <w:rFonts w:ascii="Courier New" w:cs="Courier New" w:eastAsia="Courier New" w:hAnsi="Courier New"/>
          <w:sz w:val="16"/>
          <w:szCs w:val="16"/>
          <w:color w:val="auto"/>
        </w:rPr>
        <w:t>If unsuccessful in defense of a third-party civil suit or a criminal suit, or if such a suit is settled, such a person shall be indemnified under such law against both (1) expenses (including attorneys' fees) and (2) judgments, fines and amounts paid in settlement if such person acted in good faith and in a manner such person reasonably believed to be in, or not opposed to, the best interests of Honeywell, and with respect to any criminal action, had no reasonable cause to believe such person's conduct was unlawful.</w:t>
      </w:r>
    </w:p>
    <w:p>
      <w:pPr>
        <w:sectPr>
          <w:pgSz w:w="11900" w:h="16838" w:orient="portrait"/>
          <w:cols w:equalWidth="0" w:num="1">
            <w:col w:w="10139"/>
          </w:cols>
          <w:pgMar w:left="320" w:top="893" w:right="1440" w:bottom="1440" w:gutter="0" w:footer="0" w:header="0"/>
        </w:sectPr>
      </w:pPr>
    </w:p>
    <w:bookmarkStart w:id="3" w:name="page4"/>
    <w:bookmarkEnd w:id="3"/>
    <w:p>
      <w:pPr>
        <w:ind w:right="1699" w:firstLine="632"/>
        <w:spacing w:after="0" w:line="251" w:lineRule="auto"/>
        <w:rPr>
          <w:sz w:val="20"/>
          <w:szCs w:val="20"/>
          <w:color w:val="auto"/>
        </w:rPr>
      </w:pPr>
      <w:r>
        <w:rPr>
          <w:rFonts w:ascii="Courier New" w:cs="Courier New" w:eastAsia="Courier New" w:hAnsi="Courier New"/>
          <w:sz w:val="18"/>
          <w:szCs w:val="18"/>
          <w:color w:val="auto"/>
        </w:rPr>
        <w:t>If unsuccessful in defense of a suit brought by or in the right of Honeywell, or if such suit is settled, such a person shall be indemnified under such law only against expenses (including attorneys' fees) actually and reasonably incurred in the defense or settlement of such suit if such person acted in good faith and in a manner such person reasonably believed to be in, or not opposed to, the best interests of Honeywell except that if such person is adjudged to be liable in such suit to Honeywell, such person cannot be made whole even for expenses unless the court determines that such person is fairly and reasonably entitled to indemnity for such expenses.</w:t>
      </w:r>
    </w:p>
    <w:p>
      <w:pPr>
        <w:spacing w:after="0" w:line="106" w:lineRule="exact"/>
        <w:rPr>
          <w:sz w:val="20"/>
          <w:szCs w:val="20"/>
          <w:color w:val="auto"/>
        </w:rPr>
      </w:pPr>
    </w:p>
    <w:p>
      <w:pPr>
        <w:ind w:right="1699" w:firstLine="526"/>
        <w:spacing w:after="0" w:line="292" w:lineRule="auto"/>
        <w:rPr>
          <w:sz w:val="20"/>
          <w:szCs w:val="20"/>
          <w:color w:val="auto"/>
        </w:rPr>
      </w:pPr>
      <w:r>
        <w:rPr>
          <w:rFonts w:ascii="Courier New" w:cs="Courier New" w:eastAsia="Courier New" w:hAnsi="Courier New"/>
          <w:sz w:val="18"/>
          <w:szCs w:val="18"/>
          <w:color w:val="auto"/>
        </w:rPr>
        <w:t>In addition, Honeywell maintains directors' and officers' reimbursement and liability insurance pursuant to standard form policies. The risks covered by such policies include certain liabilities under the securities laws.</w:t>
      </w:r>
    </w:p>
    <w:p>
      <w:pPr>
        <w:spacing w:after="0" w:line="66" w:lineRule="exact"/>
        <w:rPr>
          <w:sz w:val="20"/>
          <w:szCs w:val="20"/>
          <w:color w:val="auto"/>
        </w:rPr>
      </w:pPr>
    </w:p>
    <w:p>
      <w:pPr>
        <w:ind w:right="1699" w:firstLine="526"/>
        <w:spacing w:after="0" w:line="260"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or persons controlling Honeywell pursuant to Honeywell's Restated Certificate of Incorporation, Delaware law, or otherwise, Honeywell has been informed that in the opinion of the SEC such indemnification is against public policy as expressed in the Securities Act and it therefore unenforceable.</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580" w:type="dxa"/>
            <w:vAlign w:val="bottom"/>
            <w:vMerge w:val="restart"/>
          </w:tcPr>
          <w:p>
            <w:pPr>
              <w:ind w:left="268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w:t>
            </w:r>
          </w:p>
        </w:tc>
        <w:tc>
          <w:tcPr>
            <w:tcW w:w="6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6580" w:type="dxa"/>
            <w:vAlign w:val="bottom"/>
          </w:tcPr>
          <w:p>
            <w:pPr>
              <w:ind w:left="26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4.1</w:t>
            </w:r>
          </w:p>
        </w:tc>
        <w:tc>
          <w:tcPr>
            <w:tcW w:w="6580" w:type="dxa"/>
            <w:vAlign w:val="bottom"/>
          </w:tcPr>
          <w:p>
            <w:pPr>
              <w:ind w:left="160"/>
              <w:spacing w:after="0"/>
              <w:rPr>
                <w:sz w:val="20"/>
                <w:szCs w:val="20"/>
                <w:color w:val="auto"/>
              </w:rPr>
            </w:pPr>
            <w:r>
              <w:rPr>
                <w:rFonts w:ascii="Courier New" w:cs="Courier New" w:eastAsia="Courier New" w:hAnsi="Courier New"/>
                <w:sz w:val="18"/>
                <w:szCs w:val="18"/>
                <w:color w:val="auto"/>
              </w:rPr>
              <w:t>Honeywell's Restated Certificate of Incorporation,</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3(i) to our Form 8-K</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6580" w:type="dxa"/>
            <w:vAlign w:val="bottom"/>
          </w:tcPr>
          <w:p>
            <w:pPr>
              <w:ind w:left="160"/>
              <w:spacing w:after="0"/>
              <w:rPr>
                <w:sz w:val="20"/>
                <w:szCs w:val="20"/>
                <w:color w:val="auto"/>
              </w:rPr>
            </w:pPr>
            <w:r>
              <w:rPr>
                <w:rFonts w:ascii="Courier New" w:cs="Courier New" w:eastAsia="Courier New" w:hAnsi="Courier New"/>
                <w:sz w:val="18"/>
                <w:szCs w:val="18"/>
                <w:color w:val="auto"/>
              </w:rPr>
              <w:t>filed December 3, 1999).</w:t>
            </w:r>
          </w:p>
        </w:tc>
        <w:tc>
          <w:tcPr>
            <w:tcW w:w="0" w:type="dxa"/>
            <w:vAlign w:val="bottom"/>
          </w:tcPr>
          <w:p>
            <w:pPr>
              <w:spacing w:after="0"/>
              <w:rPr>
                <w:sz w:val="1"/>
                <w:szCs w:val="1"/>
                <w:color w:val="auto"/>
              </w:rPr>
            </w:pPr>
          </w:p>
        </w:tc>
      </w:tr>
      <w:tr>
        <w:trPr>
          <w:trHeight w:val="311"/>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4.2</w:t>
            </w:r>
          </w:p>
        </w:tc>
        <w:tc>
          <w:tcPr>
            <w:tcW w:w="6580" w:type="dxa"/>
            <w:vAlign w:val="bottom"/>
          </w:tcPr>
          <w:p>
            <w:pPr>
              <w:ind w:left="160"/>
              <w:spacing w:after="0"/>
              <w:rPr>
                <w:sz w:val="20"/>
                <w:szCs w:val="20"/>
                <w:color w:val="auto"/>
              </w:rPr>
            </w:pPr>
            <w:r>
              <w:rPr>
                <w:rFonts w:ascii="Courier New" w:cs="Courier New" w:eastAsia="Courier New" w:hAnsi="Courier New"/>
                <w:sz w:val="18"/>
                <w:szCs w:val="18"/>
                <w:color w:val="auto"/>
                <w:w w:val="97"/>
              </w:rPr>
              <w:t>Honeywell's By-laws, as amended (incorporated by reference to</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6580" w:type="dxa"/>
            <w:vAlign w:val="bottom"/>
          </w:tcPr>
          <w:p>
            <w:pPr>
              <w:ind w:left="160"/>
              <w:spacing w:after="0"/>
              <w:rPr>
                <w:sz w:val="20"/>
                <w:szCs w:val="20"/>
                <w:color w:val="auto"/>
              </w:rPr>
            </w:pPr>
            <w:r>
              <w:rPr>
                <w:rFonts w:ascii="Courier New" w:cs="Courier New" w:eastAsia="Courier New" w:hAnsi="Courier New"/>
                <w:sz w:val="18"/>
                <w:szCs w:val="18"/>
                <w:color w:val="auto"/>
              </w:rPr>
              <w:t>Exhibit 3(ii) to our Form 8-K filed December 3, 1999).</w:t>
            </w:r>
          </w:p>
        </w:tc>
        <w:tc>
          <w:tcPr>
            <w:tcW w:w="0" w:type="dxa"/>
            <w:vAlign w:val="bottom"/>
          </w:tcPr>
          <w:p>
            <w:pPr>
              <w:spacing w:after="0"/>
              <w:rPr>
                <w:sz w:val="1"/>
                <w:szCs w:val="1"/>
                <w:color w:val="auto"/>
              </w:rPr>
            </w:pP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23.1</w:t>
            </w:r>
          </w:p>
        </w:tc>
        <w:tc>
          <w:tcPr>
            <w:tcW w:w="6580" w:type="dxa"/>
            <w:vAlign w:val="bottom"/>
          </w:tcPr>
          <w:p>
            <w:pPr>
              <w:ind w:left="160"/>
              <w:spacing w:after="0"/>
              <w:rPr>
                <w:sz w:val="20"/>
                <w:szCs w:val="20"/>
                <w:color w:val="auto"/>
              </w:rPr>
            </w:pPr>
            <w:r>
              <w:rPr>
                <w:rFonts w:ascii="Courier New" w:cs="Courier New" w:eastAsia="Courier New" w:hAnsi="Courier New"/>
                <w:sz w:val="18"/>
                <w:szCs w:val="18"/>
                <w:color w:val="auto"/>
              </w:rPr>
              <w:t>Consent of PricewaterhouseCoopers LLP (filed herewith).</w:t>
            </w:r>
          </w:p>
        </w:tc>
        <w:tc>
          <w:tcPr>
            <w:tcW w:w="0" w:type="dxa"/>
            <w:vAlign w:val="bottom"/>
          </w:tcPr>
          <w:p>
            <w:pPr>
              <w:spacing w:after="0"/>
              <w:rPr>
                <w:sz w:val="1"/>
                <w:szCs w:val="1"/>
                <w:color w:val="auto"/>
              </w:rPr>
            </w:pP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23.2</w:t>
            </w:r>
          </w:p>
        </w:tc>
        <w:tc>
          <w:tcPr>
            <w:tcW w:w="6580" w:type="dxa"/>
            <w:vAlign w:val="bottom"/>
          </w:tcPr>
          <w:p>
            <w:pPr>
              <w:ind w:left="160"/>
              <w:spacing w:after="0"/>
              <w:rPr>
                <w:sz w:val="20"/>
                <w:szCs w:val="20"/>
                <w:color w:val="auto"/>
              </w:rPr>
            </w:pPr>
            <w:r>
              <w:rPr>
                <w:rFonts w:ascii="Courier New" w:cs="Courier New" w:eastAsia="Courier New" w:hAnsi="Courier New"/>
                <w:sz w:val="18"/>
                <w:szCs w:val="18"/>
                <w:color w:val="auto"/>
              </w:rPr>
              <w:t>Consent of Deloitte &amp; Touche LLP (filed herewith).</w:t>
            </w:r>
          </w:p>
        </w:tc>
        <w:tc>
          <w:tcPr>
            <w:tcW w:w="0" w:type="dxa"/>
            <w:vAlign w:val="bottom"/>
          </w:tcPr>
          <w:p>
            <w:pPr>
              <w:spacing w:after="0"/>
              <w:rPr>
                <w:sz w:val="1"/>
                <w:szCs w:val="1"/>
                <w:color w:val="auto"/>
              </w:rPr>
            </w:pP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24</w:t>
            </w:r>
          </w:p>
        </w:tc>
        <w:tc>
          <w:tcPr>
            <w:tcW w:w="6580" w:type="dxa"/>
            <w:vAlign w:val="bottom"/>
          </w:tcPr>
          <w:p>
            <w:pPr>
              <w:ind w:left="160"/>
              <w:spacing w:after="0"/>
              <w:rPr>
                <w:sz w:val="20"/>
                <w:szCs w:val="20"/>
                <w:color w:val="auto"/>
              </w:rPr>
            </w:pPr>
            <w:r>
              <w:rPr>
                <w:rFonts w:ascii="Courier New" w:cs="Courier New" w:eastAsia="Courier New" w:hAnsi="Courier New"/>
                <w:sz w:val="18"/>
                <w:szCs w:val="18"/>
                <w:color w:val="auto"/>
              </w:rPr>
              <w:t>Powers of Attorney (filed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480" w:hanging="524"/>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rFonts w:ascii="Courier New" w:cs="Courier New" w:eastAsia="Courier New" w:hAnsi="Courier New"/>
          <w:sz w:val="18"/>
          <w:szCs w:val="18"/>
          <w:color w:val="auto"/>
        </w:rPr>
      </w:pPr>
    </w:p>
    <w:p>
      <w:pPr>
        <w:jc w:val="both"/>
        <w:ind w:left="1700" w:right="2239" w:hanging="7"/>
        <w:spacing w:after="0" w:line="292" w:lineRule="auto"/>
        <w:tabs>
          <w:tab w:leader="none" w:pos="212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65" w:lineRule="exact"/>
        <w:rPr>
          <w:rFonts w:ascii="Courier New" w:cs="Courier New" w:eastAsia="Courier New" w:hAnsi="Courier New"/>
          <w:sz w:val="18"/>
          <w:szCs w:val="18"/>
          <w:color w:val="auto"/>
        </w:rPr>
      </w:pPr>
    </w:p>
    <w:p>
      <w:pPr>
        <w:ind w:left="2320" w:right="1699" w:firstLine="5"/>
        <w:spacing w:after="0" w:line="346" w:lineRule="auto"/>
        <w:tabs>
          <w:tab w:leader="none" w:pos="2741"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19" w:lineRule="exact"/>
        <w:rPr>
          <w:rFonts w:ascii="Courier New" w:cs="Courier New" w:eastAsia="Courier New" w:hAnsi="Courier New"/>
          <w:sz w:val="18"/>
          <w:szCs w:val="18"/>
          <w:color w:val="auto"/>
        </w:rPr>
      </w:pPr>
    </w:p>
    <w:p>
      <w:pPr>
        <w:ind w:left="2320" w:right="2119" w:firstLine="5"/>
        <w:spacing w:after="0" w:line="298" w:lineRule="auto"/>
        <w:tabs>
          <w:tab w:leader="none" w:pos="2846" w:val="left"/>
        </w:tabs>
        <w:numPr>
          <w:ilvl w:val="2"/>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ectPr>
          <w:pgSz w:w="11900" w:h="16838" w:orient="portrait"/>
          <w:cols w:equalWidth="0" w:num="1">
            <w:col w:w="10139"/>
          </w:cols>
          <w:pgMar w:left="320" w:top="690" w:right="1440" w:bottom="1440" w:gutter="0" w:footer="0" w:header="0"/>
        </w:sectPr>
      </w:pPr>
    </w:p>
    <w:bookmarkStart w:id="4" w:name="page5"/>
    <w:bookmarkEnd w:id="4"/>
    <w:p>
      <w:pPr>
        <w:ind w:left="2320" w:right="1819" w:firstLine="5"/>
        <w:spacing w:after="0" w:line="274" w:lineRule="auto"/>
        <w:tabs>
          <w:tab w:leader="none" w:pos="2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81" w:lineRule="exact"/>
        <w:rPr>
          <w:sz w:val="20"/>
          <w:szCs w:val="20"/>
          <w:color w:val="auto"/>
        </w:rPr>
      </w:pPr>
    </w:p>
    <w:p>
      <w:pPr>
        <w:ind w:right="2019" w:firstLine="1895"/>
        <w:spacing w:after="0" w:line="260" w:lineRule="auto"/>
        <w:rPr>
          <w:sz w:val="20"/>
          <w:szCs w:val="20"/>
          <w:color w:val="auto"/>
        </w:rPr>
      </w:pPr>
      <w:r>
        <w:rPr>
          <w:rFonts w:ascii="Courier New" w:cs="Courier New" w:eastAsia="Courier New" w:hAnsi="Courier New"/>
          <w:sz w:val="18"/>
          <w:szCs w:val="18"/>
          <w:color w:val="auto"/>
        </w:rPr>
        <w:t>Provided, however, that paragraphs (a)(1)(i) and (a)(1)(ii) above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92" w:lineRule="exact"/>
        <w:rPr>
          <w:sz w:val="20"/>
          <w:szCs w:val="20"/>
          <w:color w:val="auto"/>
        </w:rPr>
      </w:pPr>
    </w:p>
    <w:p>
      <w:pPr>
        <w:ind w:left="1700" w:right="1699" w:hanging="7"/>
        <w:spacing w:after="0" w:line="260" w:lineRule="auto"/>
        <w:tabs>
          <w:tab w:leader="none" w:pos="212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Courier New" w:cs="Courier New" w:eastAsia="Courier New" w:hAnsi="Courier New"/>
          <w:sz w:val="18"/>
          <w:szCs w:val="18"/>
          <w:color w:val="auto"/>
        </w:rPr>
      </w:pPr>
    </w:p>
    <w:p>
      <w:pPr>
        <w:ind w:left="1700" w:right="2019" w:hanging="7"/>
        <w:spacing w:after="0" w:line="292" w:lineRule="auto"/>
        <w:tabs>
          <w:tab w:leader="none" w:pos="212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5" w:lineRule="exact"/>
        <w:rPr>
          <w:rFonts w:ascii="Courier New" w:cs="Courier New" w:eastAsia="Courier New" w:hAnsi="Courier New"/>
          <w:sz w:val="18"/>
          <w:szCs w:val="18"/>
          <w:color w:val="auto"/>
        </w:rPr>
      </w:pPr>
    </w:p>
    <w:p>
      <w:pPr>
        <w:ind w:left="960" w:right="1699" w:hanging="4"/>
        <w:spacing w:after="0" w:line="287" w:lineRule="auto"/>
        <w:tabs>
          <w:tab w:leader="none" w:pos="1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each filing of the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139"/>
          </w:cols>
          <w:pgMar w:left="320" w:top="488" w:right="1440" w:bottom="144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699" w:firstLine="842"/>
        <w:spacing w:after="0" w:line="260" w:lineRule="auto"/>
        <w:rPr>
          <w:sz w:val="20"/>
          <w:szCs w:val="20"/>
          <w:color w:val="auto"/>
        </w:rPr>
      </w:pPr>
      <w:r>
        <w:rPr>
          <w:rFonts w:ascii="Courier New" w:cs="Courier New" w:eastAsia="Courier New" w:hAnsi="Courier New"/>
          <w:sz w:val="18"/>
          <w:szCs w:val="18"/>
          <w:color w:val="auto"/>
        </w:rPr>
        <w:t>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Township of Morris, State of New Jersey, on the 29th day of February, 2000.</w:t>
      </w:r>
    </w:p>
    <w:p>
      <w:pPr>
        <w:spacing w:after="0" w:line="9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Honeywell International Inc.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Richard F. Wallman</w:t>
      </w:r>
    </w:p>
    <w:p>
      <w:pPr>
        <w:spacing w:after="0" w:line="2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t>
      </w:r>
    </w:p>
    <w:p>
      <w:pPr>
        <w:ind w:left="4960"/>
        <w:spacing w:after="0" w:line="238" w:lineRule="auto"/>
        <w:rPr>
          <w:sz w:val="20"/>
          <w:szCs w:val="20"/>
          <w:color w:val="auto"/>
        </w:rPr>
      </w:pPr>
      <w:r>
        <w:rPr>
          <w:rFonts w:ascii="Courier New" w:cs="Courier New" w:eastAsia="Courier New" w:hAnsi="Courier New"/>
          <w:sz w:val="18"/>
          <w:szCs w:val="18"/>
          <w:color w:val="auto"/>
        </w:rPr>
        <w:t>Richard F. Wallman</w:t>
      </w:r>
    </w:p>
    <w:p>
      <w:pPr>
        <w:ind w:left="4960"/>
        <w:spacing w:after="0" w:line="238" w:lineRule="auto"/>
        <w:rPr>
          <w:sz w:val="20"/>
          <w:szCs w:val="20"/>
          <w:color w:val="auto"/>
        </w:rPr>
      </w:pPr>
      <w:r>
        <w:rPr>
          <w:rFonts w:ascii="Courier New" w:cs="Courier New" w:eastAsia="Courier New" w:hAnsi="Courier New"/>
          <w:sz w:val="18"/>
          <w:szCs w:val="18"/>
          <w:color w:val="auto"/>
        </w:rPr>
        <w:t>Senior Vice President and</w:t>
      </w:r>
    </w:p>
    <w:p>
      <w:pPr>
        <w:spacing w:after="0" w:line="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Chief Financial Officer</w:t>
      </w:r>
    </w:p>
    <w:p>
      <w:pPr>
        <w:spacing w:after="0" w:line="169" w:lineRule="exact"/>
        <w:rPr>
          <w:sz w:val="20"/>
          <w:szCs w:val="20"/>
          <w:color w:val="auto"/>
        </w:rPr>
      </w:pPr>
    </w:p>
    <w:p>
      <w:pPr>
        <w:ind w:right="2559" w:firstLine="842"/>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139"/>
          </w:cols>
          <w:pgMar w:left="320" w:top="8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Name</w:t>
      </w:r>
    </w:p>
    <w:p>
      <w:pPr>
        <w:spacing w:after="0" w:line="5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600" w:space="720"/>
            <w:col w:w="2760" w:space="720"/>
            <w:col w:w="2339"/>
          </w:cols>
          <w:pgMar w:left="320" w:top="893" w:right="1440" w:bottom="1440" w:gutter="0" w:footer="0" w:header="0"/>
          <w:type w:val="continuous"/>
        </w:sectPr>
      </w:pPr>
    </w:p>
    <w:p>
      <w:pPr>
        <w:spacing w:after="0" w:line="19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and Chairman of the Board</w:t>
      </w:r>
    </w:p>
    <w:p>
      <w:pPr>
        <w:spacing w:after="0" w:line="52" w:lineRule="exact"/>
        <w:rPr>
          <w:sz w:val="20"/>
          <w:szCs w:val="20"/>
          <w:color w:val="auto"/>
        </w:rPr>
      </w:pPr>
    </w:p>
    <w:p>
      <w:pPr>
        <w:sectPr>
          <w:pgSz w:w="11900" w:h="16838" w:orient="portrait"/>
          <w:cols w:equalWidth="0" w:num="2">
            <w:col w:w="2860" w:space="720"/>
            <w:col w:w="6559"/>
          </w:cols>
          <w:pgMar w:left="320" w:top="893" w:right="1440" w:bottom="1440" w:gutter="0" w:footer="0" w:header="0"/>
          <w:type w:val="continuous"/>
        </w:sect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(Lawrence A. Bossidy)</w:t>
      </w:r>
    </w:p>
    <w:p>
      <w:pPr>
        <w:spacing w:after="0" w:line="169" w:lineRule="exact"/>
        <w:rPr>
          <w:sz w:val="20"/>
          <w:szCs w:val="20"/>
          <w:color w:val="auto"/>
        </w:rPr>
      </w:pPr>
    </w:p>
    <w:p>
      <w:pPr>
        <w:ind w:left="1480"/>
        <w:spacing w:after="0"/>
        <w:tabs>
          <w:tab w:leader="none" w:pos="3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 and Chief Executive Officer</w:t>
      </w:r>
    </w:p>
    <w:p>
      <w:pPr>
        <w:spacing w:after="0" w:line="52"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(Michael R. Bonsignore)</w:t>
      </w:r>
    </w:p>
    <w:p>
      <w:pPr>
        <w:spacing w:after="0" w:line="169" w:lineRule="exact"/>
        <w:rPr>
          <w:sz w:val="20"/>
          <w:szCs w:val="20"/>
          <w:color w:val="auto"/>
        </w:rPr>
      </w:pPr>
    </w:p>
    <w:p>
      <w:pPr>
        <w:ind w:left="148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spacing w:after="0" w:line="2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 W. Becherer)</w:t>
      </w:r>
    </w:p>
    <w:p>
      <w:pPr>
        <w:spacing w:after="0" w:line="169" w:lineRule="exact"/>
        <w:rPr>
          <w:sz w:val="20"/>
          <w:szCs w:val="20"/>
          <w:color w:val="auto"/>
        </w:rPr>
      </w:pPr>
    </w:p>
    <w:p>
      <w:pPr>
        <w:ind w:left="148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spacing w:after="0" w:line="2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(Gordon M. Bethune)</w:t>
      </w:r>
    </w:p>
    <w:p>
      <w:pPr>
        <w:spacing w:after="0" w:line="169" w:lineRule="exact"/>
        <w:rPr>
          <w:sz w:val="20"/>
          <w:szCs w:val="20"/>
          <w:color w:val="auto"/>
        </w:rPr>
      </w:pPr>
    </w:p>
    <w:p>
      <w:pPr>
        <w:ind w:left="148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spacing w:after="0" w:line="2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(Marshall N. Carter)</w:t>
      </w:r>
    </w:p>
    <w:p>
      <w:pPr>
        <w:spacing w:after="0" w:line="169" w:lineRule="exact"/>
        <w:rPr>
          <w:sz w:val="20"/>
          <w:szCs w:val="20"/>
          <w:color w:val="auto"/>
        </w:rPr>
      </w:pPr>
    </w:p>
    <w:p>
      <w:pPr>
        <w:ind w:left="148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spacing w:after="0" w:line="2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(Jaime Chico Pardo)</w:t>
      </w:r>
    </w:p>
    <w:p>
      <w:pPr>
        <w:spacing w:after="0" w:line="169" w:lineRule="exact"/>
        <w:rPr>
          <w:sz w:val="20"/>
          <w:szCs w:val="20"/>
          <w:color w:val="auto"/>
        </w:rPr>
      </w:pPr>
    </w:p>
    <w:p>
      <w:pPr>
        <w:ind w:left="148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spacing w:after="0" w:line="2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(Ann M. Fudge)</w:t>
      </w:r>
    </w:p>
    <w:p>
      <w:pPr>
        <w:spacing w:after="0" w:line="169" w:lineRule="exact"/>
        <w:rPr>
          <w:sz w:val="20"/>
          <w:szCs w:val="20"/>
          <w:color w:val="auto"/>
        </w:rPr>
      </w:pPr>
    </w:p>
    <w:p>
      <w:pPr>
        <w:ind w:left="148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spacing w:after="0" w:line="2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(James J. Howard)</w:t>
      </w:r>
    </w:p>
    <w:p>
      <w:pPr>
        <w:spacing w:after="0" w:line="169" w:lineRule="exact"/>
        <w:rPr>
          <w:sz w:val="20"/>
          <w:szCs w:val="20"/>
          <w:color w:val="auto"/>
        </w:rPr>
      </w:pPr>
    </w:p>
    <w:p>
      <w:pPr>
        <w:ind w:left="148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spacing w:after="0" w:line="29"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(Bruce Karatz)</w:t>
      </w:r>
    </w:p>
    <w:p>
      <w:pPr>
        <w:spacing w:after="0" w:line="169" w:lineRule="exact"/>
        <w:rPr>
          <w:sz w:val="20"/>
          <w:szCs w:val="20"/>
          <w:color w:val="auto"/>
        </w:rPr>
      </w:pPr>
    </w:p>
    <w:p>
      <w:pPr>
        <w:ind w:left="138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spacing w:after="0" w:line="29"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(Robert P. Luciano)</w:t>
      </w:r>
    </w:p>
    <w:p>
      <w:pPr>
        <w:sectPr>
          <w:pgSz w:w="11900" w:h="16838" w:orient="portrait"/>
          <w:cols w:equalWidth="0" w:num="1">
            <w:col w:w="10139"/>
          </w:cols>
          <w:pgMar w:left="320" w:top="893" w:right="1440" w:bottom="1440" w:gutter="0" w:footer="0" w:header="0"/>
          <w:type w:val="continuous"/>
        </w:sectPr>
      </w:pPr>
    </w:p>
    <w:bookmarkStart w:id="6" w:name="page7"/>
    <w:bookmarkEnd w:id="6"/>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ind w:left="1480"/>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jc w:val="right"/>
              <w:ind w:right="753"/>
              <w:spacing w:after="0"/>
              <w:rPr>
                <w:sz w:val="20"/>
                <w:szCs w:val="20"/>
                <w:color w:val="auto"/>
              </w:rPr>
            </w:pPr>
            <w:r>
              <w:rPr>
                <w:rFonts w:ascii="Courier New" w:cs="Courier New" w:eastAsia="Courier New" w:hAnsi="Courier New"/>
                <w:sz w:val="18"/>
                <w:szCs w:val="18"/>
                <w:color w:val="auto"/>
              </w:rPr>
              <w:t>(Russell E. Palmer)</w:t>
            </w:r>
          </w:p>
        </w:tc>
        <w:tc>
          <w:tcPr>
            <w:tcW w:w="3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ind w:left="1480"/>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jc w:val="right"/>
              <w:ind w:right="853"/>
              <w:spacing w:after="0"/>
              <w:rPr>
                <w:sz w:val="20"/>
                <w:szCs w:val="20"/>
                <w:color w:val="auto"/>
              </w:rPr>
            </w:pPr>
            <w:r>
              <w:rPr>
                <w:rFonts w:ascii="Courier New" w:cs="Courier New" w:eastAsia="Courier New" w:hAnsi="Courier New"/>
                <w:sz w:val="18"/>
                <w:szCs w:val="18"/>
                <w:color w:val="auto"/>
              </w:rPr>
              <w:t>(Ivan G. Seidenberg)</w:t>
            </w:r>
          </w:p>
        </w:tc>
        <w:tc>
          <w:tcPr>
            <w:tcW w:w="3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ind w:left="1480"/>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jc w:val="right"/>
              <w:ind w:right="853"/>
              <w:spacing w:after="0"/>
              <w:rPr>
                <w:sz w:val="20"/>
                <w:szCs w:val="20"/>
                <w:color w:val="auto"/>
              </w:rPr>
            </w:pPr>
            <w:r>
              <w:rPr>
                <w:rFonts w:ascii="Courier New" w:cs="Courier New" w:eastAsia="Courier New" w:hAnsi="Courier New"/>
                <w:sz w:val="18"/>
                <w:szCs w:val="18"/>
                <w:color w:val="auto"/>
              </w:rPr>
              <w:t>(Andrew C. Sigler)</w:t>
            </w:r>
          </w:p>
        </w:tc>
        <w:tc>
          <w:tcPr>
            <w:tcW w:w="3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ind w:left="1480"/>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jc w:val="right"/>
              <w:ind w:right="953"/>
              <w:spacing w:after="0"/>
              <w:rPr>
                <w:sz w:val="20"/>
                <w:szCs w:val="20"/>
                <w:color w:val="auto"/>
              </w:rPr>
            </w:pPr>
            <w:r>
              <w:rPr>
                <w:rFonts w:ascii="Courier New" w:cs="Courier New" w:eastAsia="Courier New" w:hAnsi="Courier New"/>
                <w:sz w:val="18"/>
                <w:szCs w:val="18"/>
                <w:color w:val="auto"/>
              </w:rPr>
              <w:t>(John R. Stafford)</w:t>
            </w:r>
          </w:p>
        </w:tc>
        <w:tc>
          <w:tcPr>
            <w:tcW w:w="3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ind w:left="1480"/>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jc w:val="right"/>
              <w:ind w:right="853"/>
              <w:spacing w:after="0"/>
              <w:rPr>
                <w:sz w:val="20"/>
                <w:szCs w:val="20"/>
                <w:color w:val="auto"/>
              </w:rPr>
            </w:pPr>
            <w:r>
              <w:rPr>
                <w:rFonts w:ascii="Courier New" w:cs="Courier New" w:eastAsia="Courier New" w:hAnsi="Courier New"/>
                <w:sz w:val="18"/>
                <w:szCs w:val="18"/>
                <w:color w:val="auto"/>
              </w:rPr>
              <w:t>(Michael W. Wright)</w:t>
            </w:r>
          </w:p>
        </w:tc>
        <w:tc>
          <w:tcPr>
            <w:tcW w:w="3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jc w:val="right"/>
              <w:ind w:right="753"/>
              <w:spacing w:after="0"/>
              <w:rPr>
                <w:sz w:val="20"/>
                <w:szCs w:val="20"/>
                <w:color w:val="auto"/>
              </w:rPr>
            </w:pPr>
            <w:r>
              <w:rPr>
                <w:rFonts w:ascii="Courier New" w:cs="Courier New" w:eastAsia="Courier New" w:hAnsi="Courier New"/>
                <w:sz w:val="18"/>
                <w:szCs w:val="18"/>
                <w:color w:val="auto"/>
              </w:rPr>
              <w:t>/s/ Richard F. Wallman</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Senior Vice President and</w:t>
            </w:r>
          </w:p>
        </w:tc>
        <w:tc>
          <w:tcPr>
            <w:tcW w:w="2000" w:type="dxa"/>
            <w:vAlign w:val="bottom"/>
          </w:tcPr>
          <w:p>
            <w:pPr>
              <w:ind w:left="120"/>
              <w:spacing w:after="0"/>
              <w:rPr>
                <w:sz w:val="20"/>
                <w:szCs w:val="20"/>
                <w:color w:val="auto"/>
              </w:rPr>
            </w:pPr>
            <w:r>
              <w:rPr>
                <w:rFonts w:ascii="Courier New" w:cs="Courier New" w:eastAsia="Courier New" w:hAnsi="Courier New"/>
                <w:sz w:val="18"/>
                <w:szCs w:val="18"/>
                <w:color w:val="auto"/>
              </w:rPr>
              <w:t>February 29, 2000</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jc w:val="right"/>
              <w:ind w:right="853"/>
              <w:spacing w:after="0"/>
              <w:rPr>
                <w:sz w:val="20"/>
                <w:szCs w:val="20"/>
                <w:color w:val="auto"/>
              </w:rPr>
            </w:pPr>
            <w:r>
              <w:rPr>
                <w:rFonts w:ascii="Courier New" w:cs="Courier New" w:eastAsia="Courier New" w:hAnsi="Courier New"/>
                <w:sz w:val="18"/>
                <w:szCs w:val="18"/>
                <w:color w:val="auto"/>
              </w:rPr>
              <w:t>(Richard F. Wallman)</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(Principal Financial Officer)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580" w:type="dxa"/>
            <w:vAlign w:val="bottom"/>
          </w:tcPr>
          <w:p>
            <w:pPr>
              <w:ind w:left="320"/>
              <w:spacing w:after="0"/>
              <w:rPr>
                <w:sz w:val="20"/>
                <w:szCs w:val="20"/>
                <w:color w:val="auto"/>
              </w:rPr>
            </w:pPr>
            <w:r>
              <w:rPr>
                <w:rFonts w:ascii="Courier New" w:cs="Courier New" w:eastAsia="Courier New" w:hAnsi="Courier New"/>
                <w:sz w:val="18"/>
                <w:szCs w:val="18"/>
                <w:color w:val="auto"/>
              </w:rPr>
              <w:t>/s/ Richard J. Diemer, Jr.</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Vice President and</w:t>
            </w:r>
          </w:p>
        </w:tc>
        <w:tc>
          <w:tcPr>
            <w:tcW w:w="2000" w:type="dxa"/>
            <w:vAlign w:val="bottom"/>
          </w:tcPr>
          <w:p>
            <w:pPr>
              <w:ind w:left="220"/>
              <w:spacing w:after="0"/>
              <w:rPr>
                <w:sz w:val="20"/>
                <w:szCs w:val="20"/>
                <w:color w:val="auto"/>
              </w:rPr>
            </w:pPr>
            <w:r>
              <w:rPr>
                <w:rFonts w:ascii="Courier New" w:cs="Courier New" w:eastAsia="Courier New" w:hAnsi="Courier New"/>
                <w:sz w:val="18"/>
                <w:szCs w:val="18"/>
                <w:color w:val="auto"/>
                <w:w w:val="95"/>
              </w:rPr>
              <w:t>February 29, 2000</w:t>
            </w:r>
          </w:p>
        </w:tc>
        <w:tc>
          <w:tcPr>
            <w:tcW w:w="0" w:type="dxa"/>
            <w:vAlign w:val="bottom"/>
          </w:tcPr>
          <w:p>
            <w:pPr>
              <w:spacing w:after="0"/>
              <w:rPr>
                <w:sz w:val="1"/>
                <w:szCs w:val="1"/>
                <w:color w:val="auto"/>
              </w:rPr>
            </w:pPr>
          </w:p>
        </w:tc>
      </w:tr>
      <w:tr>
        <w:trPr>
          <w:trHeight w:val="203"/>
        </w:trPr>
        <w:tc>
          <w:tcPr>
            <w:tcW w:w="3580" w:type="dxa"/>
            <w:vAlign w:val="bottom"/>
            <w:vMerge w:val="restart"/>
          </w:tcPr>
          <w:p>
            <w:pPr>
              <w:ind w:left="320"/>
              <w:spacing w:after="0"/>
              <w:rPr>
                <w:sz w:val="20"/>
                <w:szCs w:val="20"/>
                <w:color w:val="auto"/>
              </w:rPr>
            </w:pPr>
            <w:r>
              <w:rPr>
                <w:rFonts w:ascii="Courier New" w:cs="Courier New" w:eastAsia="Courier New" w:hAnsi="Courier New"/>
                <w:sz w:val="26"/>
                <w:szCs w:val="26"/>
                <w:color w:val="auto"/>
                <w:w w:val="71"/>
                <w:vertAlign w:val="subscript"/>
              </w:rPr>
              <w:t>(Richard</w:t>
            </w:r>
            <w:r>
              <w:rPr>
                <w:rFonts w:ascii="Courier New" w:cs="Courier New" w:eastAsia="Courier New" w:hAnsi="Courier New"/>
                <w:sz w:val="14"/>
                <w:szCs w:val="14"/>
                <w:color w:val="auto"/>
                <w:w w:val="71"/>
              </w:rPr>
              <w:t>----------------------------</w:t>
            </w:r>
            <w:r>
              <w:rPr>
                <w:rFonts w:ascii="Courier New" w:cs="Courier New" w:eastAsia="Courier New" w:hAnsi="Courier New"/>
                <w:sz w:val="26"/>
                <w:szCs w:val="26"/>
                <w:color w:val="auto"/>
                <w:w w:val="71"/>
                <w:vertAlign w:val="subscript"/>
              </w:rPr>
              <w:t>J.Diemer,Jr.)</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Controller (Principal</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3580" w:type="dxa"/>
            <w:vAlign w:val="bottom"/>
            <w:vMerge w:val="continue"/>
          </w:tcPr>
          <w:p>
            <w:pPr>
              <w:spacing w:after="0"/>
              <w:rPr>
                <w:sz w:val="24"/>
                <w:szCs w:val="24"/>
                <w:color w:val="auto"/>
              </w:rPr>
            </w:pP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Accounting Officer)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3580" w:type="dxa"/>
            <w:vAlign w:val="bottom"/>
          </w:tcPr>
          <w:p>
            <w:pPr>
              <w:spacing w:after="0"/>
              <w:rPr>
                <w:sz w:val="20"/>
                <w:szCs w:val="20"/>
                <w:color w:val="auto"/>
              </w:rPr>
            </w:pPr>
            <w:r>
              <w:rPr>
                <w:rFonts w:ascii="Courier New" w:cs="Courier New" w:eastAsia="Courier New" w:hAnsi="Courier New"/>
                <w:sz w:val="18"/>
                <w:szCs w:val="18"/>
                <w:color w:val="auto"/>
              </w:rPr>
              <w:t>*By: /s/ Peter M. Kreindler</w:t>
            </w:r>
          </w:p>
        </w:tc>
        <w:tc>
          <w:tcPr>
            <w:tcW w:w="3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tcPr>
          <w:p>
            <w:pPr>
              <w:spacing w:after="0"/>
              <w:rPr>
                <w:sz w:val="17"/>
                <w:szCs w:val="17"/>
                <w:color w:val="auto"/>
              </w:rPr>
            </w:pPr>
          </w:p>
        </w:tc>
        <w:tc>
          <w:tcPr>
            <w:tcW w:w="20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5"/>
              </w:rPr>
              <w:t>February 29, 2000</w:t>
            </w:r>
          </w:p>
        </w:tc>
        <w:tc>
          <w:tcPr>
            <w:tcW w:w="0" w:type="dxa"/>
            <w:vAlign w:val="bottom"/>
          </w:tcPr>
          <w:p>
            <w:pPr>
              <w:spacing w:after="0"/>
              <w:rPr>
                <w:sz w:val="1"/>
                <w:szCs w:val="1"/>
                <w:color w:val="auto"/>
              </w:rPr>
            </w:pPr>
          </w:p>
        </w:tc>
      </w:tr>
      <w:tr>
        <w:trPr>
          <w:trHeight w:val="203"/>
        </w:trPr>
        <w:tc>
          <w:tcPr>
            <w:tcW w:w="3580" w:type="dxa"/>
            <w:vAlign w:val="bottom"/>
          </w:tcPr>
          <w:p>
            <w:pPr>
              <w:jc w:val="right"/>
              <w:ind w:right="753"/>
              <w:spacing w:after="0" w:line="203" w:lineRule="exact"/>
              <w:rPr>
                <w:sz w:val="20"/>
                <w:szCs w:val="20"/>
                <w:color w:val="auto"/>
              </w:rPr>
            </w:pPr>
            <w:r>
              <w:rPr>
                <w:rFonts w:ascii="Courier New" w:cs="Courier New" w:eastAsia="Courier New" w:hAnsi="Courier New"/>
                <w:sz w:val="18"/>
                <w:szCs w:val="18"/>
                <w:color w:val="auto"/>
              </w:rPr>
              <w:t>(Peter M. Kreindler,</w:t>
            </w:r>
          </w:p>
        </w:tc>
        <w:tc>
          <w:tcPr>
            <w:tcW w:w="316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jc w:val="right"/>
              <w:ind w:right="953"/>
              <w:spacing w:after="0"/>
              <w:rPr>
                <w:sz w:val="20"/>
                <w:szCs w:val="20"/>
                <w:color w:val="auto"/>
              </w:rPr>
            </w:pPr>
            <w:r>
              <w:rPr>
                <w:rFonts w:ascii="Courier New" w:cs="Courier New" w:eastAsia="Courier New" w:hAnsi="Courier New"/>
                <w:sz w:val="18"/>
                <w:szCs w:val="18"/>
                <w:color w:val="auto"/>
              </w:rPr>
              <w:t>Attorney-in-Fact)</w:t>
            </w:r>
          </w:p>
        </w:tc>
        <w:tc>
          <w:tcPr>
            <w:tcW w:w="3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7" w:name="page8"/>
    <w:bookmarkEnd w:id="7"/>
    <w:p>
      <w:pPr>
        <w:ind w:right="1819" w:firstLine="842"/>
        <w:spacing w:after="0" w:line="274" w:lineRule="auto"/>
        <w:rPr>
          <w:sz w:val="20"/>
          <w:szCs w:val="20"/>
          <w:color w:val="auto"/>
        </w:rPr>
      </w:pPr>
      <w:r>
        <w:rPr>
          <w:rFonts w:ascii="Courier New" w:cs="Courier New" w:eastAsia="Courier New" w:hAnsi="Courier New"/>
          <w:sz w:val="18"/>
          <w:szCs w:val="18"/>
          <w:color w:val="auto"/>
        </w:rPr>
        <w:t>The Plan. Pursuant to the requirements of the Securities Act of 1933, the Plan administrator has duly caused this registration statement to be signed on its behalf by the undersigned, thereunto duly authorized, in the Township of Morris, State of New Jersey, on the 29th day of February, 2000.</w:t>
      </w:r>
    </w:p>
    <w:p>
      <w:pPr>
        <w:spacing w:after="0" w:line="8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Honeywell Savings and Stock Ownership Plan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 /s/ Brian Marcotte</w:t>
      </w:r>
    </w:p>
    <w:p>
      <w:pPr>
        <w:spacing w:after="0" w:line="29"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w:t>
      </w:r>
    </w:p>
    <w:p>
      <w:pPr>
        <w:ind w:left="2420"/>
        <w:spacing w:after="0" w:line="238" w:lineRule="auto"/>
        <w:rPr>
          <w:sz w:val="20"/>
          <w:szCs w:val="20"/>
          <w:color w:val="auto"/>
        </w:rPr>
      </w:pPr>
      <w:r>
        <w:rPr>
          <w:rFonts w:ascii="Courier New" w:cs="Courier New" w:eastAsia="Courier New" w:hAnsi="Courier New"/>
          <w:sz w:val="18"/>
          <w:szCs w:val="18"/>
          <w:color w:val="auto"/>
        </w:rPr>
        <w:t>Brian Marcotte</w:t>
      </w:r>
    </w:p>
    <w:p>
      <w:pPr>
        <w:ind w:left="2420"/>
        <w:spacing w:after="0"/>
        <w:rPr>
          <w:sz w:val="20"/>
          <w:szCs w:val="20"/>
          <w:color w:val="auto"/>
        </w:rPr>
      </w:pPr>
      <w:r>
        <w:rPr>
          <w:rFonts w:ascii="Courier New" w:cs="Courier New" w:eastAsia="Courier New" w:hAnsi="Courier New"/>
          <w:sz w:val="18"/>
          <w:szCs w:val="18"/>
          <w:color w:val="auto"/>
        </w:rPr>
        <w:t>Vice President- Benefits</w:t>
      </w:r>
    </w:p>
    <w:p>
      <w:pPr>
        <w:sectPr>
          <w:pgSz w:w="11900" w:h="16838" w:orient="portrait"/>
          <w:cols w:equalWidth="0" w:num="1">
            <w:col w:w="10139"/>
          </w:cols>
          <w:pgMar w:left="320" w:top="893"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260" w:type="dxa"/>
            <w:vAlign w:val="bottom"/>
            <w:vMerge w:val="restart"/>
          </w:tcPr>
          <w:p>
            <w:pPr>
              <w:ind w:left="2940"/>
              <w:spacing w:after="0"/>
              <w:rPr>
                <w:sz w:val="20"/>
                <w:szCs w:val="20"/>
                <w:color w:val="auto"/>
              </w:rPr>
            </w:pPr>
            <w:r>
              <w:rPr>
                <w:rFonts w:ascii="Courier New" w:cs="Courier New" w:eastAsia="Courier New" w:hAnsi="Courier New"/>
                <w:sz w:val="18"/>
                <w:szCs w:val="18"/>
                <w:color w:val="auto"/>
              </w:rPr>
              <w:t>Description</w:t>
            </w:r>
          </w:p>
        </w:tc>
        <w:tc>
          <w:tcPr>
            <w:tcW w:w="420" w:type="dxa"/>
            <w:vAlign w:val="bottom"/>
            <w:vMerge w:val="restart"/>
          </w:tcPr>
          <w:p>
            <w:pPr>
              <w:spacing w:after="0"/>
              <w:rPr>
                <w:sz w:val="20"/>
                <w:szCs w:val="20"/>
                <w:color w:val="auto"/>
              </w:rPr>
            </w:pPr>
            <w:r>
              <w:rPr>
                <w:rFonts w:ascii="Courier New" w:cs="Courier New" w:eastAsia="Courier New" w:hAnsi="Courier New"/>
                <w:sz w:val="18"/>
                <w:szCs w:val="18"/>
                <w:color w:val="auto"/>
                <w:w w:val="92"/>
              </w:rPr>
              <w:t>Page</w:t>
            </w:r>
          </w:p>
        </w:tc>
        <w:tc>
          <w:tcPr>
            <w:tcW w:w="0" w:type="dxa"/>
            <w:vAlign w:val="bottom"/>
          </w:tcPr>
          <w:p>
            <w:pPr>
              <w:spacing w:after="0"/>
              <w:rPr>
                <w:sz w:val="1"/>
                <w:szCs w:val="1"/>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w:t>
            </w:r>
          </w:p>
        </w:tc>
        <w:tc>
          <w:tcPr>
            <w:tcW w:w="72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7260" w:type="dxa"/>
            <w:vAlign w:val="bottom"/>
          </w:tcPr>
          <w:p>
            <w:pPr>
              <w:ind w:left="2940"/>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514"/>
        </w:trPr>
        <w:tc>
          <w:tcPr>
            <w:tcW w:w="96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260" w:type="dxa"/>
            <w:vAlign w:val="bottom"/>
          </w:tcPr>
          <w:p>
            <w:pPr>
              <w:ind w:left="200"/>
              <w:spacing w:after="0"/>
              <w:rPr>
                <w:sz w:val="20"/>
                <w:szCs w:val="20"/>
                <w:color w:val="auto"/>
              </w:rPr>
            </w:pPr>
            <w:r>
              <w:rPr>
                <w:rFonts w:ascii="Courier New" w:cs="Courier New" w:eastAsia="Courier New" w:hAnsi="Courier New"/>
                <w:sz w:val="18"/>
                <w:szCs w:val="18"/>
                <w:color w:val="auto"/>
                <w:w w:val="97"/>
              </w:rPr>
              <w:t>Honeywell's Restated Certificate of Incorporation, (incorporated by</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Courier New" w:cs="Courier New" w:eastAsia="Courier New" w:hAnsi="Courier New"/>
                <w:sz w:val="18"/>
                <w:szCs w:val="18"/>
                <w:color w:val="auto"/>
                <w:w w:val="98"/>
              </w:rPr>
              <w:t>reference to Exhibit 3(i) to our Form 8-K filed December 3, 1999).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Honeywell's By-laws, as amended (incorporated by reference to Exhibit</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Courier New" w:cs="Courier New" w:eastAsia="Courier New" w:hAnsi="Courier New"/>
                <w:sz w:val="18"/>
                <w:szCs w:val="18"/>
                <w:color w:val="auto"/>
              </w:rPr>
              <w:t>3(ii) to our Form 8-K filed December 3, 1999.)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7260" w:type="dxa"/>
            <w:vAlign w:val="bottom"/>
          </w:tcPr>
          <w:p>
            <w:pPr>
              <w:ind w:left="200"/>
              <w:spacing w:after="0"/>
              <w:rPr>
                <w:sz w:val="20"/>
                <w:szCs w:val="20"/>
                <w:color w:val="auto"/>
              </w:rPr>
            </w:pPr>
            <w:r>
              <w:rPr>
                <w:rFonts w:ascii="Courier New" w:cs="Courier New" w:eastAsia="Courier New" w:hAnsi="Courier New"/>
                <w:sz w:val="18"/>
                <w:szCs w:val="18"/>
                <w:color w:val="auto"/>
              </w:rPr>
              <w:t>Consent of PricewaterhouseCoopers LLP (filed herewith).</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7260" w:type="dxa"/>
            <w:vAlign w:val="bottom"/>
          </w:tcPr>
          <w:p>
            <w:pPr>
              <w:ind w:left="200"/>
              <w:spacing w:after="0"/>
              <w:rPr>
                <w:sz w:val="20"/>
                <w:szCs w:val="20"/>
                <w:color w:val="auto"/>
              </w:rPr>
            </w:pPr>
            <w:r>
              <w:rPr>
                <w:rFonts w:ascii="Courier New" w:cs="Courier New" w:eastAsia="Courier New" w:hAnsi="Courier New"/>
                <w:sz w:val="18"/>
                <w:szCs w:val="18"/>
                <w:color w:val="auto"/>
              </w:rPr>
              <w:t>Consent of Deloitte &amp; Touche LLP (filed herewith).</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7260" w:type="dxa"/>
            <w:vAlign w:val="bottom"/>
          </w:tcPr>
          <w:p>
            <w:pPr>
              <w:ind w:left="200"/>
              <w:spacing w:after="0"/>
              <w:rPr>
                <w:sz w:val="20"/>
                <w:szCs w:val="20"/>
                <w:color w:val="auto"/>
              </w:rPr>
            </w:pPr>
            <w:r>
              <w:rPr>
                <w:rFonts w:ascii="Courier New" w:cs="Courier New" w:eastAsia="Courier New" w:hAnsi="Courier New"/>
                <w:sz w:val="18"/>
                <w:szCs w:val="18"/>
                <w:color w:val="auto"/>
              </w:rPr>
              <w:t>Powers of Attorney (filed herewith).</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298" w:right="1440" w:bottom="1440" w:gutter="0" w:footer="0" w:header="0"/>
        </w:sectPr>
      </w:pPr>
    </w:p>
    <w:bookmarkStart w:id="9" w:name="page10"/>
    <w:bookmarkEnd w:id="9"/>
    <w:p>
      <w:pPr>
        <w:ind w:left="6640"/>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1" w:lineRule="exact"/>
        <w:rPr>
          <w:sz w:val="20"/>
          <w:szCs w:val="20"/>
          <w:color w:val="auto"/>
        </w:rPr>
      </w:pPr>
    </w:p>
    <w:p>
      <w:pPr>
        <w:ind w:right="1819"/>
        <w:spacing w:after="0" w:line="256"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 dated January 27, 2000, except as to the subsequent event described in Note 25 which is as of February 4, 2000, relating to the financial statements, which appears in the 1999 Annual Report to Shareowners of Honeywell International Inc. (the "Company"), which is incorporated by reference in the Company's Annual Report on Form 10-K for the year ended December 31, 1999.</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Florham Park, New Jersey</w:t>
      </w:r>
    </w:p>
    <w:p>
      <w:pPr>
        <w:spacing w:after="0"/>
        <w:rPr>
          <w:sz w:val="20"/>
          <w:szCs w:val="20"/>
          <w:color w:val="auto"/>
        </w:rPr>
      </w:pPr>
      <w:r>
        <w:rPr>
          <w:rFonts w:ascii="Courier New" w:cs="Courier New" w:eastAsia="Courier New" w:hAnsi="Courier New"/>
          <w:sz w:val="18"/>
          <w:szCs w:val="18"/>
          <w:color w:val="auto"/>
        </w:rPr>
        <w:t>February 29, 2000</w:t>
      </w:r>
    </w:p>
    <w:p>
      <w:pPr>
        <w:sectPr>
          <w:pgSz w:w="11900" w:h="16838" w:orient="portrait"/>
          <w:cols w:equalWidth="0" w:num="1">
            <w:col w:w="10139"/>
          </w:cols>
          <w:pgMar w:left="320" w:top="717" w:right="1440" w:bottom="1440" w:gutter="0" w:footer="0" w:header="0"/>
        </w:sectPr>
      </w:pPr>
    </w:p>
    <w:bookmarkStart w:id="10" w:name="page11"/>
    <w:bookmarkEnd w:id="10"/>
    <w:p>
      <w:pPr>
        <w:ind w:left="6640"/>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ind w:right="1699"/>
        <w:spacing w:after="0" w:line="260"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Honeywell International Inc. on Form S-8 of our reports dated February 10, 1999 and June 18, 1999, appearing in the Annual Report on Form 10-K of Honeywell International Inc. for the year ended December 31, 1999 and in the Annual Report on Form 11-K of Honeywell Savings and Stock Ownership Plan for the year ended December 31, 1998, respectively.</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Parsipanny, New Jersey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29, 2000</w:t>
      </w:r>
    </w:p>
    <w:p>
      <w:pPr>
        <w:sectPr>
          <w:pgSz w:w="11900" w:h="16838" w:orient="portrait"/>
          <w:cols w:equalWidth="0" w:num="1">
            <w:col w:w="10139"/>
          </w:cols>
          <w:pgMar w:left="320" w:top="515" w:right="1440" w:bottom="1440" w:gutter="0" w:footer="0" w:header="0"/>
        </w:sectPr>
      </w:pPr>
    </w:p>
    <w:bookmarkStart w:id="11" w:name="page12"/>
    <w:bookmarkEnd w:id="11"/>
    <w:p>
      <w:pPr>
        <w:spacing w:after="0" w:line="173"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819" w:firstLine="632"/>
        <w:spacing w:after="0" w:line="289" w:lineRule="auto"/>
        <w:rPr>
          <w:sz w:val="20"/>
          <w:szCs w:val="20"/>
          <w:color w:val="auto"/>
        </w:rPr>
      </w:pPr>
      <w:r>
        <w:rPr>
          <w:rFonts w:ascii="Courier New" w:cs="Courier New" w:eastAsia="Courier New" w:hAnsi="Courier New"/>
          <w:sz w:val="16"/>
          <w:szCs w:val="16"/>
          <w:color w:val="auto"/>
        </w:rPr>
        <w:t>I, Lawrence A. Bossidy, a director of Honeywell International Inc., a Delaware corporation (the "Company"), hereby appoint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76" w:lineRule="exact"/>
        <w:rPr>
          <w:sz w:val="20"/>
          <w:szCs w:val="20"/>
          <w:color w:val="auto"/>
        </w:rPr>
      </w:pPr>
    </w:p>
    <w:p>
      <w:pPr>
        <w:ind w:right="1699" w:firstLine="1903"/>
        <w:spacing w:after="0" w:line="245" w:lineRule="auto"/>
        <w:tabs>
          <w:tab w:leader="none" w:pos="231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 Lawrence A. Bossidy</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Lawrence A. Bossidy</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89" w:lineRule="auto"/>
        <w:rPr>
          <w:sz w:val="20"/>
          <w:szCs w:val="20"/>
          <w:color w:val="auto"/>
        </w:rPr>
      </w:pPr>
      <w:r>
        <w:rPr>
          <w:rFonts w:ascii="Courier New" w:cs="Courier New" w:eastAsia="Courier New" w:hAnsi="Courier New"/>
          <w:sz w:val="16"/>
          <w:szCs w:val="16"/>
          <w:color w:val="auto"/>
        </w:rPr>
        <w:t>I, Michael R. Bonsignore, a director of Honeywell International Inc., a Delaware corporation (the "Company"), hereby appoint Lawrence A. Bossidy,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76" w:lineRule="exact"/>
        <w:rPr>
          <w:sz w:val="20"/>
          <w:szCs w:val="20"/>
          <w:color w:val="auto"/>
        </w:rPr>
      </w:pPr>
    </w:p>
    <w:p>
      <w:pPr>
        <w:ind w:right="1699" w:firstLine="1903"/>
        <w:spacing w:after="0" w:line="279" w:lineRule="auto"/>
        <w:tabs>
          <w:tab w:leader="none" w:pos="231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w:t>
      </w:r>
    </w:p>
    <w:p>
      <w:pPr>
        <w:sectPr>
          <w:pgSz w:w="11900" w:h="17011" w:orient="portrait"/>
          <w:cols w:equalWidth="0" w:num="1">
            <w:col w:w="10139"/>
          </w:cols>
          <w:pgMar w:left="320" w:top="312" w:right="1440" w:bottom="0" w:gutter="0" w:footer="0" w:header="0"/>
        </w:sectPr>
      </w:pPr>
    </w:p>
    <w:bookmarkStart w:id="12" w:name="page13"/>
    <w:bookmarkEnd w:id="12"/>
    <w:p>
      <w:pPr>
        <w:ind w:right="2019"/>
        <w:spacing w:after="0" w:line="346" w:lineRule="auto"/>
        <w:rPr>
          <w:sz w:val="20"/>
          <w:szCs w:val="20"/>
          <w:color w:val="auto"/>
        </w:rPr>
      </w:pPr>
      <w:r>
        <w:rPr>
          <w:rFonts w:ascii="Courier New" w:cs="Courier New" w:eastAsia="Courier New" w:hAnsi="Courier New"/>
          <w:sz w:val="18"/>
          <w:szCs w:val="18"/>
          <w:color w:val="auto"/>
        </w:rPr>
        <w:t>plan pursuant to which securities of the Corporation are issued to employees, and</w:t>
      </w:r>
    </w:p>
    <w:p>
      <w:pPr>
        <w:spacing w:after="0" w:line="20" w:lineRule="exact"/>
        <w:rPr>
          <w:sz w:val="20"/>
          <w:szCs w:val="20"/>
          <w:color w:val="auto"/>
        </w:rPr>
      </w:pPr>
    </w:p>
    <w:p>
      <w:pPr>
        <w:ind w:right="1699" w:firstLine="1903"/>
        <w:spacing w:after="0" w:line="274" w:lineRule="auto"/>
        <w:tabs>
          <w:tab w:leader="none" w:pos="231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Michael R. Bonsignore</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Michael R. Bonsignore</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110" w:right="1440" w:bottom="1440" w:gutter="0" w:footer="0" w:header="0"/>
        </w:sectPr>
      </w:pPr>
    </w:p>
    <w:bookmarkStart w:id="13" w:name="page14"/>
    <w:bookmarkEnd w:id="13"/>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31" w:lineRule="exact"/>
        <w:rPr>
          <w:sz w:val="20"/>
          <w:szCs w:val="20"/>
          <w:color w:val="auto"/>
        </w:rPr>
      </w:pPr>
    </w:p>
    <w:p>
      <w:pPr>
        <w:ind w:right="1699" w:firstLine="632"/>
        <w:spacing w:after="0" w:line="247" w:lineRule="auto"/>
        <w:rPr>
          <w:sz w:val="20"/>
          <w:szCs w:val="20"/>
          <w:color w:val="auto"/>
        </w:rPr>
      </w:pPr>
      <w:r>
        <w:rPr>
          <w:rFonts w:ascii="Courier New" w:cs="Courier New" w:eastAsia="Courier New" w:hAnsi="Courier New"/>
          <w:sz w:val="18"/>
          <w:szCs w:val="18"/>
          <w:color w:val="auto"/>
        </w:rPr>
        <w:t>I, Hans W. Becherer,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4" w:lineRule="exact"/>
        <w:rPr>
          <w:sz w:val="20"/>
          <w:szCs w:val="20"/>
          <w:color w:val="auto"/>
        </w:rPr>
      </w:pPr>
    </w:p>
    <w:p>
      <w:pPr>
        <w:ind w:right="1699" w:firstLine="1903"/>
        <w:spacing w:after="0" w:line="245" w:lineRule="auto"/>
        <w:tabs>
          <w:tab w:leader="none" w:pos="231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Hans W. Becherer</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Hans W. Becherer</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14" w:name="page15"/>
    <w:bookmarkEnd w:id="14"/>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I, Gordon M. Bethune,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903"/>
        <w:spacing w:after="0" w:line="245" w:lineRule="auto"/>
        <w:tabs>
          <w:tab w:leader="none" w:pos="231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Gordon M. Bethune</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Gordon M. Bethune</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15" w:name="page16"/>
    <w:bookmarkEnd w:id="15"/>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I, Marshall N. Carter,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903"/>
        <w:spacing w:after="0" w:line="245" w:lineRule="auto"/>
        <w:tabs>
          <w:tab w:leader="none" w:pos="231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 Marshall N. Carter</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Marshall N. Carter</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16" w:name="page17"/>
    <w:bookmarkEnd w:id="16"/>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I, Jamie Chico Pardo,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903"/>
        <w:spacing w:after="0" w:line="245" w:lineRule="auto"/>
        <w:tabs>
          <w:tab w:leader="none" w:pos="231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Jaime Chico Pardo</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Jaime Chico Pardo</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17" w:name="page18"/>
    <w:bookmarkEnd w:id="17"/>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I, Ann M. Fudge,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903"/>
        <w:spacing w:after="0" w:line="245" w:lineRule="auto"/>
        <w:tabs>
          <w:tab w:leader="none" w:pos="231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Ann M. Fudge</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Ann M. Fudge</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18" w:name="page19"/>
    <w:bookmarkEnd w:id="18"/>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I, James J. Howard,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903"/>
        <w:spacing w:after="0" w:line="245" w:lineRule="auto"/>
        <w:tabs>
          <w:tab w:leader="none" w:pos="231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James J. Howard</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James J. Howard</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19" w:name="page20"/>
    <w:bookmarkEnd w:id="19"/>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42" w:lineRule="auto"/>
        <w:rPr>
          <w:sz w:val="20"/>
          <w:szCs w:val="20"/>
          <w:color w:val="auto"/>
        </w:rPr>
      </w:pPr>
      <w:r>
        <w:rPr>
          <w:rFonts w:ascii="Courier New" w:cs="Courier New" w:eastAsia="Courier New" w:hAnsi="Courier New"/>
          <w:sz w:val="18"/>
          <w:szCs w:val="18"/>
          <w:color w:val="auto"/>
        </w:rPr>
        <w:t>I, Bruce Karatz,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4" w:lineRule="exact"/>
        <w:rPr>
          <w:sz w:val="20"/>
          <w:szCs w:val="20"/>
          <w:color w:val="auto"/>
        </w:rPr>
      </w:pPr>
    </w:p>
    <w:p>
      <w:pPr>
        <w:ind w:right="1699" w:firstLine="1903"/>
        <w:spacing w:after="0" w:line="242" w:lineRule="auto"/>
        <w:tabs>
          <w:tab w:leader="none" w:pos="231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17"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Bruce Karatz</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Bruce Karatz</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20" w:name="page21"/>
    <w:bookmarkEnd w:id="20"/>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I, Robert P. Luciano,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903"/>
        <w:spacing w:after="0" w:line="245" w:lineRule="auto"/>
        <w:tabs>
          <w:tab w:leader="none" w:pos="231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Robert P. Luciano</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Robert P. Luciano</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21" w:name="page22"/>
    <w:bookmarkEnd w:id="21"/>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I, Russell E. Palmer,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903"/>
        <w:spacing w:after="0" w:line="245" w:lineRule="auto"/>
        <w:tabs>
          <w:tab w:leader="none" w:pos="231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Russell E. Palmer</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Russell E. Palmer</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22" w:name="page23"/>
    <w:bookmarkEnd w:id="22"/>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I, Ivan G. Seidenberg,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903"/>
        <w:spacing w:after="0" w:line="245" w:lineRule="auto"/>
        <w:tabs>
          <w:tab w:leader="none" w:pos="231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 Ivan G. Seidenberg</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Ivan G. Seidenberg</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23" w:name="page24"/>
    <w:bookmarkEnd w:id="23"/>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I, Andrew C. Sigler,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903"/>
        <w:spacing w:after="0" w:line="245" w:lineRule="auto"/>
        <w:tabs>
          <w:tab w:leader="none" w:pos="231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Andrew C. Sigler</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Andrew C. Sigler</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24" w:name="page25"/>
    <w:bookmarkEnd w:id="24"/>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I, John R. Stafford,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903"/>
        <w:spacing w:after="0" w:line="245" w:lineRule="auto"/>
        <w:tabs>
          <w:tab w:leader="none" w:pos="231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John R. Stafford</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John R. Stafford</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25" w:name="page26"/>
    <w:bookmarkEnd w:id="25"/>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632"/>
        <w:spacing w:after="0" w:line="251" w:lineRule="auto"/>
        <w:rPr>
          <w:sz w:val="20"/>
          <w:szCs w:val="20"/>
          <w:color w:val="auto"/>
        </w:rPr>
      </w:pPr>
      <w:r>
        <w:rPr>
          <w:rFonts w:ascii="Courier New" w:cs="Courier New" w:eastAsia="Courier New" w:hAnsi="Courier New"/>
          <w:sz w:val="18"/>
          <w:szCs w:val="18"/>
          <w:color w:val="auto"/>
        </w:rPr>
        <w:t>I, Michael W. Wright,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903"/>
        <w:spacing w:after="0" w:line="245" w:lineRule="auto"/>
        <w:tabs>
          <w:tab w:leader="none" w:pos="231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1699" w:firstLine="1903"/>
        <w:spacing w:after="0" w:line="274" w:lineRule="auto"/>
        <w:tabs>
          <w:tab w:leader="none" w:pos="231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439" w:firstLine="948"/>
        <w:spacing w:after="0" w:line="402" w:lineRule="auto"/>
        <w:rPr>
          <w:sz w:val="20"/>
          <w:szCs w:val="20"/>
          <w:color w:val="auto"/>
        </w:rPr>
      </w:pPr>
      <w:r>
        <w:rPr>
          <w:rFonts w:ascii="Courier New" w:cs="Courier New" w:eastAsia="Courier New" w:hAnsi="Courier New"/>
          <w:sz w:val="16"/>
          <w:szCs w:val="16"/>
          <w:color w:val="auto"/>
        </w:rPr>
        <w:t>I hereby grant to each such attorney full power and authority to perform every act necessary to be done as fully as I might do in person.</w:t>
      </w:r>
    </w:p>
    <w:p>
      <w:pPr>
        <w:ind w:right="1919" w:firstLine="948"/>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Michael W. Wright</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Michael W. Wright</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sectPr>
      <w:pgSz w:w="11900" w:h="16838" w:orient="portrait"/>
      <w:cols w:equalWidth="0" w:num="1">
        <w:col w:w="10139"/>
      </w:cols>
      <w:pgMar w:left="32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5E45D32"/>
    <w:multiLevelType w:val="hybridMultilevel"/>
    <w:lvl w:ilvl="0">
      <w:lvlJc w:val="left"/>
      <w:lvlText w:val="(%1)"/>
      <w:numFmt w:val="lowerRoman"/>
      <w:start w:val="3"/>
    </w:lvl>
  </w:abstractNum>
  <w:abstractNum w:abstractNumId="3">
    <w:nsid w:val="519B500D"/>
    <w:multiLevelType w:val="hybridMultilevel"/>
    <w:lvl w:ilvl="0">
      <w:lvlJc w:val="left"/>
      <w:lvlText w:val="%1"/>
      <w:numFmt w:val="lowerLetter"/>
      <w:start w:val="1"/>
    </w:lvl>
    <w:lvl w:ilvl="1">
      <w:lvlJc w:val="left"/>
      <w:lvlText w:val="(%2)"/>
      <w:numFmt w:val="decimal"/>
      <w:start w:val="2"/>
    </w:lvl>
  </w:abstractNum>
  <w:abstractNum w:abstractNumId="4">
    <w:nsid w:val="431BD7B7"/>
    <w:multiLevelType w:val="hybridMultilevel"/>
    <w:lvl w:ilvl="0">
      <w:lvlJc w:val="left"/>
      <w:lvlText w:val="(%1)"/>
      <w:numFmt w:val="lowerLetter"/>
      <w:start w:val="2"/>
    </w:lvl>
    <w:lvl w:ilvl="1">
      <w:lvlJc w:val="left"/>
      <w:lvlText w:val="%2"/>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2"/>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2020-10-07T04:35:18Z</dcterms:created>
  <dcterms:modified xsi:type="dcterms:W3CDTF">2020-10-07T04:35:18Z</dcterms:modified>
</cp:coreProperties>
</file>