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SEPTEMBER 3, 1999)</w:t>
      </w:r>
    </w:p>
    <w:p>
      <w:pPr>
        <w:spacing w:after="0" w:line="20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$1,000,000,000</w:t>
      </w:r>
    </w:p>
    <w:p>
      <w:pPr>
        <w:spacing w:after="0" w:line="20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HONEYWELL INTERNATIONAL INC.</w:t>
      </w:r>
    </w:p>
    <w:p>
      <w:pPr>
        <w:ind w:left="3280"/>
        <w:spacing w:after="0" w:line="238" w:lineRule="auto"/>
        <w:rPr>
          <w:sz w:val="20"/>
          <w:szCs w:val="20"/>
          <w:color w:val="auto"/>
        </w:rPr>
      </w:pPr>
      <w:r>
        <w:rPr>
          <w:rFonts w:ascii="Courier New" w:cs="Courier New" w:eastAsia="Courier New" w:hAnsi="Courier New"/>
          <w:sz w:val="18"/>
          <w:szCs w:val="18"/>
          <w:color w:val="auto"/>
        </w:rPr>
        <w:t>101 COLUMBIA ROAD</w:t>
      </w:r>
    </w:p>
    <w:p>
      <w:pPr>
        <w:jc w:val="center"/>
        <w:ind w:right="120"/>
        <w:spacing w:after="0" w:line="238" w:lineRule="auto"/>
        <w:rPr>
          <w:sz w:val="20"/>
          <w:szCs w:val="20"/>
          <w:color w:val="auto"/>
        </w:rPr>
      </w:pPr>
      <w:r>
        <w:rPr>
          <w:rFonts w:ascii="Courier New" w:cs="Courier New" w:eastAsia="Courier New" w:hAnsi="Courier New"/>
          <w:sz w:val="18"/>
          <w:szCs w:val="18"/>
          <w:color w:val="auto"/>
        </w:rPr>
        <w:t>MORRIS TOWNSHIP, NEW JERSEY 07962</w:t>
      </w:r>
    </w:p>
    <w:p>
      <w:pPr>
        <w:jc w:val="center"/>
        <w:spacing w:after="0"/>
        <w:rPr>
          <w:sz w:val="20"/>
          <w:szCs w:val="20"/>
          <w:color w:val="auto"/>
        </w:rPr>
      </w:pPr>
      <w:r>
        <w:rPr>
          <w:rFonts w:ascii="Courier New" w:cs="Courier New" w:eastAsia="Courier New" w:hAnsi="Courier New"/>
          <w:sz w:val="18"/>
          <w:szCs w:val="18"/>
          <w:color w:val="auto"/>
        </w:rPr>
        <w:t>(973) 455-2000</w:t>
      </w:r>
    </w:p>
    <w:p>
      <w:pPr>
        <w:spacing w:after="0" w:line="200"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7.50% NOTES DUE 2010</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20" w:firstLine="421"/>
        <w:spacing w:after="0" w:line="236" w:lineRule="auto"/>
        <w:rPr>
          <w:sz w:val="20"/>
          <w:szCs w:val="20"/>
          <w:color w:val="auto"/>
        </w:rPr>
      </w:pPr>
      <w:r>
        <w:rPr>
          <w:rFonts w:ascii="Courier New" w:cs="Courier New" w:eastAsia="Courier New" w:hAnsi="Courier New"/>
          <w:sz w:val="18"/>
          <w:szCs w:val="18"/>
          <w:color w:val="auto"/>
        </w:rPr>
        <w:t>The notes will bear interest at the rate of 7.50% per year. Interest on the notes is payable in arrears on March 1 and September 1 of each year, beginning on September 1, 2000. The notes will mature on March 1, 2010.</w:t>
      </w:r>
    </w:p>
    <w:p>
      <w:pPr>
        <w:spacing w:after="0" w:line="208" w:lineRule="exact"/>
        <w:rPr>
          <w:sz w:val="24"/>
          <w:szCs w:val="24"/>
          <w:color w:val="auto"/>
        </w:rPr>
      </w:pPr>
    </w:p>
    <w:p>
      <w:pPr>
        <w:ind w:right="960" w:firstLine="421"/>
        <w:spacing w:after="0" w:line="235" w:lineRule="auto"/>
        <w:rPr>
          <w:sz w:val="20"/>
          <w:szCs w:val="20"/>
          <w:color w:val="auto"/>
        </w:rPr>
      </w:pPr>
      <w:r>
        <w:rPr>
          <w:rFonts w:ascii="Courier New" w:cs="Courier New" w:eastAsia="Courier New" w:hAnsi="Courier New"/>
          <w:sz w:val="18"/>
          <w:szCs w:val="18"/>
          <w:color w:val="auto"/>
        </w:rPr>
        <w:t>Application has been made to list the notes on the Luxembourg Stock Exchange.</w:t>
      </w:r>
    </w:p>
    <w:p>
      <w:pPr>
        <w:spacing w:after="0" w:line="208" w:lineRule="exact"/>
        <w:rPr>
          <w:sz w:val="24"/>
          <w:szCs w:val="24"/>
          <w:color w:val="auto"/>
        </w:rPr>
      </w:pPr>
    </w:p>
    <w:p>
      <w:pPr>
        <w:ind w:right="740" w:firstLine="421"/>
        <w:spacing w:after="0" w:line="237" w:lineRule="auto"/>
        <w:rPr>
          <w:sz w:val="20"/>
          <w:szCs w:val="20"/>
          <w:color w:val="auto"/>
        </w:rPr>
      </w:pPr>
      <w:r>
        <w:rPr>
          <w:rFonts w:ascii="Courier New" w:cs="Courier New" w:eastAsia="Courier New" w:hAnsi="Courier New"/>
          <w:sz w:val="18"/>
          <w:szCs w:val="18"/>
          <w:color w:val="auto"/>
        </w:rPr>
        <w:t>On December 1, 1999, AlliedSignal Inc. changed its name to Honeywell International Inc. On that date, a wholly-owned subsidiary of Honeywell International Inc. merged into Honeywell Inc., which as a result became a wholly-owned subsidiary of Honeywell International Inc.</w:t>
      </w:r>
    </w:p>
    <w:p>
      <w:pPr>
        <w:spacing w:after="0" w:line="207" w:lineRule="exact"/>
        <w:rPr>
          <w:sz w:val="24"/>
          <w:szCs w:val="24"/>
          <w:color w:val="auto"/>
        </w:rPr>
      </w:pPr>
    </w:p>
    <w:p>
      <w:pPr>
        <w:ind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PER NOTE</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Public Offering Price</w:t>
      </w:r>
      <w:r>
        <w:rPr>
          <w:sz w:val="20"/>
          <w:szCs w:val="20"/>
          <w:color w:val="auto"/>
        </w:rPr>
        <w:tab/>
      </w:r>
      <w:r>
        <w:rPr>
          <w:rFonts w:ascii="Courier New" w:cs="Courier New" w:eastAsia="Courier New" w:hAnsi="Courier New"/>
          <w:sz w:val="16"/>
          <w:szCs w:val="16"/>
          <w:color w:val="auto"/>
        </w:rPr>
        <w:t>99.653%</w:t>
      </w:r>
    </w:p>
    <w:p>
      <w:pPr>
        <w:spacing w:after="0"/>
        <w:tabs>
          <w:tab w:leader="none" w:pos="6520" w:val="left"/>
        </w:tabs>
        <w:rPr>
          <w:sz w:val="20"/>
          <w:szCs w:val="20"/>
          <w:color w:val="auto"/>
        </w:rPr>
      </w:pPr>
      <w:r>
        <w:rPr>
          <w:rFonts w:ascii="Courier New" w:cs="Courier New" w:eastAsia="Courier New" w:hAnsi="Courier New"/>
          <w:sz w:val="18"/>
          <w:szCs w:val="18"/>
          <w:color w:val="auto"/>
        </w:rPr>
        <w:t>Underwriting Discount</w:t>
      </w:r>
      <w:r>
        <w:rPr>
          <w:sz w:val="20"/>
          <w:szCs w:val="20"/>
          <w:color w:val="auto"/>
        </w:rPr>
        <w:tab/>
      </w:r>
      <w:r>
        <w:rPr>
          <w:rFonts w:ascii="Courier New" w:cs="Courier New" w:eastAsia="Courier New" w:hAnsi="Courier New"/>
          <w:sz w:val="16"/>
          <w:szCs w:val="16"/>
          <w:color w:val="auto"/>
        </w:rPr>
        <w:t>.450%</w:t>
      </w:r>
    </w:p>
    <w:p>
      <w:pPr>
        <w:spacing w:after="0"/>
        <w:tabs>
          <w:tab w:leader="none" w:pos="6300" w:val="left"/>
        </w:tabs>
        <w:rPr>
          <w:sz w:val="20"/>
          <w:szCs w:val="20"/>
          <w:color w:val="auto"/>
        </w:rPr>
      </w:pPr>
      <w:r>
        <w:rPr>
          <w:rFonts w:ascii="Courier New" w:cs="Courier New" w:eastAsia="Courier New" w:hAnsi="Courier New"/>
          <w:sz w:val="18"/>
          <w:szCs w:val="18"/>
          <w:color w:val="auto"/>
        </w:rPr>
        <w:t>Proceeds to Honeywell (before expenses)</w:t>
      </w:r>
      <w:r>
        <w:rPr>
          <w:sz w:val="20"/>
          <w:szCs w:val="20"/>
          <w:color w:val="auto"/>
        </w:rPr>
        <w:tab/>
      </w:r>
      <w:r>
        <w:rPr>
          <w:rFonts w:ascii="Courier New" w:cs="Courier New" w:eastAsia="Courier New" w:hAnsi="Courier New"/>
          <w:sz w:val="16"/>
          <w:szCs w:val="16"/>
          <w:color w:val="auto"/>
        </w:rPr>
        <w:t>99.203%</w:t>
      </w:r>
    </w:p>
    <w:p>
      <w:pPr>
        <w:spacing w:after="0" w:line="200" w:lineRule="exact"/>
        <w:rPr>
          <w:sz w:val="24"/>
          <w:szCs w:val="24"/>
          <w:color w:val="auto"/>
        </w:rPr>
      </w:pPr>
    </w:p>
    <w:p>
      <w:pPr>
        <w:spacing w:after="0" w:line="204"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8"/>
          <w:szCs w:val="18"/>
          <w:color w:val="auto"/>
        </w:rPr>
        <w:t>Interest on the notes will accrue from March 1, 2000 to date of delivery.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20" w:firstLine="421"/>
        <w:spacing w:after="0" w:line="275" w:lineRule="auto"/>
        <w:rPr>
          <w:sz w:val="20"/>
          <w:szCs w:val="20"/>
          <w:color w:val="auto"/>
        </w:rPr>
      </w:pPr>
      <w:r>
        <w:rPr>
          <w:rFonts w:ascii="Courier New" w:cs="Courier New" w:eastAsia="Courier New" w:hAnsi="Courier New"/>
          <w:sz w:val="16"/>
          <w:szCs w:val="16"/>
          <w:color w:val="auto"/>
        </w:rPr>
        <w:t>The underwriters are offering the notes subject to various conditions. The underwriters expect to deliver the notes to purchasers in book-entry form only through the facilities of The Depository Trust Company, Clearstream, Luxembourg or the Euroclear System, as the case may be, on or about March 1, 2000.</w:t>
      </w:r>
    </w:p>
    <w:p>
      <w:pPr>
        <w:spacing w:after="0" w:line="17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SALOMON SMITH BARNEY</w:t>
      </w:r>
      <w:r>
        <w:rPr>
          <w:sz w:val="20"/>
          <w:szCs w:val="20"/>
          <w:color w:val="auto"/>
        </w:rPr>
        <w:tab/>
      </w:r>
      <w:r>
        <w:rPr>
          <w:rFonts w:ascii="Courier New" w:cs="Courier New" w:eastAsia="Courier New" w:hAnsi="Courier New"/>
          <w:sz w:val="16"/>
          <w:szCs w:val="16"/>
          <w:color w:val="auto"/>
        </w:rPr>
        <w:t>J.P. MORGAN &amp; CO.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ind w:left="1160"/>
        <w:spacing w:after="0" w:line="238" w:lineRule="auto"/>
        <w:rPr>
          <w:sz w:val="20"/>
          <w:szCs w:val="20"/>
          <w:color w:val="auto"/>
        </w:rPr>
      </w:pPr>
      <w:r>
        <w:rPr>
          <w:rFonts w:ascii="Courier New" w:cs="Courier New" w:eastAsia="Courier New" w:hAnsi="Courier New"/>
          <w:sz w:val="18"/>
          <w:szCs w:val="18"/>
          <w:color w:val="auto"/>
        </w:rPr>
        <w:t>BARCLAYS CAPITAL</w:t>
      </w:r>
    </w:p>
    <w:p>
      <w:pPr>
        <w:ind w:left="2220"/>
        <w:spacing w:after="0" w:line="238" w:lineRule="auto"/>
        <w:rPr>
          <w:sz w:val="20"/>
          <w:szCs w:val="20"/>
          <w:color w:val="auto"/>
        </w:rPr>
      </w:pPr>
      <w:r>
        <w:rPr>
          <w:rFonts w:ascii="Courier New" w:cs="Courier New" w:eastAsia="Courier New" w:hAnsi="Courier New"/>
          <w:sz w:val="18"/>
          <w:szCs w:val="18"/>
          <w:color w:val="auto"/>
        </w:rPr>
        <w:t>CHASE SECURITIES INC.</w:t>
      </w:r>
    </w:p>
    <w:p>
      <w:pPr>
        <w:ind w:left="3380"/>
        <w:spacing w:after="0"/>
        <w:rPr>
          <w:sz w:val="20"/>
          <w:szCs w:val="20"/>
          <w:color w:val="auto"/>
        </w:rPr>
      </w:pPr>
      <w:r>
        <w:rPr>
          <w:rFonts w:ascii="Courier New" w:cs="Courier New" w:eastAsia="Courier New" w:hAnsi="Courier New"/>
          <w:sz w:val="18"/>
          <w:szCs w:val="18"/>
          <w:color w:val="auto"/>
        </w:rPr>
        <w:t>DEUTSCHE BANC ALEX. BROWN</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24, 2000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322"/>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$996,530,000</w:t>
      </w:r>
    </w:p>
    <w:p>
      <w:pPr>
        <w:spacing w:after="0" w:line="21" w:lineRule="exact"/>
        <w:rPr>
          <w:sz w:val="24"/>
          <w:szCs w:val="24"/>
          <w:color w:val="auto"/>
        </w:rPr>
      </w:pPr>
    </w:p>
    <w:p>
      <w:pPr>
        <w:jc w:val="both"/>
        <w:ind w:left="2" w:hanging="2"/>
        <w:spacing w:after="0" w:line="290" w:lineRule="auto"/>
        <w:tabs>
          <w:tab w:leader="none" w:pos="31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4,500,000 $992,030,000</w:t>
      </w:r>
    </w:p>
    <w:p>
      <w:pPr>
        <w:sectPr>
          <w:pgSz w:w="11900" w:h="16838" w:orient="portrait"/>
          <w:cols w:equalWidth="0" w:num="2">
            <w:col w:w="8440" w:space="518"/>
            <w:col w:w="1262"/>
          </w:cols>
          <w:pgMar w:left="320" w:top="1230" w:right="1359" w:bottom="1440" w:gutter="0" w:footer="0" w:header="0"/>
        </w:sectPr>
      </w:pPr>
    </w:p>
    <w:bookmarkStart w:id="1" w:name="page2"/>
    <w:bookmarkEnd w:id="1"/>
    <w:p>
      <w:pPr>
        <w:ind w:right="169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IN OR INCORPORATED BY REFERENCE IN THIS PROSPECTUS SUPPLEMENT AND THE ACCOMPANYING PROSPECTUS. WE HAVE NOT AUTHORIZED ANYONE TO PROVIDE YOU WITH DIFFERENT INFORMATION. WE ARE NOT MAKING AN OFFER OF THESE SECURITIES IN ANY JURISDICTION WHERE THE OFFER IS NOT PERMITTED. YOU SHOULD NOT ASSUME THAT THE INFORMATION PROVIDED BY THIS PROSPECTUS SUPPLEMENT OR THE ACCOMPANYING PROSPECTUS IS ACCURATE AS OF ANY DATE OTHER THAN THE DATE ON THE FRONT OF THIS PROSPECTUS SUPPLEMENT.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ind w:left="348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r>
      <w:tr>
        <w:trPr>
          <w:trHeight w:val="405"/>
        </w:trPr>
        <w:tc>
          <w:tcPr>
            <w:tcW w:w="6440" w:type="dxa"/>
            <w:vAlign w:val="bottom"/>
          </w:tcPr>
          <w:p>
            <w:pPr>
              <w:jc w:val="center"/>
              <w:ind w:left="1812"/>
              <w:spacing w:after="0"/>
              <w:rPr>
                <w:sz w:val="20"/>
                <w:szCs w:val="20"/>
                <w:color w:val="auto"/>
              </w:rPr>
            </w:pPr>
            <w:r>
              <w:rPr>
                <w:rFonts w:ascii="Courier New" w:cs="Courier New" w:eastAsia="Courier New" w:hAnsi="Courier New"/>
                <w:sz w:val="18"/>
                <w:szCs w:val="18"/>
                <w:color w:val="auto"/>
                <w:w w:val="96"/>
              </w:rPr>
              <w:t>TABLE OF CONTENTS</w:t>
            </w:r>
          </w:p>
        </w:tc>
        <w:tc>
          <w:tcPr>
            <w:tcW w:w="520" w:type="dxa"/>
            <w:vAlign w:val="bottom"/>
          </w:tcPr>
          <w:p>
            <w:pPr>
              <w:spacing w:after="0"/>
              <w:rPr>
                <w:sz w:val="24"/>
                <w:szCs w:val="24"/>
                <w:color w:val="auto"/>
              </w:rPr>
            </w:pPr>
          </w:p>
        </w:tc>
      </w:tr>
      <w:tr>
        <w:trPr>
          <w:trHeight w:val="405"/>
        </w:trPr>
        <w:tc>
          <w:tcPr>
            <w:tcW w:w="6440" w:type="dxa"/>
            <w:vAlign w:val="bottom"/>
          </w:tcPr>
          <w:p>
            <w:pPr>
              <w:jc w:val="center"/>
              <w:ind w:left="1812"/>
              <w:spacing w:after="0"/>
              <w:rPr>
                <w:sz w:val="20"/>
                <w:szCs w:val="20"/>
                <w:color w:val="auto"/>
              </w:rPr>
            </w:pPr>
            <w:r>
              <w:rPr>
                <w:rFonts w:ascii="Courier New" w:cs="Courier New" w:eastAsia="Courier New" w:hAnsi="Courier New"/>
                <w:sz w:val="18"/>
                <w:szCs w:val="18"/>
                <w:color w:val="auto"/>
                <w:w w:val="97"/>
              </w:rPr>
              <w:t>PROSPECTUS SUPPLEMENT</w:t>
            </w:r>
          </w:p>
        </w:tc>
        <w:tc>
          <w:tcPr>
            <w:tcW w:w="520" w:type="dxa"/>
            <w:vAlign w:val="bottom"/>
          </w:tcPr>
          <w:p>
            <w:pPr>
              <w:spacing w:after="0"/>
              <w:rPr>
                <w:sz w:val="24"/>
                <w:szCs w:val="24"/>
                <w:color w:val="auto"/>
              </w:rPr>
            </w:pPr>
          </w:p>
        </w:tc>
      </w:tr>
      <w:tr>
        <w:trPr>
          <w:trHeight w:val="810"/>
        </w:trPr>
        <w:tc>
          <w:tcPr>
            <w:tcW w:w="6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About Honeywell.............................................</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S-4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Recent Developments.........................................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Summary Financial Information...............................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Capitalization..............................................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 Charges and Preferred Stock</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Dividends.................................................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and Executive Officers............................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the Notes....................................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United States Federal Taxation..............................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Where You Can Find More Information.........................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Cautionary Statement Concerning Forward-Looking</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Statements................................................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General Information.........................................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S-28</w:t>
            </w:r>
          </w:p>
        </w:tc>
      </w:tr>
      <w:tr>
        <w:trPr>
          <w:trHeight w:val="608"/>
        </w:trPr>
        <w:tc>
          <w:tcPr>
            <w:tcW w:w="6440" w:type="dxa"/>
            <w:vAlign w:val="bottom"/>
          </w:tcPr>
          <w:p>
            <w:pPr>
              <w:ind w:left="3700"/>
              <w:spacing w:after="0"/>
              <w:rPr>
                <w:sz w:val="20"/>
                <w:szCs w:val="20"/>
                <w:color w:val="auto"/>
              </w:rPr>
            </w:pPr>
            <w:r>
              <w:rPr>
                <w:rFonts w:ascii="Courier New" w:cs="Courier New" w:eastAsia="Courier New" w:hAnsi="Courier New"/>
                <w:sz w:val="18"/>
                <w:szCs w:val="18"/>
                <w:color w:val="auto"/>
              </w:rPr>
              <w:t>PROSPECTUS</w:t>
            </w:r>
          </w:p>
        </w:tc>
        <w:tc>
          <w:tcPr>
            <w:tcW w:w="520" w:type="dxa"/>
            <w:vAlign w:val="bottom"/>
          </w:tcPr>
          <w:p>
            <w:pPr>
              <w:spacing w:after="0"/>
              <w:rPr>
                <w:sz w:val="24"/>
                <w:szCs w:val="24"/>
                <w:color w:val="auto"/>
              </w:rPr>
            </w:pPr>
          </w:p>
        </w:tc>
      </w:tr>
      <w:tr>
        <w:trPr>
          <w:trHeight w:val="810"/>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About This Prospectus.......................................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Where You Can Find More Information About AlliedSignal......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AlliedSignal Inc.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Combination With Honeywell Inc.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 Charges and Preferred Stock</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Dividends.................................................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2"/>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Debt Securities..............................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Book-Entry Issuance.........................................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Plan of Distribution........................................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Opinions..............................................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608"/>
        </w:trPr>
        <w:tc>
          <w:tcPr>
            <w:tcW w:w="6440" w:type="dxa"/>
            <w:vAlign w:val="bottom"/>
          </w:tcPr>
          <w:p>
            <w:pPr>
              <w:jc w:val="center"/>
              <w:ind w:left="1792"/>
              <w:spacing w:after="0"/>
              <w:rPr>
                <w:sz w:val="20"/>
                <w:szCs w:val="20"/>
                <w:color w:val="auto"/>
              </w:rPr>
            </w:pPr>
            <w:r>
              <w:rPr>
                <w:rFonts w:ascii="Courier New" w:cs="Courier New" w:eastAsia="Courier New" w:hAnsi="Courier New"/>
                <w:sz w:val="18"/>
                <w:szCs w:val="18"/>
                <w:color w:val="auto"/>
                <w:w w:val="98"/>
              </w:rPr>
              <w:t>S-2</w:t>
            </w:r>
          </w:p>
        </w:tc>
        <w:tc>
          <w:tcPr>
            <w:tcW w:w="520" w:type="dxa"/>
            <w:vAlign w:val="bottom"/>
          </w:tcPr>
          <w:p>
            <w:pPr>
              <w:spacing w:after="0"/>
              <w:rPr>
                <w:sz w:val="24"/>
                <w:szCs w:val="24"/>
                <w:color w:val="auto"/>
              </w:rPr>
            </w:pPr>
          </w:p>
        </w:tc>
      </w:tr>
    </w:tbl>
    <w:p>
      <w:pPr>
        <w:sectPr>
          <w:pgSz w:w="11900" w:h="16838" w:orient="portrait"/>
          <w:cols w:equalWidth="0" w:num="1">
            <w:col w:w="10139"/>
          </w:cols>
          <w:pgMar w:left="320" w:top="722" w:right="1440" w:bottom="1440" w:gutter="0" w:footer="0" w:header="0"/>
        </w:sectPr>
      </w:pPr>
    </w:p>
    <w:bookmarkStart w:id="2" w:name="page3"/>
    <w:bookmarkEnd w:id="2"/>
    <w:p>
      <w:pPr>
        <w:ind w:right="1819" w:firstLine="421"/>
        <w:spacing w:after="0" w:line="237" w:lineRule="auto"/>
        <w:rPr>
          <w:sz w:val="20"/>
          <w:szCs w:val="20"/>
          <w:color w:val="auto"/>
        </w:rPr>
      </w:pPr>
      <w:r>
        <w:rPr>
          <w:rFonts w:ascii="Courier New" w:cs="Courier New" w:eastAsia="Courier New" w:hAnsi="Courier New"/>
          <w:sz w:val="18"/>
          <w:szCs w:val="18"/>
          <w:color w:val="auto"/>
        </w:rPr>
        <w:t>References to 'Honeywell' and to 'AlliedSignal' in this prospectus supplement, to 'AlliedSignal' and 'Honeywell International' in the accompanying prospectus, and to 'we', 'us' and 'our' in both this prospectus supplement and the accompanying prospectus are references to Honeywell International Inc. (formerly AlliedSignal Inc.). References to 'Honeywell Inc.' in this prospectus supplement and to 'Honeywell' in the accompanying prospectus are references to Honeywell Inc., which is now a wholly-owned subsidiary of ours following the merger on December 1, 1999.</w:t>
      </w:r>
    </w:p>
    <w:p>
      <w:pPr>
        <w:spacing w:after="0" w:line="212"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This prospectus supplement and the accompanying prospectus include particulars given in compliance with the rules governing the listing of securities on the Luxembourg Stock Exchange for the purpose of giving information with regard to us. Honeywell accepts responsibility for the information contained in this prospectus supplement and the accompanying prospectus. The Luxembourg Stock Exchange takes no responsibility for the contents of this document, makes no representation as to its accuracy or completeness and expressly disclaims any liability whatsoever for any loss howsoever arising from or in reliance upon the whole or any part of the contents of this prospectus supplement and the accompanying prospectus.</w:t>
      </w:r>
    </w:p>
    <w:p>
      <w:pPr>
        <w:spacing w:after="0" w:line="214"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We cannot guarantee that listing will be obtained on the Luxembourg Stock Exchange. Inquiries regarding our listing status on the Luxembourg Stock Exchange should be directed to our Luxembourg listing agent, Deutsche Bank Luxembourg S.A., 2 Boulevard Konrad Adenauer, L-1115 Luxembourg.</w:t>
      </w:r>
    </w:p>
    <w:p>
      <w:pPr>
        <w:spacing w:after="0" w:line="207" w:lineRule="exact"/>
        <w:rPr>
          <w:sz w:val="20"/>
          <w:szCs w:val="20"/>
          <w:color w:val="auto"/>
        </w:rPr>
      </w:pPr>
    </w:p>
    <w:p>
      <w:pPr>
        <w:ind w:right="1699" w:firstLine="421"/>
        <w:spacing w:after="0" w:line="270" w:lineRule="auto"/>
        <w:rPr>
          <w:sz w:val="20"/>
          <w:szCs w:val="20"/>
          <w:color w:val="auto"/>
        </w:rPr>
      </w:pPr>
      <w:r>
        <w:rPr>
          <w:rFonts w:ascii="Courier New" w:cs="Courier New" w:eastAsia="Courier New" w:hAnsi="Courier New"/>
          <w:sz w:val="16"/>
          <w:szCs w:val="16"/>
          <w:color w:val="auto"/>
        </w:rPr>
        <w:t>The notes are offered globally for sale in those jurisdictions in the United States, Europe, Asia and elsewhere where it is lawful to make such offers. The distribution of this prospectus supplement and the accompanying prospectus and the offering of the notes in certain jurisdictions may be restricted by law. Persons who receive this prospectus supplement and the prospectus should inform themselves about and observe any such restrictions. This prospectus supplement and the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w:t>
      </w:r>
    </w:p>
    <w:p>
      <w:pPr>
        <w:spacing w:after="0" w:line="38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References herein to '$' and 'dollars' are to United States dollars.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139"/>
          </w:cols>
          <w:pgMar w:left="320" w:top="722"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ABOUT HONEYWELL</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Honeywell, a Delaware corporation, is a diversified technology and manufacturing leader, serving customers worldwide with aerospace products and services; control technologies for buildings, homes and industry; automotive products; power generation systems; specialty chemicals; fibers; plastics; and electronic and advanced materials. We employ approximately 120,000 people in 95 countries.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aggregate our strategic business units into four reportable segments:</w:t>
      </w:r>
    </w:p>
    <w:p>
      <w:pPr>
        <w:spacing w:after="0" w:line="207" w:lineRule="exact"/>
        <w:rPr>
          <w:sz w:val="20"/>
          <w:szCs w:val="20"/>
          <w:color w:val="auto"/>
        </w:rPr>
      </w:pPr>
    </w:p>
    <w:p>
      <w:pPr>
        <w:ind w:right="1919" w:firstLine="421"/>
        <w:spacing w:after="0" w:line="273" w:lineRule="auto"/>
        <w:rPr>
          <w:sz w:val="20"/>
          <w:szCs w:val="20"/>
          <w:color w:val="auto"/>
        </w:rPr>
      </w:pPr>
      <w:r>
        <w:rPr>
          <w:rFonts w:ascii="Courier New" w:cs="Courier New" w:eastAsia="Courier New" w:hAnsi="Courier New"/>
          <w:sz w:val="16"/>
          <w:szCs w:val="16"/>
          <w:color w:val="auto"/>
        </w:rPr>
        <w:t>AEROSPACE SOLUTIONS. Our Aerospace Solutions segment is a customer-driven global provider of integrated avionics, engines, systems and service solutions for aircraft manufacturers, airlines, business and general aviation, military and airport operations. Our aerospace products can be found on virtually every type of aircraft in use, in nearly every region of the world.</w:t>
      </w:r>
    </w:p>
    <w:p>
      <w:pPr>
        <w:spacing w:after="0" w:line="17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Major product categories for Aerospace Solutions include: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Avionics systems and equipment for communication, navigation and safety</w:t>
      </w:r>
    </w:p>
    <w:p>
      <w:pPr>
        <w:spacing w:after="0" w:line="207" w:lineRule="exact"/>
        <w:rPr>
          <w:sz w:val="20"/>
          <w:szCs w:val="20"/>
          <w:color w:val="auto"/>
        </w:rPr>
      </w:pPr>
    </w:p>
    <w:p>
      <w:pPr>
        <w:ind w:left="540" w:right="2019"/>
        <w:spacing w:after="0" w:line="290" w:lineRule="auto"/>
        <w:rPr>
          <w:sz w:val="20"/>
          <w:szCs w:val="20"/>
          <w:color w:val="auto"/>
        </w:rPr>
      </w:pPr>
      <w:r>
        <w:rPr>
          <w:rFonts w:ascii="Courier New" w:cs="Courier New" w:eastAsia="Courier New" w:hAnsi="Courier New"/>
          <w:sz w:val="16"/>
          <w:szCs w:val="16"/>
          <w:color w:val="auto"/>
        </w:rPr>
        <w:t>Aircraft systems and components including auxiliary power units, environmental controls, aircraft lighting and integrated landing systems</w:t>
      </w:r>
    </w:p>
    <w:p>
      <w:pPr>
        <w:spacing w:after="0" w:line="169" w:lineRule="exact"/>
        <w:rPr>
          <w:sz w:val="20"/>
          <w:szCs w:val="20"/>
          <w:color w:val="auto"/>
        </w:rPr>
      </w:pPr>
    </w:p>
    <w:p>
      <w:pPr>
        <w:ind w:left="540" w:right="2019"/>
        <w:spacing w:after="0" w:line="235" w:lineRule="auto"/>
        <w:rPr>
          <w:sz w:val="20"/>
          <w:szCs w:val="20"/>
          <w:color w:val="auto"/>
        </w:rPr>
      </w:pPr>
      <w:r>
        <w:rPr>
          <w:rFonts w:ascii="Courier New" w:cs="Courier New" w:eastAsia="Courier New" w:hAnsi="Courier New"/>
          <w:sz w:val="18"/>
          <w:szCs w:val="18"/>
          <w:color w:val="auto"/>
        </w:rPr>
        <w:t>Propulsion systems including turboprop and turbofan engines for business and regional aircraft and helicopters</w:t>
      </w:r>
    </w:p>
    <w:p>
      <w:pPr>
        <w:spacing w:after="0" w:line="208" w:lineRule="exact"/>
        <w:rPr>
          <w:sz w:val="20"/>
          <w:szCs w:val="20"/>
          <w:color w:val="auto"/>
        </w:rPr>
      </w:pPr>
    </w:p>
    <w:p>
      <w:pPr>
        <w:ind w:left="540" w:right="2659"/>
        <w:spacing w:after="0" w:line="279" w:lineRule="auto"/>
        <w:rPr>
          <w:sz w:val="20"/>
          <w:szCs w:val="20"/>
          <w:color w:val="auto"/>
        </w:rPr>
      </w:pPr>
      <w:r>
        <w:rPr>
          <w:rFonts w:ascii="Courier New" w:cs="Courier New" w:eastAsia="Courier New" w:hAnsi="Courier New"/>
          <w:sz w:val="16"/>
          <w:szCs w:val="16"/>
          <w:color w:val="auto"/>
        </w:rPr>
        <w:t>Launch and satellite vehicle systems including inertial and global positioning systems, guidance systems, satellite positioning and stabilization systems, and launch vehicle controls</w:t>
      </w:r>
    </w:p>
    <w:p>
      <w:pPr>
        <w:spacing w:after="0" w:line="178" w:lineRule="exact"/>
        <w:rPr>
          <w:sz w:val="20"/>
          <w:szCs w:val="20"/>
          <w:color w:val="auto"/>
        </w:rPr>
      </w:pPr>
    </w:p>
    <w:p>
      <w:pPr>
        <w:ind w:left="540" w:right="2239"/>
        <w:spacing w:after="0" w:line="235" w:lineRule="auto"/>
        <w:rPr>
          <w:sz w:val="20"/>
          <w:szCs w:val="20"/>
          <w:color w:val="auto"/>
        </w:rPr>
      </w:pPr>
      <w:r>
        <w:rPr>
          <w:rFonts w:ascii="Courier New" w:cs="Courier New" w:eastAsia="Courier New" w:hAnsi="Courier New"/>
          <w:sz w:val="18"/>
          <w:szCs w:val="18"/>
          <w:color w:val="auto"/>
        </w:rPr>
        <w:t>Airport systems including satellite landing systems, airport lighting, ground vehicle management and maintenance systems</w:t>
      </w:r>
    </w:p>
    <w:p>
      <w:pPr>
        <w:spacing w:after="0" w:line="208" w:lineRule="exact"/>
        <w:rPr>
          <w:sz w:val="20"/>
          <w:szCs w:val="20"/>
          <w:color w:val="auto"/>
        </w:rPr>
      </w:pPr>
    </w:p>
    <w:p>
      <w:pPr>
        <w:ind w:right="1819" w:firstLine="421"/>
        <w:spacing w:after="0" w:line="235" w:lineRule="auto"/>
        <w:rPr>
          <w:sz w:val="20"/>
          <w:szCs w:val="20"/>
          <w:color w:val="auto"/>
        </w:rPr>
      </w:pPr>
      <w:r>
        <w:rPr>
          <w:rFonts w:ascii="Courier New" w:cs="Courier New" w:eastAsia="Courier New" w:hAnsi="Courier New"/>
          <w:sz w:val="18"/>
          <w:szCs w:val="18"/>
          <w:color w:val="auto"/>
        </w:rPr>
        <w:t>In addition to our aerospace products, we offer a wide range of value-added services, including: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Comprehensive maintenance and support for all our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large portfolio of spare parts and consumable hardware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Inventory management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Logistics and process support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Technical publications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Ground support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Training</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Our Aerospace Solutions sales in 1999 were $9,908 million or basically flat compared with 1998. Sales of avionics products were higher due principally to continued strong demand for flight safety products such as collision avoidance and enhanced ground proximity warning systems. Sales to the aftermarket, particularly repair and overhaul and the military, were also higher. The acquisition of a controlling interest in the Normalair-Garrett Ltd. environmental controls joint venture in the prior year also increased sales in 1999. This increase was offset by lower sales to commercial air transport and military original equipment manufacturers, and the effects of divestitures and a restructuring of a government technical services contract.</w:t>
      </w:r>
    </w:p>
    <w:p>
      <w:pPr>
        <w:spacing w:after="0" w:line="214" w:lineRule="exact"/>
        <w:rPr>
          <w:sz w:val="20"/>
          <w:szCs w:val="20"/>
          <w:color w:val="auto"/>
        </w:rPr>
      </w:pPr>
    </w:p>
    <w:p>
      <w:pPr>
        <w:ind w:right="2239" w:firstLine="421"/>
        <w:spacing w:after="0" w:line="237" w:lineRule="auto"/>
        <w:rPr>
          <w:sz w:val="20"/>
          <w:szCs w:val="20"/>
          <w:color w:val="auto"/>
        </w:rPr>
      </w:pPr>
      <w:r>
        <w:rPr>
          <w:rFonts w:ascii="Courier New" w:cs="Courier New" w:eastAsia="Courier New" w:hAnsi="Courier New"/>
          <w:sz w:val="18"/>
          <w:szCs w:val="18"/>
          <w:color w:val="auto"/>
        </w:rPr>
        <w:t>Our Aerospace Solutions segment profit for 1999 was $1,918 million, an increase of $331 million, or 21 percent compared with 1998. The increase principally resulted from improved sales of higher-margin aftermarket and avionics products and cost structure improvements primarily from census and benefit cost reductions.</w:t>
      </w:r>
    </w:p>
    <w:p>
      <w:pPr>
        <w:spacing w:after="0" w:line="208" w:lineRule="exact"/>
        <w:rPr>
          <w:sz w:val="20"/>
          <w:szCs w:val="20"/>
          <w:color w:val="auto"/>
        </w:rPr>
      </w:pPr>
    </w:p>
    <w:p>
      <w:pPr>
        <w:ind w:right="1819" w:firstLine="421"/>
        <w:spacing w:after="0" w:line="236" w:lineRule="auto"/>
        <w:rPr>
          <w:sz w:val="20"/>
          <w:szCs w:val="20"/>
          <w:color w:val="auto"/>
        </w:rPr>
      </w:pPr>
      <w:r>
        <w:rPr>
          <w:rFonts w:ascii="Courier New" w:cs="Courier New" w:eastAsia="Courier New" w:hAnsi="Courier New"/>
          <w:sz w:val="18"/>
          <w:szCs w:val="18"/>
          <w:color w:val="auto"/>
        </w:rPr>
        <w:t>AUTOMATION &amp; ASSET MANAGEMENT. Our Automation &amp; Asset Management segment is comprised of two strategic business units: Home and Building Control and Industrial Control.</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139"/>
          </w:cols>
          <w:pgMar w:left="320" w:top="514" w:right="1440" w:bottom="570" w:gutter="0" w:footer="0" w:header="0"/>
        </w:sectPr>
      </w:pPr>
    </w:p>
    <w:bookmarkStart w:id="4" w:name="page5"/>
    <w:bookmarkEnd w:id="4"/>
    <w:p>
      <w:pPr>
        <w:ind w:right="2759" w:firstLine="421"/>
        <w:spacing w:after="0" w:line="235" w:lineRule="auto"/>
        <w:rPr>
          <w:sz w:val="20"/>
          <w:szCs w:val="20"/>
          <w:color w:val="auto"/>
        </w:rPr>
      </w:pPr>
      <w:r>
        <w:rPr>
          <w:rFonts w:ascii="Courier New" w:cs="Courier New" w:eastAsia="Courier New" w:hAnsi="Courier New"/>
          <w:sz w:val="18"/>
          <w:szCs w:val="18"/>
          <w:color w:val="auto"/>
        </w:rPr>
        <w:t>Home and Building Control provides products and services to create efficient, safe, comfortable environments. This unit offers:</w:t>
      </w:r>
    </w:p>
    <w:p>
      <w:pPr>
        <w:spacing w:after="0" w:line="208" w:lineRule="exact"/>
        <w:rPr>
          <w:sz w:val="20"/>
          <w:szCs w:val="20"/>
          <w:color w:val="auto"/>
        </w:rPr>
      </w:pPr>
    </w:p>
    <w:p>
      <w:pPr>
        <w:ind w:left="540" w:right="2239"/>
        <w:spacing w:after="0" w:line="235" w:lineRule="auto"/>
        <w:rPr>
          <w:sz w:val="20"/>
          <w:szCs w:val="20"/>
          <w:color w:val="auto"/>
        </w:rPr>
      </w:pPr>
      <w:r>
        <w:rPr>
          <w:rFonts w:ascii="Courier New" w:cs="Courier New" w:eastAsia="Courier New" w:hAnsi="Courier New"/>
          <w:sz w:val="18"/>
          <w:szCs w:val="18"/>
          <w:color w:val="auto"/>
        </w:rPr>
        <w:t>Controls for heating, ventilating, humidification and air-conditioning equipment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Security and fire alarm systems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Home comfort products and integration systems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Energy-efficient lighting controls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Building management systems and services</w:t>
      </w:r>
    </w:p>
    <w:p>
      <w:pPr>
        <w:spacing w:after="0" w:line="207" w:lineRule="exact"/>
        <w:rPr>
          <w:sz w:val="20"/>
          <w:szCs w:val="20"/>
          <w:color w:val="auto"/>
        </w:rPr>
      </w:pPr>
    </w:p>
    <w:p>
      <w:pPr>
        <w:ind w:right="2019" w:firstLine="421"/>
        <w:spacing w:after="0" w:line="275" w:lineRule="auto"/>
        <w:rPr>
          <w:sz w:val="20"/>
          <w:szCs w:val="20"/>
          <w:color w:val="auto"/>
        </w:rPr>
      </w:pPr>
      <w:r>
        <w:rPr>
          <w:rFonts w:ascii="Courier New" w:cs="Courier New" w:eastAsia="Courier New" w:hAnsi="Courier New"/>
          <w:sz w:val="16"/>
          <w:szCs w:val="16"/>
          <w:color w:val="auto"/>
        </w:rPr>
        <w:t>In February 2000, our Home and Building Control business acquired Pittway Corporation, one of the world's leading manufacturers and distributors of security and fire systems and low-voltage products for homes and buildings. Pittway had 1999 sales of $1.6 billion. See 'Recent Developments'.</w:t>
      </w:r>
    </w:p>
    <w:p>
      <w:pPr>
        <w:spacing w:after="0" w:line="182"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Industrial Control is the world's leading supplier of industrial control systems and related advanced software solutions and products. The mission of the Industrial Control unit is to improve our customers' competitiveness through the application of sensing and control technologies.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Our Automation &amp; Asset Management sales in 1999 were $6,115 million, an increase of $158 million, or 3 percent compared with 1998. Sales were higher for the Home and Building Control business driven by growth in control and consumer products and building services and security. Acquisitions also contributed to the sales increase. Lower sales from the energy retrofit and installed systems businesses were a partial offset. Sales for the Industrial Control business were basically flat compared with the prior year. Higher sales due to acquisitions and growth in the sensing and control business were offset by the effects of continued weakness in the pulp and paper and refining markets. Sales for the segment were also negatively impacted by foreign currency fluctuations due to the strong dollar.</w:t>
      </w:r>
    </w:p>
    <w:p>
      <w:pPr>
        <w:spacing w:after="0" w:line="215"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Our Automation &amp; Asset Management segment profit in 1999 was $767 million, an increase of $62 million, or 9 percent compared with 1998. Segment profit for the Home and Building Control business was up significantly due to improvement in the control products business and the exiting of the lower-margin energy retrofit and installed systems businesses. Cost savings from census reductions also contributed to the improvement. This increase was offset somewhat by lower segment profit for the Industrial Control business as growth in the higher-margin sensing and control business and cost structure improvements were more than offset by the effects of continued weakness in the pulp and paper and refining markets.</w:t>
      </w:r>
    </w:p>
    <w:p>
      <w:pPr>
        <w:spacing w:after="0" w:line="214" w:lineRule="exact"/>
        <w:rPr>
          <w:sz w:val="20"/>
          <w:szCs w:val="20"/>
          <w:color w:val="auto"/>
        </w:rPr>
      </w:pPr>
    </w:p>
    <w:p>
      <w:pPr>
        <w:jc w:val="both"/>
        <w:ind w:right="2019" w:firstLine="421"/>
        <w:spacing w:after="0" w:line="236" w:lineRule="auto"/>
        <w:rPr>
          <w:sz w:val="20"/>
          <w:szCs w:val="20"/>
          <w:color w:val="auto"/>
        </w:rPr>
      </w:pPr>
      <w:r>
        <w:rPr>
          <w:rFonts w:ascii="Courier New" w:cs="Courier New" w:eastAsia="Courier New" w:hAnsi="Courier New"/>
          <w:sz w:val="18"/>
          <w:szCs w:val="18"/>
          <w:color w:val="auto"/>
        </w:rPr>
        <w:t>PERFORMANCE MATERIALS. Our Performance Materials segment is comprised of three strategic business units: Electronic Materials, Specialty Chemicals and Performance Polymers.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Electronic Materials is a leading provider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Materials and solutions used in wafer fabrication</w:t>
      </w:r>
    </w:p>
    <w:p>
      <w:pPr>
        <w:spacing w:after="0" w:line="207" w:lineRule="exact"/>
        <w:rPr>
          <w:sz w:val="20"/>
          <w:szCs w:val="20"/>
          <w:color w:val="auto"/>
        </w:rPr>
      </w:pPr>
    </w:p>
    <w:p>
      <w:pPr>
        <w:ind w:left="540" w:right="2119"/>
        <w:spacing w:after="0" w:line="235" w:lineRule="auto"/>
        <w:rPr>
          <w:sz w:val="20"/>
          <w:szCs w:val="20"/>
          <w:color w:val="auto"/>
        </w:rPr>
      </w:pPr>
      <w:r>
        <w:rPr>
          <w:rFonts w:ascii="Courier New" w:cs="Courier New" w:eastAsia="Courier New" w:hAnsi="Courier New"/>
          <w:sz w:val="18"/>
          <w:szCs w:val="18"/>
          <w:color w:val="auto"/>
        </w:rPr>
        <w:t>Specialty electronic materials such as amorphous alloy products, copper foils, and advanced polymers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Advanced packaging substrates for silicon chips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circuit boards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Electronic manufacturing services</w:t>
      </w:r>
    </w:p>
    <w:p>
      <w:pPr>
        <w:spacing w:after="0" w:line="207"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Specialty Chemicals is a leading global manufacturer of specialty and fine chemicals for a broad range of markets. We provide tailored customer solutions worldwide through the Chemical Specialties, Fluorine Products, Pharmaceutical Fine Chemicals, Specialty Wax and Additives businesses that make up our Specialty Chemicals strategic business unit.</w:t>
      </w:r>
    </w:p>
    <w:p>
      <w:pPr>
        <w:spacing w:after="0" w:line="208" w:lineRule="exact"/>
        <w:rPr>
          <w:sz w:val="20"/>
          <w:szCs w:val="20"/>
          <w:color w:val="auto"/>
        </w:rPr>
      </w:pPr>
    </w:p>
    <w:p>
      <w:pPr>
        <w:ind w:right="2019" w:firstLine="421"/>
        <w:spacing w:after="0" w:line="236" w:lineRule="auto"/>
        <w:rPr>
          <w:sz w:val="20"/>
          <w:szCs w:val="20"/>
          <w:color w:val="auto"/>
        </w:rPr>
      </w:pPr>
      <w:r>
        <w:rPr>
          <w:rFonts w:ascii="Courier New" w:cs="Courier New" w:eastAsia="Courier New" w:hAnsi="Courier New"/>
          <w:sz w:val="18"/>
          <w:szCs w:val="18"/>
          <w:color w:val="auto"/>
        </w:rPr>
        <w:t>Performance Polymers is a world leader in the production of nylon, polyester, polyethylene, fluoropolymer and other chemicals used in engineered plastics, specialty films, performance fibers and carpet fibers.</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139"/>
          </w:cols>
          <w:pgMar w:left="320" w:top="722" w:right="1440" w:bottom="368" w:gutter="0" w:footer="0" w:header="0"/>
        </w:sectPr>
      </w:pPr>
    </w:p>
    <w:bookmarkStart w:id="5" w:name="page6"/>
    <w:bookmarkEnd w:id="5"/>
    <w:p>
      <w:pPr>
        <w:ind w:right="1699" w:firstLine="421"/>
        <w:spacing w:after="0" w:line="270" w:lineRule="auto"/>
        <w:rPr>
          <w:sz w:val="20"/>
          <w:szCs w:val="20"/>
          <w:color w:val="auto"/>
        </w:rPr>
      </w:pPr>
      <w:r>
        <w:rPr>
          <w:rFonts w:ascii="Courier New" w:cs="Courier New" w:eastAsia="Courier New" w:hAnsi="Courier New"/>
          <w:sz w:val="16"/>
          <w:szCs w:val="16"/>
          <w:color w:val="auto"/>
        </w:rPr>
        <w:t>Our Performance Materials sales in 1999 were $4,007 million, a decrease of $162 million, or 4 percent compared with 1998 due principally to divestitures including the environmental catalyst, Laminate Systems and phenol businesses. Lower sales for carpet fibers also contributed to the decrease. Higher sales for specialty films, engineering plastics and waxes were a partial offset. Higher sales from the acquisitions of Johnson Matthey Electronics, a supplier of wafer fabrication materials and interconnect products to the electronics and telecommunications industries, and Pharmaceutical Fine Chemicals, a supplier of active and intermediate pharmaceutical chemicals, were also a partial offset.</w:t>
      </w:r>
    </w:p>
    <w:p>
      <w:pPr>
        <w:spacing w:after="0" w:line="190" w:lineRule="exact"/>
        <w:rPr>
          <w:sz w:val="20"/>
          <w:szCs w:val="20"/>
          <w:color w:val="auto"/>
        </w:rPr>
      </w:pPr>
    </w:p>
    <w:p>
      <w:pPr>
        <w:ind w:right="1699" w:firstLine="421"/>
        <w:spacing w:after="0" w:line="271" w:lineRule="auto"/>
        <w:rPr>
          <w:sz w:val="20"/>
          <w:szCs w:val="20"/>
          <w:color w:val="auto"/>
        </w:rPr>
      </w:pPr>
      <w:r>
        <w:rPr>
          <w:rFonts w:ascii="Courier New" w:cs="Courier New" w:eastAsia="Courier New" w:hAnsi="Courier New"/>
          <w:sz w:val="16"/>
          <w:szCs w:val="16"/>
          <w:color w:val="auto"/>
        </w:rPr>
        <w:t>Our Performance Materials segment profit in 1999 was $439 million, a decrease of $195 million, or 31 percent compared with 1998. The decrease principally reflects the effects of the continuing pricing pressures in the Performance Polymers and Electronic Materials businesses and higher raw material costs in certain Performance Polymers businesses. The impact of prior year divestitures also contributed to the decrease. The effect of improved sales volume for specialty films, engineering plastics and waxes was a partial offset.</w:t>
      </w:r>
    </w:p>
    <w:p>
      <w:pPr>
        <w:spacing w:after="0" w:line="18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POWER &amp; TRANSPORTATION PRODUCTS. Our Power &amp; Transportation Products segment is comprised of three strategic business units: Transportation and Power Systems, Consumer Products Group and Friction Materials. This segment's key areas of business include automotive and truck products, engine boosting systems and on-site power generation. Its products include: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Garrett'r' turbochargers and charge air coolers</w:t>
      </w:r>
    </w:p>
    <w:p>
      <w:pPr>
        <w:spacing w:after="0" w:line="207" w:lineRule="exact"/>
        <w:rPr>
          <w:sz w:val="20"/>
          <w:szCs w:val="20"/>
          <w:color w:val="auto"/>
        </w:rPr>
      </w:pPr>
    </w:p>
    <w:p>
      <w:pPr>
        <w:ind w:left="540" w:right="2119"/>
        <w:spacing w:after="0" w:line="235" w:lineRule="auto"/>
        <w:rPr>
          <w:sz w:val="20"/>
          <w:szCs w:val="20"/>
          <w:color w:val="auto"/>
        </w:rPr>
      </w:pPr>
      <w:r>
        <w:rPr>
          <w:rFonts w:ascii="Courier New" w:cs="Courier New" w:eastAsia="Courier New" w:hAnsi="Courier New"/>
          <w:sz w:val="18"/>
          <w:szCs w:val="18"/>
          <w:color w:val="auto"/>
        </w:rPr>
        <w:t>Bendix'r' air brakes, compressors, air dryers, disk brake pads and drum brake linings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JURID'TM' &amp; RoadTuff'r' friction material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FRAM'r' filters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Autolite'r' spark plugs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Prestone'r' and Holts'r' car care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Parallon'TM' 75 TurboGenerator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Simoniz'r' appearance products (outside North America)</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Our Power &amp; Transportation Products sales in 1999 were $3,581 million, an increase of $194 million, or 6 percent compared with 1998. Sales for the Transportation and Power Systems business were significantly higher driven by strong growth for the turbocharging systems business due primarily to continued strong sales in Europe reflecting the turbodiesel's increased penetration of the passenger car market. Sales for our Commercial Vehicle Systems business, which is part of Transportation and Power Systems, increased due principally to increased North American truck builds. Sales for the Consumer Products Group business also increased, led by higher sales of Prestone'r' products and FRAM'r' filters. Lower sales for the Friction Materials business due to pricing pressures and weakness in the European market were a partial offset. Sales were also negatively impacted by foreign currency fluctuations due to the strong dollar.</w:t>
      </w: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Our Power &amp; Transportation Products segment profit in 1999 was</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$322 million, an increase of $88 million, or 38 percent compared with 1998. The increase reflects higher sales for the Transportation and Power Systems and Consumer Products Group businesses. Cost structure improvements in these businesses resulting from Six Sigma initiatives, materials procurement savings and census reductions also contributed to the increase.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OF ALLIEDSIGNAL INC. AND HONEYWELL INC.</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On December 1, 1999, AlliedSignal Inc. and Honeywell Inc. combined to create Honeywell International Inc. On that date, AlliedSignal Inc. changed its name to Honeywell International Inc. and a wholly-owned subsidiary of Honeywell International Inc. merged into Honeywell Inc., which as a result became a wholly-owned subsidiary of Honeywell International Inc. The merger has been accounted for as a pooling of interest.</w:t>
      </w:r>
    </w:p>
    <w:p>
      <w:pPr>
        <w:spacing w:after="0" w:line="209" w:lineRule="exact"/>
        <w:rPr>
          <w:sz w:val="20"/>
          <w:szCs w:val="20"/>
          <w:color w:val="auto"/>
        </w:rPr>
      </w:pPr>
    </w:p>
    <w:p>
      <w:pPr>
        <w:ind w:right="2119" w:firstLine="421"/>
        <w:spacing w:after="0" w:line="236" w:lineRule="auto"/>
        <w:rPr>
          <w:sz w:val="20"/>
          <w:szCs w:val="20"/>
          <w:color w:val="auto"/>
        </w:rPr>
      </w:pPr>
      <w:r>
        <w:rPr>
          <w:rFonts w:ascii="Courier New" w:cs="Courier New" w:eastAsia="Courier New" w:hAnsi="Courier New"/>
          <w:sz w:val="18"/>
          <w:szCs w:val="18"/>
          <w:color w:val="auto"/>
        </w:rPr>
        <w:t>Based on our review of the operations and infrastructure of the combined companies, we expect that we will realize annual cost savings of at least $250 million in 2000, $575 million in</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139"/>
          </w:cols>
          <w:pgMar w:left="320" w:top="722" w:right="1440" w:bottom="165" w:gutter="0" w:footer="0" w:header="0"/>
        </w:sectPr>
      </w:pPr>
    </w:p>
    <w:bookmarkStart w:id="6" w:name="page7"/>
    <w:bookmarkEnd w:id="6"/>
    <w:p>
      <w:pPr>
        <w:ind w:right="2119"/>
        <w:spacing w:after="0" w:line="235" w:lineRule="auto"/>
        <w:rPr>
          <w:sz w:val="20"/>
          <w:szCs w:val="20"/>
          <w:color w:val="auto"/>
        </w:rPr>
      </w:pPr>
      <w:r>
        <w:rPr>
          <w:rFonts w:ascii="Courier New" w:cs="Courier New" w:eastAsia="Courier New" w:hAnsi="Courier New"/>
          <w:sz w:val="18"/>
          <w:szCs w:val="18"/>
          <w:color w:val="auto"/>
        </w:rPr>
        <w:t>2001 and $750 million in 2002. We expect to realize at least $750 million in cost savings in 2002 as follows:</w:t>
      </w:r>
    </w:p>
    <w:p>
      <w:pPr>
        <w:spacing w:after="0" w:line="208" w:lineRule="exact"/>
        <w:rPr>
          <w:sz w:val="20"/>
          <w:szCs w:val="20"/>
          <w:color w:val="auto"/>
        </w:rPr>
      </w:pPr>
    </w:p>
    <w:p>
      <w:pPr>
        <w:ind w:left="540" w:right="1919"/>
        <w:spacing w:after="0" w:line="237" w:lineRule="auto"/>
        <w:rPr>
          <w:sz w:val="20"/>
          <w:szCs w:val="20"/>
          <w:color w:val="auto"/>
        </w:rPr>
      </w:pPr>
      <w:r>
        <w:rPr>
          <w:rFonts w:ascii="Courier New" w:cs="Courier New" w:eastAsia="Courier New" w:hAnsi="Courier New"/>
          <w:sz w:val="18"/>
          <w:szCs w:val="18"/>
          <w:color w:val="auto"/>
        </w:rPr>
        <w:t>by achieving procurement and purchasing efficiencies by utilizing AlliedSignal's and Honeywell Inc.'s combined purchasing capabilities, centralizing the two companies' purchasing processes and benefiting from the added buying efficiencies that we expect as a result of higher volume purchases;</w:t>
      </w:r>
    </w:p>
    <w:p>
      <w:pPr>
        <w:spacing w:after="0" w:line="208" w:lineRule="exact"/>
        <w:rPr>
          <w:sz w:val="20"/>
          <w:szCs w:val="20"/>
          <w:color w:val="auto"/>
        </w:rPr>
      </w:pPr>
    </w:p>
    <w:p>
      <w:pPr>
        <w:ind w:left="540" w:right="1699"/>
        <w:spacing w:after="0" w:line="275" w:lineRule="auto"/>
        <w:rPr>
          <w:sz w:val="20"/>
          <w:szCs w:val="20"/>
          <w:color w:val="auto"/>
        </w:rPr>
      </w:pPr>
      <w:r>
        <w:rPr>
          <w:rFonts w:ascii="Courier New" w:cs="Courier New" w:eastAsia="Courier New" w:hAnsi="Courier New"/>
          <w:sz w:val="16"/>
          <w:szCs w:val="16"/>
          <w:color w:val="auto"/>
        </w:rPr>
        <w:t>by accelerating implementation of our 'Six Sigma' initiative to achieve defect-free performance in manufacturing and other business processes, and applying this initiative to Honeywell Inc.'s businesses, to further enhance the quality of our products and services and increase productivity;</w:t>
      </w:r>
    </w:p>
    <w:p>
      <w:pPr>
        <w:spacing w:after="0" w:line="182" w:lineRule="exact"/>
        <w:rPr>
          <w:sz w:val="20"/>
          <w:szCs w:val="20"/>
          <w:color w:val="auto"/>
        </w:rPr>
      </w:pPr>
    </w:p>
    <w:p>
      <w:pPr>
        <w:ind w:left="540" w:right="2439"/>
        <w:spacing w:after="0" w:line="235" w:lineRule="auto"/>
        <w:rPr>
          <w:sz w:val="20"/>
          <w:szCs w:val="20"/>
          <w:color w:val="auto"/>
        </w:rPr>
      </w:pPr>
      <w:r>
        <w:rPr>
          <w:rFonts w:ascii="Courier New" w:cs="Courier New" w:eastAsia="Courier New" w:hAnsi="Courier New"/>
          <w:sz w:val="18"/>
          <w:szCs w:val="18"/>
          <w:color w:val="auto"/>
        </w:rPr>
        <w:t>by rationalizing corporate overhead costs through the elimination of redundant corporate functions and facilities;</w:t>
      </w:r>
    </w:p>
    <w:p>
      <w:pPr>
        <w:spacing w:after="0" w:line="208" w:lineRule="exact"/>
        <w:rPr>
          <w:sz w:val="20"/>
          <w:szCs w:val="20"/>
          <w:color w:val="auto"/>
        </w:rPr>
      </w:pPr>
    </w:p>
    <w:p>
      <w:pPr>
        <w:ind w:left="540" w:right="2019"/>
        <w:spacing w:after="0" w:line="236" w:lineRule="auto"/>
        <w:rPr>
          <w:sz w:val="20"/>
          <w:szCs w:val="20"/>
          <w:color w:val="auto"/>
        </w:rPr>
      </w:pPr>
      <w:r>
        <w:rPr>
          <w:rFonts w:ascii="Courier New" w:cs="Courier New" w:eastAsia="Courier New" w:hAnsi="Courier New"/>
          <w:sz w:val="18"/>
          <w:szCs w:val="18"/>
          <w:color w:val="auto"/>
        </w:rPr>
        <w:t>by reducing overhead in our aerospace businesses by eliminating redundancies in the sales and administrative functions and field service operations of these businesses;</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by integrating our research and development programs and achieving research and development efficiencies;</w:t>
      </w:r>
    </w:p>
    <w:p>
      <w:pPr>
        <w:spacing w:after="0" w:line="208" w:lineRule="exact"/>
        <w:rPr>
          <w:sz w:val="20"/>
          <w:szCs w:val="20"/>
          <w:color w:val="auto"/>
        </w:rPr>
      </w:pPr>
    </w:p>
    <w:p>
      <w:pPr>
        <w:ind w:left="540" w:right="2019"/>
        <w:spacing w:after="0" w:line="236" w:lineRule="auto"/>
        <w:rPr>
          <w:sz w:val="20"/>
          <w:szCs w:val="20"/>
          <w:color w:val="auto"/>
        </w:rPr>
      </w:pPr>
      <w:r>
        <w:rPr>
          <w:rFonts w:ascii="Courier New" w:cs="Courier New" w:eastAsia="Courier New" w:hAnsi="Courier New"/>
          <w:sz w:val="18"/>
          <w:szCs w:val="18"/>
          <w:color w:val="auto"/>
        </w:rPr>
        <w:t>by reducing our infrastructure costs by integrating AlliedSignal's and Honeywell Inc.'s international operations and eliminating infrastructure redundancies; and</w:t>
      </w:r>
    </w:p>
    <w:p>
      <w:pPr>
        <w:spacing w:after="0" w:line="208"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by providing to Honeywell Inc.'s business units administrative services in the areas of accounting, human resources, travel, information technology and training, through AlliedSignal's centralized shared services organization, and eliminating similar services formerly provided by Honeywell Inc. to its business units.</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While we expect that we will be able to realize these cost savings, we can give no assurance that we will actually be able to do so. Our success in realizing these cost savings, and the timing of this realization, depends on the quality and speed of the integration of our two companies. We may not realize the cost savings that we anticipate from integrating our operations following completion of the merger as fully or as quickly as we expect for a number of reasons, including our large size and worldwide presence and the resulting complexity of our organization or unexpected events such as major changes in the markets in which we operate. See 'Cautionary Statement Concerning Forward-Looking Statements'.</w:t>
      </w:r>
    </w:p>
    <w:p>
      <w:pPr>
        <w:spacing w:after="0" w:line="214" w:lineRule="exact"/>
        <w:rPr>
          <w:sz w:val="20"/>
          <w:szCs w:val="20"/>
          <w:color w:val="auto"/>
        </w:rPr>
      </w:pPr>
    </w:p>
    <w:p>
      <w:pPr>
        <w:ind w:right="1699" w:firstLine="421"/>
        <w:spacing w:after="0" w:line="270" w:lineRule="auto"/>
        <w:rPr>
          <w:sz w:val="20"/>
          <w:szCs w:val="20"/>
          <w:color w:val="auto"/>
        </w:rPr>
      </w:pPr>
      <w:r>
        <w:rPr>
          <w:rFonts w:ascii="Courier New" w:cs="Courier New" w:eastAsia="Courier New" w:hAnsi="Courier New"/>
          <w:sz w:val="16"/>
          <w:szCs w:val="16"/>
          <w:color w:val="auto"/>
        </w:rPr>
        <w:t>We continuously assess the relative strength of each business in our portfolio as to strategic fit, market position and profit contribution in order to upgrade its combined portfolio and identify operating units that will most benefit from increased investment. We identify acquisition candidates that will further our strategic plan and strengthen our existing core businesses. We also identify operating units that do not fit into our long-term strategic plan based on their market position, relative profitability or growth potential. These operating units are considered for potential divestiture, restructuring or other repositioning action subject to regulatory constraints.</w:t>
      </w:r>
    </w:p>
    <w:p>
      <w:pPr>
        <w:spacing w:after="0" w:line="18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139"/>
          </w:cols>
          <w:pgMar w:left="320" w:top="722" w:right="1440" w:bottom="1440" w:gutter="0" w:footer="0" w:header="0"/>
        </w:sectPr>
      </w:pPr>
    </w:p>
    <w:bookmarkStart w:id="7" w:name="page8"/>
    <w:bookmarkEnd w:id="7"/>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FINANCIAL DATA</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We evaluate segment performance based on segment profit, which excludes general corporate unallocated expenses, gains on sales of non-strategic businesses, equity income, other income (expense), interest and other financial charges, merger, repositioning and other charges, and other, which includes the gain on our disposition of our investment in AMP Incorporated common stock and litigation settlements. Intersegment sales approximate market and are not significant. Reportable segment data were as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84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Aerospace Solutions....................................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$ 9,908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$ 9,890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$ 8,398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Automation &amp; Asset Management..........................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6,115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5,957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Performance Materials..................................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4,169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Power &amp; Transportation Products........................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3,387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$23,735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$22,499</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PROFIT</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Aerospace Solutions....................................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$ 1,918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$ 1,587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$ 1,151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Automation &amp; Asset Management..........................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Performance Materials..................................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Power &amp; Transportation Products........................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$ 3,271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$ 2,912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$ 2,443</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ind w:right="2019" w:firstLine="421"/>
        <w:spacing w:after="0" w:line="235" w:lineRule="auto"/>
        <w:rPr>
          <w:sz w:val="20"/>
          <w:szCs w:val="20"/>
          <w:color w:val="auto"/>
        </w:rPr>
      </w:pPr>
      <w:r>
        <w:rPr>
          <w:rFonts w:ascii="Courier New" w:cs="Courier New" w:eastAsia="Courier New" w:hAnsi="Courier New"/>
          <w:sz w:val="18"/>
          <w:szCs w:val="18"/>
          <w:color w:val="auto"/>
        </w:rPr>
        <w:t>A reconciliation of segment profit to consolidated income before taxes on income is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w w:val="98"/>
              </w:rPr>
              <w:t>Segment profit.........................................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$ 3,271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$ 2,912</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$ 2,443</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Gain on sale of non-strategic businesses...............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Equity in income of affiliated companies...............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income (expense).................................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and other financial charges...................</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Merger, repositioning and other charges................</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before taxes on income..........................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$ 2,248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$ 2,772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$ 2,419</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left="420" w:right="2439" w:hanging="412"/>
        <w:spacing w:after="0" w:line="290"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represents the gain on our disposition of our investment in AMP Incorporated common stock in 1999 and litigation settlements in 1998.</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In February 2000, Honeywell completed its acquisition of Pittway Corporation, one of the world's leading manufacturers and distributors of security and fire systems and other low-voltage products for homes and buildings. Its systems and products are marketed globally under the Ademco, Notifier, System Sensor, ADI, Northern Computers and other popular brand names. Pittway had 1999 sales of $1.6 billion. Our acquisition of Pittway gives us access to the higher growth security and fire systems business. We expect that this will permit us to offer integrated solutions combining climate controls with security and fire systems. The value of the acquisition is approximately $2.2 billion, including the assumption of the net debt of Pittway of approximately $167 million.</w:t>
      </w: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S-8</w:t>
      </w:r>
    </w:p>
    <w:p>
      <w:pPr>
        <w:sectPr>
          <w:pgSz w:w="11900" w:h="16916" w:orient="portrait"/>
          <w:cols w:equalWidth="0" w:num="1">
            <w:col w:w="10139"/>
          </w:cols>
          <w:pgMar w:left="320" w:top="717" w:right="1440" w:bottom="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8"/>
          <w:szCs w:val="18"/>
          <w:color w:val="auto"/>
        </w:rPr>
        <w:t>SUMMARY FINANCIAL INFORMATION</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We derived the summary financial information set out below for each of the years ended December 31, 1997 through 1999 from our audited consolidated financial statements for those years. This information is only a summary and you should read it together with our historical financial statements and related notes contained in the annual reports and other information that we have filed with the SEC and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w w:val="96"/>
              </w:rPr>
              <w:t>YEARS ENDED DECEMBER 31,</w:t>
            </w:r>
          </w:p>
        </w:tc>
      </w:tr>
      <w:tr>
        <w:trPr>
          <w:trHeight w:val="203"/>
        </w:trPr>
        <w:tc>
          <w:tcPr>
            <w:tcW w:w="6440" w:type="dxa"/>
            <w:vAlign w:val="bottom"/>
          </w:tcPr>
          <w:p>
            <w:pPr>
              <w:spacing w:after="0"/>
              <w:rPr>
                <w:sz w:val="17"/>
                <w:szCs w:val="17"/>
                <w:color w:val="auto"/>
              </w:rPr>
            </w:pPr>
          </w:p>
        </w:tc>
        <w:tc>
          <w:tcPr>
            <w:tcW w:w="304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1999</w:t>
            </w:r>
          </w:p>
        </w:tc>
        <w:tc>
          <w:tcPr>
            <w:tcW w:w="2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1998</w:t>
            </w:r>
          </w:p>
        </w:tc>
        <w:tc>
          <w:tcPr>
            <w:tcW w:w="1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RESULTS OF OPERATIONS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sales...................................................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23,735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23,555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22,499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Gross interest expense(1)...................................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income(2)...............................................</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1,541</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1,903</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1,641</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FINANCIAL POSITION AT YEAR-END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debt(3)...............................................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5,066</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4,966</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debt(4).................................................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3,075</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3,948</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shareowners' equity...................................</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8,599</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8,083</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6,775</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investing activities....................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(1,593)</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(1,996)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financing activities....................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(1,110)</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OTHER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EBITDA(5)...................................................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3,782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Adjusted EBITDA(5)(6).......................................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4,191</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3,812</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Book capital(7).............................................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14,386</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13,807</w:t>
            </w:r>
          </w:p>
        </w:tc>
        <w:tc>
          <w:tcPr>
            <w:tcW w:w="1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10,994</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SELECTED FINANCIAL MEASURES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Ratio of adjusted EBITDA to gross interest expense..........</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14.6x</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12.7x</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11.5x</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Ratio of total debt to adjusted EBITDA......................</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1.2x</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1.3x</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1.1x</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debt as a percentage of book capital..................</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36.0%</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debt as a percentage of book capital....................</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'gross interest expense' for this purpose as total interest and other financial charges.</w:t>
      </w:r>
    </w:p>
    <w:p>
      <w:pPr>
        <w:spacing w:after="0" w:line="208" w:lineRule="exact"/>
        <w:rPr>
          <w:rFonts w:ascii="Courier New" w:cs="Courier New" w:eastAsia="Courier New" w:hAnsi="Courier New"/>
          <w:sz w:val="18"/>
          <w:szCs w:val="18"/>
          <w:color w:val="auto"/>
        </w:rPr>
      </w:pPr>
    </w:p>
    <w:p>
      <w:pPr>
        <w:ind w:left="420" w:right="16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1999, includes merger, repositioning and other charges, and gains on the sales of our Laminate Systems business and our investment in AMP Incorporated common stock, resulting in a net after-tax charge of $624 million. In 1998, includes repositioning charges, a gain on settlement of litigation claims and a tax benefit resulting from the favorable resolution of certain prior-year research and development tax claims resulting in a net after-tax charge of $4 million. In 1997, includes repositioning and other charges, gains on the sales of our automotive Safety Restraints and certain Industrial Control businesses and a charge related to the 1996 sale of our automotive Braking Systems business resulting in a net after-tax charge of $5 million.</w:t>
      </w:r>
    </w:p>
    <w:p>
      <w:pPr>
        <w:spacing w:after="0" w:line="215" w:lineRule="exact"/>
        <w:rPr>
          <w:rFonts w:ascii="Courier New" w:cs="Courier New" w:eastAsia="Courier New" w:hAnsi="Courier New"/>
          <w:sz w:val="18"/>
          <w:szCs w:val="18"/>
          <w:color w:val="auto"/>
        </w:rPr>
      </w:pPr>
    </w:p>
    <w:p>
      <w:pPr>
        <w:ind w:left="420" w:right="169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'total debt' for this purpose as long-term debt, including current maturities, plus short-term borrowings and commercial paper.</w:t>
      </w:r>
    </w:p>
    <w:p>
      <w:pPr>
        <w:spacing w:after="0" w:line="208" w:lineRule="exact"/>
        <w:rPr>
          <w:rFonts w:ascii="Courier New" w:cs="Courier New" w:eastAsia="Courier New" w:hAnsi="Courier New"/>
          <w:sz w:val="18"/>
          <w:szCs w:val="18"/>
          <w:color w:val="auto"/>
        </w:rPr>
      </w:pPr>
    </w:p>
    <w:p>
      <w:pPr>
        <w:ind w:left="420" w:right="23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'net debt' for this purpose as total debt less cash and cash equivalents.</w:t>
      </w:r>
    </w:p>
    <w:p>
      <w:pPr>
        <w:spacing w:after="0" w:line="208" w:lineRule="exact"/>
        <w:rPr>
          <w:rFonts w:ascii="Courier New" w:cs="Courier New" w:eastAsia="Courier New" w:hAnsi="Courier New"/>
          <w:sz w:val="18"/>
          <w:szCs w:val="18"/>
          <w:color w:val="auto"/>
        </w:rPr>
      </w:pPr>
    </w:p>
    <w:p>
      <w:pPr>
        <w:ind w:left="420" w:right="16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'EBITDA' for this purpose as earnings before interest and other financial charges, taxes on income, depreciation, amortization and equity in income of affiliated companies without reduction for related other charges. EBITDA is a measure commonly used to analyze companies on the basis of operating performance. EBITDA is not a measure of financial</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139"/>
          </w:cols>
          <w:pgMar w:left="320" w:top="514" w:right="1440" w:bottom="570" w:gutter="0" w:footer="0" w:header="0"/>
        </w:sectPr>
      </w:pPr>
    </w:p>
    <w:bookmarkStart w:id="10" w:name="page11"/>
    <w:bookmarkEnd w:id="10"/>
    <w:p>
      <w:pPr>
        <w:ind w:left="412" w:right="1699"/>
        <w:spacing w:after="0" w:line="237" w:lineRule="auto"/>
        <w:rPr>
          <w:sz w:val="20"/>
          <w:szCs w:val="20"/>
          <w:color w:val="auto"/>
        </w:rPr>
      </w:pPr>
      <w:r>
        <w:rPr>
          <w:rFonts w:ascii="Courier New" w:cs="Courier New" w:eastAsia="Courier New" w:hAnsi="Courier New"/>
          <w:sz w:val="18"/>
          <w:szCs w:val="18"/>
          <w:color w:val="auto"/>
        </w:rPr>
        <w:t>performance under generally accepted accounting principles and should not be considered as an alternative to net income as a measure of performance, nor as an alternative to net cash provided by operating activities as a measure of liquidity. Because all companies do not calculate EBITDA in the same fashion, EBITDA as calculated by us may differ from EBITDA as calculated by other companies.</w:t>
      </w:r>
    </w:p>
    <w:p>
      <w:pPr>
        <w:spacing w:after="0" w:line="209" w:lineRule="exact"/>
        <w:rPr>
          <w:sz w:val="20"/>
          <w:szCs w:val="20"/>
          <w:color w:val="auto"/>
        </w:rPr>
      </w:pPr>
    </w:p>
    <w:p>
      <w:pPr>
        <w:ind w:left="412" w:right="1699" w:hanging="412"/>
        <w:spacing w:after="0" w:line="270" w:lineRule="auto"/>
        <w:tabs>
          <w:tab w:leader="none" w:pos="4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periods presented, we recorded certain charges and gains that have been excluded for the purpose of calculating 'adjusted EBITDA'. In 1999, excludes merger, repositioning and other charges, and gains on the sales of our Laminate Systems business and our investment in AMP Incorporated common stock, resulting in a net pre-tax charge of $913 million. In 1998, excludes repositioning charges, a gain on settlement of litigation claims and a tax benefit resulting, from the favorable resolution of certain prior-year research and development tax claims resulting in a net pre-tax charge of $30 million. In 1997, excludes repositioning and other charges, gains on the sales of our automotive Safety Restraints and certain Industrial Control businesses and a charge related to the 1996 sale of our automotive Braking Systems business, resulting in a net pre-tax charge of $38 million.</w:t>
      </w:r>
    </w:p>
    <w:p>
      <w:pPr>
        <w:spacing w:after="0" w:line="185" w:lineRule="exact"/>
        <w:rPr>
          <w:rFonts w:ascii="Courier New" w:cs="Courier New" w:eastAsia="Courier New" w:hAnsi="Courier New"/>
          <w:sz w:val="16"/>
          <w:szCs w:val="16"/>
          <w:color w:val="auto"/>
        </w:rPr>
      </w:pPr>
    </w:p>
    <w:p>
      <w:pPr>
        <w:ind w:left="412" w:right="1919" w:hanging="412"/>
        <w:spacing w:after="0" w:line="237" w:lineRule="auto"/>
        <w:tabs>
          <w:tab w:leader="none" w:pos="4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define 'book capital' for this purpose as the sum of total debt, shareowners' equity, and net long-term deferred tax liabilities, which are long-term deferred income tax liabilities net of long-term deferred income tax assets.</w:t>
      </w:r>
    </w:p>
    <w:p>
      <w:pPr>
        <w:spacing w:after="0" w:line="201" w:lineRule="exact"/>
        <w:rPr>
          <w:sz w:val="20"/>
          <w:szCs w:val="20"/>
          <w:color w:val="auto"/>
        </w:rPr>
      </w:pPr>
    </w:p>
    <w:p>
      <w:pPr>
        <w:ind w:left="3992"/>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131"/>
          </w:cols>
          <w:pgMar w:left="328" w:top="520" w:right="1440" w:bottom="1440" w:gutter="0" w:footer="0" w:header="0"/>
        </w:sectPr>
      </w:pPr>
    </w:p>
    <w:bookmarkStart w:id="11" w:name="page12"/>
    <w:bookmarkEnd w:id="11"/>
    <w:p>
      <w:pPr>
        <w:spacing w:after="0" w:line="75"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780" w:firstLine="421"/>
        <w:spacing w:after="0" w:line="271" w:lineRule="auto"/>
        <w:rPr>
          <w:sz w:val="20"/>
          <w:szCs w:val="20"/>
          <w:color w:val="auto"/>
        </w:rPr>
      </w:pPr>
      <w:r>
        <w:rPr>
          <w:rFonts w:ascii="Courier New" w:cs="Courier New" w:eastAsia="Courier New" w:hAnsi="Courier New"/>
          <w:sz w:val="16"/>
          <w:szCs w:val="16"/>
          <w:color w:val="auto"/>
        </w:rPr>
        <w:t>The following table shows our capitalization (a) on a consolidated basis as of December 31, 1999, (b) pro forma for the acquisition of Pittway and the related issuance of commercial paper and the adjustment of cash balances to $750 million to eliminate excess cash balances carried for the Pittway acquisition and year 2000 contingency purposes, and (c) pro forma as adjusted for the issuance of the notes offered hereby and the repayment of existing indebtedness. Except as reflected herein, as of the date of this prospectus supplement there has been no material change to our capitalization since December 31, 1999.</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AS OF</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DECEMBER 31, 1999</w:t>
            </w:r>
          </w:p>
        </w:tc>
        <w:tc>
          <w:tcPr>
            <w:tcW w:w="84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400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ACTUAL</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6220" w:type="dxa"/>
            <w:vAlign w:val="bottom"/>
          </w:tcPr>
          <w:p>
            <w:pPr>
              <w:spacing w:after="0"/>
              <w:rPr>
                <w:sz w:val="17"/>
                <w:szCs w:val="17"/>
                <w:color w:val="auto"/>
              </w:rPr>
            </w:pP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6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Cash and cash equivalents.................................</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750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750</w:t>
            </w:r>
          </w:p>
        </w:tc>
      </w:tr>
      <w:tr>
        <w:trPr>
          <w:trHeight w:val="405"/>
        </w:trPr>
        <w:tc>
          <w:tcPr>
            <w:tcW w:w="6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Total assets..............................................</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23,527</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$24,494</w:t>
            </w:r>
          </w:p>
        </w:tc>
        <w:tc>
          <w:tcPr>
            <w:tcW w:w="13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$24,499</w:t>
            </w:r>
          </w:p>
        </w:tc>
      </w:tr>
      <w:tr>
        <w:trPr>
          <w:trHeight w:val="405"/>
        </w:trPr>
        <w:tc>
          <w:tcPr>
            <w:tcW w:w="6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Short-term borrowings and commercial paper................</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2,325</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$ 3,292</w:t>
            </w:r>
          </w:p>
        </w:tc>
        <w:tc>
          <w:tcPr>
            <w:tcW w:w="13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$ 2,301</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Current maturities of long-term debt......................</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284</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2,457</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2,457</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3,453</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debt........................................</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5,066</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6,033</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6,038</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4012"/>
              <w:spacing w:after="0" w:line="203" w:lineRule="exact"/>
              <w:rPr>
                <w:sz w:val="20"/>
                <w:szCs w:val="20"/>
                <w:color w:val="auto"/>
              </w:rPr>
            </w:pPr>
            <w:r>
              <w:rPr>
                <w:rFonts w:ascii="Courier New" w:cs="Courier New" w:eastAsia="Courier New" w:hAnsi="Courier New"/>
                <w:sz w:val="18"/>
                <w:szCs w:val="18"/>
                <w:color w:val="auto"/>
                <w:w w:val="97"/>
              </w:rPr>
              <w:t>Shareowners' equity:</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 common stock...............................</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958</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958</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2,318</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2,318</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2,318</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 held in treasury -- at cost..............</w:t>
            </w:r>
          </w:p>
        </w:tc>
        <w:tc>
          <w:tcPr>
            <w:tcW w:w="2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(4,254)</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(4,254)</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(4,254)</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Accumulated other nonowner changes....................</w:t>
            </w:r>
          </w:p>
        </w:tc>
        <w:tc>
          <w:tcPr>
            <w:tcW w:w="2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(355)</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(355)</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9,932</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9,932</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9,932</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shareowners' equity.........................</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8,599</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8,599</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8,599</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Total capitalization......................................</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13,665</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$14,632</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$14,637</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80" w:firstLine="421"/>
        <w:spacing w:after="0" w:line="237" w:lineRule="auto"/>
        <w:rPr>
          <w:sz w:val="20"/>
          <w:szCs w:val="20"/>
          <w:color w:val="auto"/>
        </w:rPr>
      </w:pPr>
      <w:r>
        <w:rPr>
          <w:rFonts w:ascii="Courier New" w:cs="Courier New" w:eastAsia="Courier New" w:hAnsi="Courier New"/>
          <w:sz w:val="18"/>
          <w:szCs w:val="18"/>
          <w:color w:val="auto"/>
        </w:rPr>
        <w:t>The net proceeds from the offering of the notes, which are expected to be approximately $991,280,000 after underwriting discounts and payment of expenses related to the offering, will be used for repayment and refinancing of debt, including commercial paper issued to finance our acquisition of Pittway, as well as for general corporate purposes, which may include acquisitions, working capital, capital expenditures and repurchases of securities. Our commercial paper has a weighted average interest rate of approximately 5.9% and a weighted average maturity of approximately 75 days. Pending any specific application, we may initially invest funds in short-term marketable securities or apply them to reduce short-term indebtedness.</w:t>
      </w:r>
    </w:p>
    <w:p>
      <w:pPr>
        <w:spacing w:after="0" w:line="208"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RATIO OF EARNINGS TO FIXED CHARGES AND PREFERRED STOCK DIVIDENDS</w:t>
      </w:r>
    </w:p>
    <w:p>
      <w:pPr>
        <w:spacing w:after="0" w:line="207" w:lineRule="exact"/>
        <w:rPr>
          <w:sz w:val="20"/>
          <w:szCs w:val="20"/>
          <w:color w:val="auto"/>
        </w:rPr>
      </w:pPr>
    </w:p>
    <w:p>
      <w:pPr>
        <w:ind w:right="2100" w:firstLine="421"/>
        <w:spacing w:after="0" w:line="290" w:lineRule="auto"/>
        <w:rPr>
          <w:sz w:val="20"/>
          <w:szCs w:val="20"/>
          <w:color w:val="auto"/>
        </w:rPr>
      </w:pPr>
      <w:r>
        <w:rPr>
          <w:rFonts w:ascii="Courier New" w:cs="Courier New" w:eastAsia="Courier New" w:hAnsi="Courier New"/>
          <w:sz w:val="16"/>
          <w:szCs w:val="16"/>
          <w:color w:val="auto"/>
        </w:rPr>
        <w:t>The following table sets forth the historical ratio of earnings to fixed charges and preferred stock dividends of Honeywell for the periods indicated:</w:t>
      </w:r>
    </w:p>
    <w:p>
      <w:pPr>
        <w:spacing w:after="0" w:line="200" w:lineRule="exact"/>
        <w:rPr>
          <w:sz w:val="20"/>
          <w:szCs w:val="20"/>
          <w:color w:val="auto"/>
        </w:rPr>
      </w:pPr>
    </w:p>
    <w:p>
      <w:pPr>
        <w:spacing w:after="0" w:line="3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YEARS ENDED DECEMBER 31,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140" w:val="left"/>
          <w:tab w:leader="none" w:pos="2300" w:val="left"/>
          <w:tab w:leader="none" w:pos="3460" w:val="left"/>
          <w:tab w:leader="none" w:pos="462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tabs>
          <w:tab w:leader="none" w:pos="1360" w:val="left"/>
          <w:tab w:leader="none" w:pos="2520" w:val="left"/>
          <w:tab w:leader="none" w:pos="3680" w:val="left"/>
          <w:tab w:leader="none" w:pos="4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913" w:orient="portrait"/>
          <w:cols w:equalWidth="0" w:num="1">
            <w:col w:w="10220"/>
          </w:cols>
          <w:pgMar w:left="320" w:top="514" w:right="1359" w:bottom="0" w:gutter="0" w:footer="0" w:header="0"/>
        </w:sectPr>
      </w:pP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6.74</w:t>
      </w:r>
      <w:r>
        <w:rPr>
          <w:sz w:val="20"/>
          <w:szCs w:val="20"/>
          <w:color w:val="auto"/>
        </w:rPr>
        <w:tab/>
      </w:r>
      <w:r>
        <w:rPr>
          <w:rFonts w:ascii="Courier New" w:cs="Courier New" w:eastAsia="Courier New" w:hAnsi="Courier New"/>
          <w:sz w:val="16"/>
          <w:szCs w:val="16"/>
          <w:color w:val="auto"/>
        </w:rPr>
        <w:t>8.05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7.20</w:t>
      </w:r>
      <w:r>
        <w:rPr>
          <w:sz w:val="20"/>
          <w:szCs w:val="20"/>
          <w:color w:val="auto"/>
        </w:rPr>
        <w:tab/>
      </w:r>
      <w:r>
        <w:rPr>
          <w:rFonts w:ascii="Courier New" w:cs="Courier New" w:eastAsia="Courier New" w:hAnsi="Courier New"/>
          <w:sz w:val="16"/>
          <w:szCs w:val="16"/>
          <w:color w:val="auto"/>
        </w:rPr>
        <w:t>6.65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5.70</w:t>
      </w:r>
    </w:p>
    <w:p>
      <w:pPr>
        <w:spacing w:after="0" w:line="216" w:lineRule="exact"/>
        <w:rPr>
          <w:sz w:val="20"/>
          <w:szCs w:val="20"/>
          <w:color w:val="auto"/>
        </w:rPr>
      </w:pPr>
    </w:p>
    <w:p>
      <w:pPr>
        <w:sectPr>
          <w:pgSz w:w="11900" w:h="16913" w:orient="portrait"/>
          <w:cols w:equalWidth="0" w:num="3">
            <w:col w:w="1600" w:space="720"/>
            <w:col w:w="1600" w:space="720"/>
            <w:col w:w="5580"/>
          </w:cols>
          <w:pgMar w:left="320" w:top="514" w:right="1359" w:bottom="0" w:gutter="0" w:footer="0" w:header="0"/>
          <w:type w:val="continuous"/>
        </w:sectPr>
      </w:pPr>
    </w:p>
    <w:p>
      <w:pPr>
        <w:spacing w:after="0" w:line="209" w:lineRule="exact"/>
        <w:rPr>
          <w:sz w:val="20"/>
          <w:szCs w:val="20"/>
          <w:color w:val="auto"/>
        </w:rPr>
      </w:pPr>
    </w:p>
    <w:p>
      <w:pPr>
        <w:ind w:right="1780" w:firstLine="421"/>
        <w:spacing w:after="0" w:line="237" w:lineRule="auto"/>
        <w:rPr>
          <w:sz w:val="20"/>
          <w:szCs w:val="20"/>
          <w:color w:val="auto"/>
        </w:rPr>
      </w:pPr>
      <w:r>
        <w:rPr>
          <w:rFonts w:ascii="Courier New" w:cs="Courier New" w:eastAsia="Courier New" w:hAnsi="Courier New"/>
          <w:sz w:val="18"/>
          <w:szCs w:val="18"/>
          <w:color w:val="auto"/>
        </w:rPr>
        <w:t>The ratio of earnings to fixed charges is generally computed by dividing the sum of net income, income taxes and fixed charges (net of capitalized interest) less undistributed equity income by fixed charges. Fixed charges represent gross interest and amortization of debt discount and expense and the interest factor of all rentals, consisting of an appropriate interest factor on operating leases.</w:t>
      </w:r>
    </w:p>
    <w:p>
      <w:pPr>
        <w:sectPr>
          <w:pgSz w:w="11900" w:h="16913" w:orient="portrait"/>
          <w:cols w:equalWidth="0" w:num="1">
            <w:col w:w="10220"/>
          </w:cols>
          <w:pgMar w:left="320" w:top="514" w:right="1359" w:bottom="0" w:gutter="0" w:footer="0" w:header="0"/>
          <w:type w:val="continuous"/>
        </w:sectPr>
      </w:pPr>
    </w:p>
    <w:bookmarkStart w:id="12" w:name="page13"/>
    <w:bookmarkEnd w:id="12"/>
    <w:p>
      <w:pPr>
        <w:ind w:left="288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9019"/>
          </w:cols>
          <w:pgMar w:left="1440" w:top="339" w:right="1440" w:bottom="1440" w:gutter="0" w:footer="0" w:header="0"/>
        </w:sectPr>
      </w:pPr>
    </w:p>
    <w:bookmarkStart w:id="13" w:name="page14"/>
    <w:bookmarkEnd w:id="13"/>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2220" w:firstLine="421"/>
        <w:spacing w:after="0" w:line="237" w:lineRule="auto"/>
        <w:rPr>
          <w:sz w:val="20"/>
          <w:szCs w:val="20"/>
          <w:color w:val="auto"/>
        </w:rPr>
      </w:pPr>
      <w:r>
        <w:rPr>
          <w:rFonts w:ascii="Courier New" w:cs="Courier New" w:eastAsia="Courier New" w:hAnsi="Courier New"/>
          <w:sz w:val="18"/>
          <w:szCs w:val="18"/>
          <w:color w:val="auto"/>
        </w:rPr>
        <w:t>The following table sets forth the name and present principal occupation or employment of each director and executive officer of Honeywell. The business address of each such person is Honeywell International Inc., 101 Columbia Road, Morris Township, New Jersey 07962.</w:t>
      </w:r>
    </w:p>
    <w:p>
      <w:pPr>
        <w:sectPr>
          <w:pgSz w:w="11900" w:h="16838" w:orient="portrait"/>
          <w:cols w:equalWidth="0" w:num="1">
            <w:col w:w="10540"/>
          </w:cols>
          <w:pgMar w:left="320" w:top="514"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900"/>
          </w:cols>
          <w:pgMar w:left="320" w:top="514" w:right="10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Hans W. Becherer..........................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Gordon M. Bethune.........................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R. Bonsignore.....................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A. Bossidy.......................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Marshall N. Carter........................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Jaime Chico Pardo.........................</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 F. Fudge..............................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J. Howard...........................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Karatz..............................</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P. Luciano.........................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Russell E. Palmer.........................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Ivan G. Seidenberg........................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Andrew C. Sigler..........................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Stafford..........................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W. Wright.........................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 of Deere &amp;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and Chief Executive Officer of</w:t>
      </w:r>
    </w:p>
    <w:p>
      <w:pPr>
        <w:spacing w:after="0" w:line="238" w:lineRule="auto"/>
        <w:rPr>
          <w:sz w:val="20"/>
          <w:szCs w:val="20"/>
          <w:color w:val="auto"/>
        </w:rPr>
      </w:pPr>
      <w:r>
        <w:rPr>
          <w:rFonts w:ascii="Courier New" w:cs="Courier New" w:eastAsia="Courier New" w:hAnsi="Courier New"/>
          <w:sz w:val="18"/>
          <w:szCs w:val="18"/>
          <w:color w:val="auto"/>
        </w:rPr>
        <w:t>Continental Airlines,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of Honeywell. Elected to become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Honeywell on April 1, 2000,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Mr. Bossidy's earlier retirement</w:t>
      </w:r>
    </w:p>
    <w:p>
      <w:pPr>
        <w:spacing w:after="0" w:line="238" w:lineRule="auto"/>
        <w:rPr>
          <w:sz w:val="20"/>
          <w:szCs w:val="20"/>
          <w:color w:val="auto"/>
        </w:rPr>
      </w:pPr>
      <w:r>
        <w:rPr>
          <w:rFonts w:ascii="Courier New" w:cs="Courier New" w:eastAsia="Courier New" w:hAnsi="Courier New"/>
          <w:sz w:val="18"/>
          <w:szCs w:val="18"/>
          <w:color w:val="auto"/>
        </w:rPr>
        <w:t>Chairman of the Board of Honeywell until April 1, 2000</w:t>
      </w:r>
    </w:p>
    <w:p>
      <w:pPr>
        <w:spacing w:after="0" w:line="238" w:lineRule="auto"/>
        <w:rPr>
          <w:sz w:val="20"/>
          <w:szCs w:val="20"/>
          <w:color w:val="auto"/>
        </w:rPr>
      </w:pPr>
      <w:r>
        <w:rPr>
          <w:rFonts w:ascii="Courier New" w:cs="Courier New" w:eastAsia="Courier New" w:hAnsi="Courier New"/>
          <w:sz w:val="18"/>
          <w:szCs w:val="18"/>
          <w:color w:val="auto"/>
        </w:rPr>
        <w:t>or his earlier retirement</w:t>
      </w:r>
    </w:p>
    <w:p>
      <w:pPr>
        <w:spacing w:after="0"/>
        <w:rPr>
          <w:sz w:val="20"/>
          <w:szCs w:val="20"/>
          <w:color w:val="auto"/>
        </w:rPr>
      </w:pPr>
      <w:r>
        <w:rPr>
          <w:rFonts w:ascii="Courier New" w:cs="Courier New" w:eastAsia="Courier New" w:hAnsi="Courier New"/>
          <w:sz w:val="18"/>
          <w:szCs w:val="18"/>
          <w:color w:val="auto"/>
        </w:rPr>
        <w:t>Chairman and Chief Executive Officer of State Street</w:t>
      </w:r>
    </w:p>
    <w:p>
      <w:pPr>
        <w:spacing w:after="0" w:line="237" w:lineRule="auto"/>
        <w:rPr>
          <w:sz w:val="20"/>
          <w:szCs w:val="20"/>
          <w:color w:val="auto"/>
        </w:rPr>
      </w:pPr>
      <w:r>
        <w:rPr>
          <w:rFonts w:ascii="Courier New" w:cs="Courier New" w:eastAsia="Courier New" w:hAnsi="Courier New"/>
          <w:sz w:val="18"/>
          <w:szCs w:val="18"/>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of Telefonos de Mexico, S.A. 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C.V.</w:t>
      </w:r>
    </w:p>
    <w:p>
      <w:pPr>
        <w:spacing w:after="0" w:line="238" w:lineRule="auto"/>
        <w:rPr>
          <w:sz w:val="20"/>
          <w:szCs w:val="20"/>
          <w:color w:val="auto"/>
        </w:rPr>
      </w:pPr>
      <w:r>
        <w:rPr>
          <w:rFonts w:ascii="Courier New" w:cs="Courier New" w:eastAsia="Courier New" w:hAnsi="Courier New"/>
          <w:sz w:val="18"/>
          <w:szCs w:val="18"/>
          <w:color w:val="auto"/>
        </w:rPr>
        <w:t>Executive Vice President of Kraft Foods, Inc.</w:t>
      </w:r>
    </w:p>
    <w:p>
      <w:pPr>
        <w:spacing w:after="0" w:line="238" w:lineRule="auto"/>
        <w:rPr>
          <w:sz w:val="20"/>
          <w:szCs w:val="20"/>
          <w:color w:val="auto"/>
        </w:rPr>
      </w:pPr>
      <w:r>
        <w:rPr>
          <w:rFonts w:ascii="Courier New" w:cs="Courier New" w:eastAsia="Courier New" w:hAnsi="Courier New"/>
          <w:sz w:val="18"/>
          <w:szCs w:val="18"/>
          <w:color w:val="auto"/>
        </w:rPr>
        <w:t>Chairman, President and Chief Executive Officer of</w:t>
      </w:r>
    </w:p>
    <w:p>
      <w:pPr>
        <w:spacing w:after="0"/>
        <w:rPr>
          <w:sz w:val="20"/>
          <w:szCs w:val="20"/>
          <w:color w:val="auto"/>
        </w:rPr>
      </w:pPr>
      <w:r>
        <w:rPr>
          <w:rFonts w:ascii="Courier New" w:cs="Courier New" w:eastAsia="Courier New" w:hAnsi="Courier New"/>
          <w:sz w:val="18"/>
          <w:szCs w:val="18"/>
          <w:color w:val="auto"/>
        </w:rPr>
        <w:t>Northern States Power Company</w:t>
      </w:r>
    </w:p>
    <w:p>
      <w:pPr>
        <w:spacing w:after="0" w:line="237" w:lineRule="auto"/>
        <w:rPr>
          <w:sz w:val="20"/>
          <w:szCs w:val="20"/>
          <w:color w:val="auto"/>
        </w:rPr>
      </w:pPr>
      <w:r>
        <w:rPr>
          <w:rFonts w:ascii="Courier New" w:cs="Courier New" w:eastAsia="Courier New" w:hAnsi="Courier New"/>
          <w:sz w:val="18"/>
          <w:szCs w:val="18"/>
          <w:color w:val="auto"/>
        </w:rPr>
        <w:t>Chairman, President and Chief Executive Officer of</w:t>
      </w:r>
    </w:p>
    <w:p>
      <w:pPr>
        <w:spacing w:after="0" w:line="238" w:lineRule="auto"/>
        <w:rPr>
          <w:sz w:val="20"/>
          <w:szCs w:val="20"/>
          <w:color w:val="auto"/>
        </w:rPr>
      </w:pPr>
      <w:r>
        <w:rPr>
          <w:rFonts w:ascii="Courier New" w:cs="Courier New" w:eastAsia="Courier New" w:hAnsi="Courier New"/>
          <w:sz w:val="18"/>
          <w:szCs w:val="18"/>
          <w:color w:val="auto"/>
        </w:rPr>
        <w:t>Kaufman and Broad Home Corporation</w:t>
      </w:r>
    </w:p>
    <w:p>
      <w:pPr>
        <w:spacing w:after="0"/>
        <w:rPr>
          <w:sz w:val="20"/>
          <w:szCs w:val="20"/>
          <w:color w:val="auto"/>
        </w:rPr>
      </w:pPr>
      <w:r>
        <w:rPr>
          <w:rFonts w:ascii="Courier New" w:cs="Courier New" w:eastAsia="Courier New" w:hAnsi="Courier New"/>
          <w:sz w:val="18"/>
          <w:szCs w:val="18"/>
          <w:color w:val="auto"/>
        </w:rPr>
        <w:t>Chairman Emeritus of Schering-Plough Corporation</w:t>
      </w:r>
    </w:p>
    <w:p>
      <w:pPr>
        <w:spacing w:after="0" w:line="237" w:lineRule="auto"/>
        <w:rPr>
          <w:sz w:val="20"/>
          <w:szCs w:val="20"/>
          <w:color w:val="auto"/>
        </w:rPr>
      </w:pPr>
      <w:r>
        <w:rPr>
          <w:rFonts w:ascii="Courier New" w:cs="Courier New" w:eastAsia="Courier New" w:hAnsi="Courier New"/>
          <w:sz w:val="18"/>
          <w:szCs w:val="18"/>
          <w:color w:val="auto"/>
        </w:rPr>
        <w:t>Chairman and Executive Officer of The Palmer Group</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 of Bell Atlantic</w:t>
      </w:r>
    </w:p>
    <w:p>
      <w:pPr>
        <w:spacing w:after="0"/>
        <w:rPr>
          <w:sz w:val="20"/>
          <w:szCs w:val="20"/>
          <w:color w:val="auto"/>
        </w:rPr>
      </w:pPr>
      <w:r>
        <w:rPr>
          <w:rFonts w:ascii="Courier New" w:cs="Courier New" w:eastAsia="Courier New" w:hAnsi="Courier New"/>
          <w:sz w:val="18"/>
          <w:szCs w:val="18"/>
          <w:color w:val="auto"/>
        </w:rPr>
        <w:t>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Retired Chairman and Chief Executive Officer of Champion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Corporation</w:t>
      </w:r>
    </w:p>
    <w:p>
      <w:pPr>
        <w:spacing w:after="0" w:line="238" w:lineRule="auto"/>
        <w:rPr>
          <w:sz w:val="20"/>
          <w:szCs w:val="20"/>
          <w:color w:val="auto"/>
        </w:rPr>
      </w:pPr>
      <w:r>
        <w:rPr>
          <w:rFonts w:ascii="Courier New" w:cs="Courier New" w:eastAsia="Courier New" w:hAnsi="Courier New"/>
          <w:sz w:val="18"/>
          <w:szCs w:val="18"/>
          <w:color w:val="auto"/>
        </w:rPr>
        <w:t>Chairman, President and Chief Executive Officer of</w:t>
      </w:r>
    </w:p>
    <w:p>
      <w:pPr>
        <w:spacing w:after="0" w:line="238" w:lineRule="auto"/>
        <w:rPr>
          <w:sz w:val="20"/>
          <w:szCs w:val="20"/>
          <w:color w:val="auto"/>
        </w:rPr>
      </w:pPr>
      <w:r>
        <w:rPr>
          <w:rFonts w:ascii="Courier New" w:cs="Courier New" w:eastAsia="Courier New" w:hAnsi="Courier New"/>
          <w:sz w:val="18"/>
          <w:szCs w:val="18"/>
          <w:color w:val="auto"/>
        </w:rPr>
        <w:t>American Home Products Corporation</w:t>
      </w:r>
    </w:p>
    <w:p>
      <w:pPr>
        <w:spacing w:after="0"/>
        <w:rPr>
          <w:sz w:val="20"/>
          <w:szCs w:val="20"/>
          <w:color w:val="auto"/>
        </w:rPr>
      </w:pPr>
      <w:r>
        <w:rPr>
          <w:rFonts w:ascii="Courier New" w:cs="Courier New" w:eastAsia="Courier New" w:hAnsi="Courier New"/>
          <w:sz w:val="18"/>
          <w:szCs w:val="18"/>
          <w:color w:val="auto"/>
        </w:rPr>
        <w:t>Chairman, President and Chief Executive Officer of</w:t>
      </w:r>
    </w:p>
    <w:p>
      <w:pPr>
        <w:spacing w:after="0" w:line="237" w:lineRule="auto"/>
        <w:rPr>
          <w:sz w:val="20"/>
          <w:szCs w:val="20"/>
          <w:color w:val="auto"/>
        </w:rPr>
      </w:pPr>
      <w:r>
        <w:rPr>
          <w:rFonts w:ascii="Courier New" w:cs="Courier New" w:eastAsia="Courier New" w:hAnsi="Courier New"/>
          <w:sz w:val="18"/>
          <w:szCs w:val="18"/>
          <w:color w:val="auto"/>
        </w:rPr>
        <w:t>SUPERVALU INC.</w:t>
      </w:r>
    </w:p>
    <w:p>
      <w:pPr>
        <w:spacing w:after="0" w:line="1" w:lineRule="exact"/>
        <w:rPr>
          <w:sz w:val="20"/>
          <w:szCs w:val="20"/>
          <w:color w:val="auto"/>
        </w:rPr>
      </w:pPr>
    </w:p>
    <w:p>
      <w:pPr>
        <w:sectPr>
          <w:pgSz w:w="11900" w:h="16838" w:orient="portrait"/>
          <w:cols w:equalWidth="0" w:num="2">
            <w:col w:w="4440" w:space="200"/>
            <w:col w:w="5900"/>
          </w:cols>
          <w:pgMar w:left="320" w:top="514" w:right="103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EXECUTIVE 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A. Bossidy.......................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R. Bonsignore.....................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Giannantonio Ferrari......................</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D. Johnson.........................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M. Kreindler........................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T. Porter...........................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Redlinger.......................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F. Wallman........................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until April 1, 2000 or his earlier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w:t>
      </w:r>
    </w:p>
    <w:p>
      <w:pPr>
        <w:spacing w:after="0" w:line="238" w:lineRule="auto"/>
        <w:rPr>
          <w:sz w:val="20"/>
          <w:szCs w:val="20"/>
          <w:color w:val="auto"/>
        </w:rPr>
      </w:pPr>
      <w:r>
        <w:rPr>
          <w:rFonts w:ascii="Courier New" w:cs="Courier New" w:eastAsia="Courier New" w:hAnsi="Courier New"/>
          <w:sz w:val="18"/>
          <w:szCs w:val="18"/>
          <w:color w:val="auto"/>
        </w:rPr>
        <w:t>Chief Executive Officer. Elected to become Chairman of</w:t>
      </w:r>
    </w:p>
    <w:p>
      <w:pPr>
        <w:spacing w:after="0" w:line="238" w:lineRule="auto"/>
        <w:rPr>
          <w:sz w:val="20"/>
          <w:szCs w:val="20"/>
          <w:color w:val="auto"/>
        </w:rPr>
      </w:pPr>
      <w:r>
        <w:rPr>
          <w:rFonts w:ascii="Courier New" w:cs="Courier New" w:eastAsia="Courier New" w:hAnsi="Courier New"/>
          <w:sz w:val="18"/>
          <w:szCs w:val="18"/>
          <w:color w:val="auto"/>
        </w:rPr>
        <w:t>the Board of Honeywell on April 1, 2000, or upon</w:t>
      </w:r>
    </w:p>
    <w:p>
      <w:pPr>
        <w:spacing w:after="0"/>
        <w:rPr>
          <w:sz w:val="20"/>
          <w:szCs w:val="20"/>
          <w:color w:val="auto"/>
        </w:rPr>
      </w:pPr>
      <w:r>
        <w:rPr>
          <w:rFonts w:ascii="Courier New" w:cs="Courier New" w:eastAsia="Courier New" w:hAnsi="Courier New"/>
          <w:sz w:val="18"/>
          <w:szCs w:val="18"/>
          <w:color w:val="auto"/>
        </w:rPr>
        <w:t>Mr. Bossidy's earlier retirement</w:t>
      </w:r>
    </w:p>
    <w:p>
      <w:pPr>
        <w:spacing w:after="0" w:line="237" w:lineRule="auto"/>
        <w:rPr>
          <w:sz w:val="20"/>
          <w:szCs w:val="20"/>
          <w:color w:val="auto"/>
        </w:rPr>
      </w:pPr>
      <w:r>
        <w:rPr>
          <w:rFonts w:ascii="Courier New" w:cs="Courier New" w:eastAsia="Courier New" w:hAnsi="Courier New"/>
          <w:sz w:val="18"/>
          <w:szCs w:val="18"/>
          <w:color w:val="auto"/>
        </w:rPr>
        <w:t>Executive Vice President and Chief Operating Officer,</w:t>
      </w:r>
    </w:p>
    <w:p>
      <w:pPr>
        <w:spacing w:after="0" w:line="238" w:lineRule="auto"/>
        <w:rPr>
          <w:sz w:val="20"/>
          <w:szCs w:val="20"/>
          <w:color w:val="auto"/>
        </w:rPr>
      </w:pPr>
      <w:r>
        <w:rPr>
          <w:rFonts w:ascii="Courier New" w:cs="Courier New" w:eastAsia="Courier New" w:hAnsi="Courier New"/>
          <w:sz w:val="18"/>
          <w:szCs w:val="18"/>
          <w:color w:val="auto"/>
        </w:rPr>
        <w:t>Performance Products and Solutions</w:t>
      </w:r>
    </w:p>
    <w:p>
      <w:pPr>
        <w:spacing w:after="0"/>
        <w:rPr>
          <w:sz w:val="20"/>
          <w:szCs w:val="20"/>
          <w:color w:val="auto"/>
        </w:rPr>
      </w:pPr>
      <w:r>
        <w:rPr>
          <w:rFonts w:ascii="Courier New" w:cs="Courier New" w:eastAsia="Courier New" w:hAnsi="Courier New"/>
          <w:sz w:val="18"/>
          <w:szCs w:val="18"/>
          <w:color w:val="auto"/>
        </w:rPr>
        <w:t>Executive Vice President and Chief Operating Officer,</w:t>
      </w:r>
    </w:p>
    <w:p>
      <w:pPr>
        <w:spacing w:after="0" w:line="237" w:lineRule="auto"/>
        <w:rPr>
          <w:sz w:val="20"/>
          <w:szCs w:val="20"/>
          <w:color w:val="auto"/>
        </w:rPr>
      </w:pPr>
      <w:r>
        <w:rPr>
          <w:rFonts w:ascii="Courier New" w:cs="Courier New" w:eastAsia="Courier New" w:hAnsi="Courier New"/>
          <w:sz w:val="18"/>
          <w:szCs w:val="18"/>
          <w:color w:val="auto"/>
        </w:rPr>
        <w:t>Aerospace Businesses</w:t>
      </w:r>
    </w:p>
    <w:p>
      <w:pPr>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spacing w:after="0"/>
        <w:rPr>
          <w:sz w:val="20"/>
          <w:szCs w:val="20"/>
          <w:color w:val="auto"/>
        </w:rPr>
      </w:pPr>
      <w:r>
        <w:rPr>
          <w:rFonts w:ascii="Courier New" w:cs="Courier New" w:eastAsia="Courier New" w:hAnsi="Courier New"/>
          <w:sz w:val="18"/>
          <w:szCs w:val="18"/>
          <w:color w:val="auto"/>
        </w:rPr>
        <w:t>Senior Vice President -- Information and Business</w:t>
      </w:r>
    </w:p>
    <w:p>
      <w:pPr>
        <w:spacing w:after="0" w:line="237" w:lineRule="auto"/>
        <w:rPr>
          <w:sz w:val="20"/>
          <w:szCs w:val="20"/>
          <w:color w:val="auto"/>
        </w:rPr>
      </w:pPr>
      <w:r>
        <w:rPr>
          <w:rFonts w:ascii="Courier New" w:cs="Courier New" w:eastAsia="Courier New" w:hAnsi="Courier New"/>
          <w:sz w:val="18"/>
          <w:szCs w:val="18"/>
          <w:color w:val="auto"/>
        </w:rPr>
        <w:t>Services</w:t>
      </w:r>
    </w:p>
    <w:p>
      <w:pPr>
        <w:spacing w:after="0" w:line="238" w:lineRule="auto"/>
        <w:rPr>
          <w:sz w:val="20"/>
          <w:szCs w:val="20"/>
          <w:color w:val="auto"/>
        </w:rPr>
      </w:pPr>
      <w:r>
        <w:rPr>
          <w:rFonts w:ascii="Courier New" w:cs="Courier New" w:eastAsia="Courier New" w:hAnsi="Courier New"/>
          <w:sz w:val="18"/>
          <w:szCs w:val="18"/>
          <w:color w:val="auto"/>
        </w:rPr>
        <w:t>Senior Vice President -- Human Resources and</w:t>
      </w:r>
    </w:p>
    <w:p>
      <w:pPr>
        <w:spacing w:after="0"/>
        <w:rPr>
          <w:sz w:val="20"/>
          <w:szCs w:val="20"/>
          <w:color w:val="auto"/>
        </w:rPr>
      </w:pPr>
      <w:r>
        <w:rPr>
          <w:rFonts w:ascii="Courier New" w:cs="Courier New" w:eastAsia="Courier New" w:hAnsi="Courier New"/>
          <w:sz w:val="18"/>
          <w:szCs w:val="18"/>
          <w:color w:val="auto"/>
        </w:rPr>
        <w:t>Communications</w:t>
      </w:r>
    </w:p>
    <w:p>
      <w:pPr>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spacing w:after="0" w:line="200" w:lineRule="exact"/>
        <w:rPr>
          <w:sz w:val="20"/>
          <w:szCs w:val="20"/>
          <w:color w:val="auto"/>
        </w:rPr>
      </w:pPr>
    </w:p>
    <w:p>
      <w:pPr>
        <w:sectPr>
          <w:pgSz w:w="11900" w:h="16838" w:orient="portrait"/>
          <w:cols w:equalWidth="0" w:num="2">
            <w:col w:w="4440" w:space="200"/>
            <w:col w:w="5900"/>
          </w:cols>
          <w:pgMar w:left="320" w:top="514" w:right="1039" w:bottom="1440" w:gutter="0" w:footer="0" w:header="0"/>
          <w:type w:val="continuous"/>
        </w:sect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540"/>
          </w:cols>
          <w:pgMar w:left="320" w:top="514" w:right="1039" w:bottom="1440" w:gutter="0" w:footer="0" w:header="0"/>
          <w:type w:val="continuous"/>
        </w:sectPr>
      </w:pPr>
    </w:p>
    <w:bookmarkStart w:id="14" w:name="page15"/>
    <w:bookmarkEnd w:id="14"/>
    <w:p>
      <w:pPr>
        <w:jc w:val="center"/>
        <w:ind w:right="169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The following description of the particular terms of the notes offered hereby supplements the description of the general terms and provisions of debt securities under the heading 'Description of Debt Securities' in the accompanying prospectus. Terms used in this prospectus supplement that are otherwise not defined will have the meanings given to them in the accompanying prospectus.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699" w:firstLine="421"/>
        <w:spacing w:after="0" w:line="271" w:lineRule="auto"/>
        <w:rPr>
          <w:sz w:val="20"/>
          <w:szCs w:val="20"/>
          <w:color w:val="auto"/>
        </w:rPr>
      </w:pPr>
      <w:r>
        <w:rPr>
          <w:rFonts w:ascii="Courier New" w:cs="Courier New" w:eastAsia="Courier New" w:hAnsi="Courier New"/>
          <w:sz w:val="16"/>
          <w:szCs w:val="16"/>
          <w:color w:val="auto"/>
        </w:rPr>
        <w:t>We will issue the notes in the aggregate principal amount of $1,000,000,000. The notes will mature at par on March 1, 2010. The notes will constitute part of the senior debt of Honeywell and will rank pari passu with all other unsecured and unsubordinated indebtedness of Honeywell. We will issue the notes only in book-entry form, in denominations of $1,000 and integral multiples of $1,000. Principal of and interest on the notes will be payable, and the transfer of notes will be registerable, through the Depositary as described below.</w:t>
      </w:r>
    </w:p>
    <w:p>
      <w:pPr>
        <w:spacing w:after="0" w:line="18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notes will bear interest at the annual rate shown on the cover of this prospectus supplement and will accrue interest from March 1, 2000 or from the most recent date to which interest has been paid or provided for. Interest will be payable twice a year, on March 1 and September 1, beginning September 1, 2000, to the person in whose name a note is registered at the close of business on the February 15 or August 15 that precedes the date on which interest will be paid. Interest payments for the notes will include accrued interest from and including March 1, 2000 or from and including the last date in respect of which interest has been paid, as the case may be, to, but excluding, the interest payment date or the date of maturity, as the case may be. Interest payable at the maturity of the notes will be payable to the registered holder of the note to whom principal is payable. Interest will be computed on the basis of a 360-day year of twelve 30-day months.</w:t>
      </w:r>
    </w:p>
    <w:p>
      <w:pPr>
        <w:spacing w:after="0" w:line="21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If any interest payment date falls on a day that is not a business day, the interest payment will be postponed to the next day that is a business day, and no interest on such payment will accrue for the period from and after such interest payment date. If the maturity date of the notes falls on a day that is not a business day, the payment of interest and principal may be made on the next succeeding business day, and no interest on such payment will accrue for the period from and after the maturity date. As used in this prospectus supplement, 'business day' means any day, other than a Saturday or Sunday, that is neither a legal holiday nor a day on which banking institutions are authorized or required by law or regulation to close in the City of New York or in the place of presentation.</w:t>
      </w:r>
    </w:p>
    <w:p>
      <w:pPr>
        <w:spacing w:after="0" w:line="21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notes, the indenture and the underwriting agreement are governed by, and shall be construed in accordance with, the laws of the State of New York, United States of America, applicable to agreements made and to be performed wholly within such jurisdiction.</w:t>
      </w:r>
    </w:p>
    <w:p>
      <w:pPr>
        <w:spacing w:after="0" w:line="207" w:lineRule="exact"/>
        <w:rPr>
          <w:sz w:val="20"/>
          <w:szCs w:val="20"/>
          <w:color w:val="auto"/>
        </w:rPr>
      </w:pPr>
    </w:p>
    <w:p>
      <w:pPr>
        <w:ind w:right="2119" w:firstLine="421"/>
        <w:spacing w:after="0" w:line="237" w:lineRule="auto"/>
        <w:rPr>
          <w:sz w:val="20"/>
          <w:szCs w:val="20"/>
          <w:color w:val="auto"/>
        </w:rPr>
      </w:pPr>
      <w:r>
        <w:rPr>
          <w:rFonts w:ascii="Courier New" w:cs="Courier New" w:eastAsia="Courier New" w:hAnsi="Courier New"/>
          <w:sz w:val="18"/>
          <w:szCs w:val="18"/>
          <w:color w:val="auto"/>
        </w:rPr>
        <w:t>In some circumstances, we may elect to discharge our obligations on the notes through defeasance or covenant defeasance. See 'Description of Debt Securities -- Defeasance Provisions' in the accompanying prospectus for more information about how we may do this.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We may, without the consent of the holders of notes, issue additional notes having the same ranking and the same interest rate, maturity and other terms as the applicable notes. Any additional notes having such similar terms, together with the applicable notes, will constitute a single series of notes under the indenture. No additional notes may be issued if an event of default has occurred with respect to the applicable series of notes.</w:t>
      </w:r>
    </w:p>
    <w:p>
      <w:pPr>
        <w:spacing w:after="0" w:line="209"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We have appointed Chase Manhattan Bank Luxembourg S.A., as paying agent and transfer agent in Luxembourg with respect to the notes in definitive form. As long as the notes are listed on the Luxembourg Stock Exchange, we will maintain a paying and transfer agent in Luxembourg, and any change in the Luxembourg paying agent and transfer agent will be published in Luxembourg. See ' -- Notices' below.</w:t>
      </w: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139"/>
          </w:cols>
          <w:pgMar w:left="320" w:top="51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BOOK-ENTRY, DELIVERY AND FORM</w:t>
      </w:r>
    </w:p>
    <w:p>
      <w:pPr>
        <w:spacing w:after="0" w:line="207" w:lineRule="exact"/>
        <w:rPr>
          <w:sz w:val="20"/>
          <w:szCs w:val="20"/>
          <w:color w:val="auto"/>
        </w:rPr>
      </w:pPr>
    </w:p>
    <w:p>
      <w:pPr>
        <w:ind w:right="1699" w:firstLine="421"/>
        <w:spacing w:after="0" w:line="269" w:lineRule="auto"/>
        <w:rPr>
          <w:sz w:val="20"/>
          <w:szCs w:val="20"/>
          <w:color w:val="auto"/>
        </w:rPr>
      </w:pPr>
      <w:r>
        <w:rPr>
          <w:rFonts w:ascii="Courier New" w:cs="Courier New" w:eastAsia="Courier New" w:hAnsi="Courier New"/>
          <w:sz w:val="16"/>
          <w:szCs w:val="16"/>
          <w:color w:val="auto"/>
        </w:rPr>
        <w:t>The notes will be issued in the form of one or more fully registered global notes (the 'Global Notes') which will be deposited with, or on behalf of, The Depository Trust Company, New York, New York (the 'Depositary' or 'DTC') and registered in the name of Cede &amp; Co., the Depositary's nominee. Beneficial interests in the Global Notes will be represented through book-entry accounts of financial institutions acting on behalf of beneficial owners as direct and indirect participants in the Depositary. Investors may elect to hold interests in the Global Notes through the Depositary, Clearstream Banking, Societe anonyme ('Clearstream, Luxembourg') or Morgan Guaranty Trust Company of New York, Brussels Office, as operator of the Euroclear System ('Euroclear') if they are participants of such systems, or indirectly through organizations which are participants in such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the Depositary. Citibank, N.A. will act as depositary for Clearstream, Luxembourg and The Chase Manhattan Bank will act as depositary for Euroclear (in such capacities, the 'U.S. Depositaries'). Except as set forth below, the Global Notes may be transferred, in whole and not in part, only to another nominee of the Depositary or to a successor of the Depositary or its nominee.</w:t>
      </w:r>
    </w:p>
    <w:p>
      <w:pPr>
        <w:spacing w:after="0" w:line="392" w:lineRule="exact"/>
        <w:rPr>
          <w:sz w:val="20"/>
          <w:szCs w:val="20"/>
          <w:color w:val="auto"/>
        </w:rPr>
      </w:pPr>
    </w:p>
    <w:p>
      <w:pPr>
        <w:ind w:right="1819" w:firstLine="421"/>
        <w:spacing w:after="0" w:line="238" w:lineRule="auto"/>
        <w:rPr>
          <w:sz w:val="20"/>
          <w:szCs w:val="20"/>
          <w:color w:val="auto"/>
        </w:rPr>
      </w:pPr>
      <w:r>
        <w:rPr>
          <w:rFonts w:ascii="Courier New" w:cs="Courier New" w:eastAsia="Courier New" w:hAnsi="Courier New"/>
          <w:sz w:val="18"/>
          <w:szCs w:val="18"/>
          <w:color w:val="auto"/>
        </w:rPr>
        <w:t>The Depositary has advised the Company as follows: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deposited with it by its participants and facilitates the settlement of transactions among its participants in such securities through electronic computerized book-entry changes in accounts of the participants, thereby eliminating the need for physical movement of securities certificates. The Depositary's participants include securities brokers and dealers (including the underwriters), banks, trust companies, clearing corporations and certain other organizations, some of whom (and/or their representatives) own the Depositary. Access to the Depositary book-entry system is also available to others, such as banks, brokers, dealers and trust companies that clear through or maintain a custodial relationship with a participant, either directly or indirectly.</w:t>
      </w:r>
    </w:p>
    <w:p>
      <w:pPr>
        <w:spacing w:after="0" w:line="207"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Clearstream, Luxembourg advises that it is incorporated under the laws of Luxembourg as a bank. Clearstream, Luxembourg holds securities for its customers ('Clearstream, Luxembourg Customers') and facilitates the clearance and settlement of securities transactions between Clearstream, Luxembourg Customers through electronic book-entry transfers between their accounts. Clearstream, Luxembourg provides to Clearstream, Luxembourg Customers, among other things, services for safekeeping, administration, clearance and settlement of internationally traded securities and securities lending and borrowing. Clearstream, Luxembourg interfaces with domestic securities markets in over 30 countries through established depository and custodial relationships. As a bank, Clearstream, Luxembourg is subject to regulation by the Luxembourg Commission for the Supervision of the Financial Sector (Commission de Surveillance du Secteur Financier). Clearstream, Luxembourg Customers are recognized financial institutions around the world, including underwriters, securities brokers and dealers, banks, trust companies, clearing corporations and certain other organizations. Clearstream, Luxembourg's U.S. customers are limited to securities brokers and dealers and banks. Indirect access to Clearstream, Luxembourg is also available to other institutions such as banks, brokers, dealers and trust companies that clear through or maintain a custodial relationship with a Clearstream, Luxembourg Customer.</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Distributions with respect to the notes held through Clearstream, Luxembourg will be credited to cash accounts of Clearstream, Luxembourg Customers in accordance with its rules and procedures, to the extent received by the U.S. Depositary for Clearstream, Luxembourg.</w:t>
      </w:r>
    </w:p>
    <w:p>
      <w:pPr>
        <w:spacing w:after="0" w:line="207" w:lineRule="exact"/>
        <w:rPr>
          <w:sz w:val="20"/>
          <w:szCs w:val="20"/>
          <w:color w:val="auto"/>
        </w:rPr>
      </w:pPr>
    </w:p>
    <w:p>
      <w:pPr>
        <w:jc w:val="both"/>
        <w:ind w:right="2119" w:firstLine="421"/>
        <w:spacing w:after="0" w:line="236" w:lineRule="auto"/>
        <w:rPr>
          <w:sz w:val="20"/>
          <w:szCs w:val="20"/>
          <w:color w:val="auto"/>
        </w:rPr>
      </w:pPr>
      <w:r>
        <w:rPr>
          <w:rFonts w:ascii="Courier New" w:cs="Courier New" w:eastAsia="Courier New" w:hAnsi="Courier New"/>
          <w:sz w:val="18"/>
          <w:szCs w:val="18"/>
          <w:color w:val="auto"/>
        </w:rPr>
        <w:t>Euroclear advises that it was created in 1968 to hold securities for its participants ('Euroclear Participants') and to clear and settle transactions between Euroclear Participants through</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139"/>
          </w:cols>
          <w:pgMar w:left="320" w:top="514" w:right="1440" w:bottom="975" w:gutter="0" w:footer="0" w:header="0"/>
        </w:sectPr>
      </w:pPr>
    </w:p>
    <w:bookmarkStart w:id="16" w:name="page17"/>
    <w:bookmarkEnd w:id="16"/>
    <w:p>
      <w:pPr>
        <w:ind w:right="1699"/>
        <w:spacing w:after="0" w:line="269" w:lineRule="auto"/>
        <w:rPr>
          <w:sz w:val="20"/>
          <w:szCs w:val="20"/>
          <w:color w:val="auto"/>
        </w:rPr>
      </w:pPr>
      <w:r>
        <w:rPr>
          <w:rFonts w:ascii="Courier New" w:cs="Courier New" w:eastAsia="Courier New" w:hAnsi="Courier New"/>
          <w:sz w:val="16"/>
          <w:szCs w:val="16"/>
          <w:color w:val="auto"/>
        </w:rPr>
        <w:t>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the Brussels, Belgium office of Morgan Guaranty Trust Company of New York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39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Euroclear Operator is the Belgian branch of a New York banking corporation which is a member bank of the Federal Reserve System. As such, it is regulated and examined by the Board of Governors of the Federal Reserve System and the New York State Banking Department, as well as the Belgian Banking Commission.</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21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Distributions with respect to the notes held beneficially through Euroclear will be credited to the cash accounts of Euroclear Participants in accordance with the Terms and Conditions, to the extent received by the U.S. Depositary for Euroclear.</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Euroclear further advises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Notes.</w:t>
      </w:r>
    </w:p>
    <w:p>
      <w:pPr>
        <w:spacing w:after="0" w:line="210" w:lineRule="exact"/>
        <w:rPr>
          <w:sz w:val="20"/>
          <w:szCs w:val="20"/>
          <w:color w:val="auto"/>
        </w:rPr>
      </w:pPr>
    </w:p>
    <w:p>
      <w:pPr>
        <w:ind w:right="1819" w:firstLine="421"/>
        <w:spacing w:after="0" w:line="238" w:lineRule="auto"/>
        <w:rPr>
          <w:sz w:val="20"/>
          <w:szCs w:val="20"/>
          <w:color w:val="auto"/>
        </w:rPr>
      </w:pPr>
      <w:r>
        <w:rPr>
          <w:rFonts w:ascii="Courier New" w:cs="Courier New" w:eastAsia="Courier New" w:hAnsi="Courier New"/>
          <w:sz w:val="18"/>
          <w:szCs w:val="18"/>
          <w:color w:val="auto"/>
        </w:rPr>
        <w:t>The Euroclear Operator advises that under Belgian law, investors that are credited with securities on the records of the Euroclear Operator have a co-property right in the fungible pool of interests in securities on deposit with the Euroclear Operator in an amount equal to the amount of interests in securities credited to their accounts. In the event of the insolvency of the Euroclear Operator, Euroclear Participants would have a right under Belgian law to the return of the amount and type of interests in securities credited to their accounts with the Euroclear Operator. If the Euroclear Operator did not have a sufficient amount of interests in securities on deposit of a particular type to cover the claims of all Participants credited with such interests in securities on the Euroclear Operator's records, all Participants having an amount of interests in securities of such type credited to their accounts with the Euroclear Operator would have the right under Belgian law to the return of their pro rata share of the amount of interests in securities actually on deposit.</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Under Belgian law, the Euroclear Operator is required to pass on the benefits of ownership in any interests in securities on deposit with it (such as dividends, voting rights and other entitlements) to any person credited with such interests in securities on its records.</w:t>
      </w:r>
    </w:p>
    <w:p>
      <w:pPr>
        <w:spacing w:after="0" w:line="207" w:lineRule="exact"/>
        <w:rPr>
          <w:sz w:val="20"/>
          <w:szCs w:val="20"/>
          <w:color w:val="auto"/>
        </w:rPr>
      </w:pPr>
    </w:p>
    <w:p>
      <w:pPr>
        <w:ind w:right="2239" w:firstLine="421"/>
        <w:spacing w:after="0" w:line="236" w:lineRule="auto"/>
        <w:rPr>
          <w:sz w:val="20"/>
          <w:szCs w:val="20"/>
          <w:color w:val="auto"/>
        </w:rPr>
      </w:pPr>
      <w:r>
        <w:rPr>
          <w:rFonts w:ascii="Courier New" w:cs="Courier New" w:eastAsia="Courier New" w:hAnsi="Courier New"/>
          <w:sz w:val="18"/>
          <w:szCs w:val="18"/>
          <w:color w:val="auto"/>
        </w:rPr>
        <w:t>Individual certificates in respect of the notes will not be issued in exchange for the Global Notes, except in very limited circumstances. If DTC notifies us that it is unwilling or unable to</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139"/>
          </w:cols>
          <w:pgMar w:left="320" w:top="520" w:right="1440" w:bottom="773" w:gutter="0" w:footer="0" w:header="0"/>
        </w:sectPr>
      </w:pPr>
    </w:p>
    <w:bookmarkStart w:id="17" w:name="page18"/>
    <w:bookmarkEnd w:id="17"/>
    <w:p>
      <w:pPr>
        <w:ind w:right="1699"/>
        <w:spacing w:after="0" w:line="237" w:lineRule="auto"/>
        <w:rPr>
          <w:sz w:val="20"/>
          <w:szCs w:val="20"/>
          <w:color w:val="auto"/>
        </w:rPr>
      </w:pPr>
      <w:r>
        <w:rPr>
          <w:rFonts w:ascii="Courier New" w:cs="Courier New" w:eastAsia="Courier New" w:hAnsi="Courier New"/>
          <w:sz w:val="18"/>
          <w:szCs w:val="18"/>
          <w:color w:val="auto"/>
        </w:rPr>
        <w:t>continue as a clearing system in connection with the Global Notes or ceases to be a clearing agency registered under the Exchange Act, and a successor clearing system is not appointed by us within 90 days after receiving such notice from DTC or upon becoming aware that DTC is no longer so registered, we will issue or cause to be issued individual certificates in registered form on registration of transfer of, or in exchange for, book-entry interests in the notes represented by such Global Notes upon delivery of such Global Notes for cancellation. In the event that individual certificates are issued, holders of the notes will be able to receive payments (including principal and interest) on the notes and effect transfer of the notes at the offices of our paying and transfer agent in Luxembourg, Chase Manhattan Bank Luxembourg S.A.</w:t>
      </w:r>
    </w:p>
    <w:p>
      <w:pPr>
        <w:spacing w:after="0" w:line="21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Title to book-entry interests in the notes will pass by book-entry registration of the transfer within the records of Clearstream, Luxembourg, Euroclear or DTC, as the case may be, in accordance with their respective procedures. Book-entry interests in the notes may be transferred within Clearstream, Luxembourg and within Euroclear and between Clearstream, Luxembourg and Euroclear in accordance with procedures established for these purposes by Clearstream, Luxembourg and Euroclear. Book-entry interests in the notes may be transferred within DTC in accordance with procedures established for this purpose by DTC. Transfers of book-entry interests in the notes among Clearstream, Luxembourg and Euroclear and DTC may be effected in accordance with procedures established for this purpose by Clearstream, Luxembourg, Euroclear and DTC.</w:t>
      </w:r>
    </w:p>
    <w:p>
      <w:pPr>
        <w:spacing w:after="0" w:line="216"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A further description of the Depositary's procedures with respect to the Global Notes is set forth in the prospectus under 'Book-Entry Issuance'. The Depositary has confirmed to us, the underwriters and the trustee that it intends to follow such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CLEARANCE AND SETTLEMENT PROCEDURES</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Initial settlement for the notes will be made in immediately available funds. Secondary market trading between DTC participants will occur in the ordinary way in accordance with the Depositary's rules and will be settled in immediately available funds using the Depositary's Same-Day Funds Settlement System. Secondary market trading between Clearstream, Luxembourg Customers and/or Euroclear Participants will occur in the ordinary way in accordance with the applicable rules and operating procedures of Clearstream, Luxembourg and Euroclear and will be settled using the procedures applicable to conventional Eurobonds in immediately available funds.</w:t>
      </w:r>
    </w:p>
    <w:p>
      <w:pPr>
        <w:spacing w:after="0" w:line="213"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Cross-market transfers between persons holding directly or indirectly through the Depositary on the one hand, and directly or indirectly through Clearstream, Luxembourg Customers or Euroclear Participants, on the other, will be effected in the Depositary in accordance with the Depositary's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interests in the notes to or receiving interests in the notes from the Depositary, and making or receiving payment in accordance with normal procedures for same-day funds settlement applicable to the Depositary. Clearstream, Luxembourg Customers and Euroclear Participants may not deliver instructions directly to their respective U.S. Depositaries.</w:t>
      </w:r>
    </w:p>
    <w:p>
      <w:pPr>
        <w:spacing w:after="0" w:line="207" w:lineRule="exact"/>
        <w:rPr>
          <w:sz w:val="20"/>
          <w:szCs w:val="20"/>
          <w:color w:val="auto"/>
        </w:rPr>
      </w:pPr>
    </w:p>
    <w:p>
      <w:pPr>
        <w:ind w:right="1699" w:firstLine="421"/>
        <w:spacing w:after="0" w:line="270" w:lineRule="auto"/>
        <w:rPr>
          <w:sz w:val="20"/>
          <w:szCs w:val="20"/>
          <w:color w:val="auto"/>
        </w:rPr>
      </w:pPr>
      <w:r>
        <w:rPr>
          <w:rFonts w:ascii="Courier New" w:cs="Courier New" w:eastAsia="Courier New" w:hAnsi="Courier New"/>
          <w:sz w:val="16"/>
          <w:szCs w:val="16"/>
          <w:color w:val="auto"/>
        </w:rPr>
        <w:t>Because of time-zone differences, credits of interests in the notes received in Clearstream, Luxembourg or Euroclear as a result of a transaction with a DTC participant will be made during subsequent securities settlement processing and dated the business day following the Depositary settlement date. Such credits or any transactions involving interests in such notes settled during such processing will be reported to the relevant Clearstream, Luxembourg Customers or Euroclear Participants on such business day. Cash received in Clearstream, Luxembourg or Euroclear as a result of sales of interests in the notes by or through a Clearstream, Luxembourg Customer or a Euroclear Participant to a DTC participant will be received with value on the Depositary settlement</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139"/>
          </w:cols>
          <w:pgMar w:left="320" w:top="520" w:right="1440" w:bottom="1440" w:gutter="0" w:footer="0" w:header="0"/>
        </w:sectPr>
      </w:pPr>
    </w:p>
    <w:bookmarkStart w:id="18" w:name="page19"/>
    <w:bookmarkEnd w:id="18"/>
    <w:p>
      <w:pPr>
        <w:ind w:right="1699"/>
        <w:spacing w:after="0" w:line="290" w:lineRule="auto"/>
        <w:rPr>
          <w:sz w:val="20"/>
          <w:szCs w:val="20"/>
          <w:color w:val="auto"/>
        </w:rPr>
      </w:pPr>
      <w:r>
        <w:rPr>
          <w:rFonts w:ascii="Courier New" w:cs="Courier New" w:eastAsia="Courier New" w:hAnsi="Courier New"/>
          <w:sz w:val="16"/>
          <w:szCs w:val="16"/>
          <w:color w:val="auto"/>
        </w:rPr>
        <w:t>date but will be available in the relevant Clearstream, Luxembourg or Euroclear cash account only as of the business day following settlement in the Depositary.</w:t>
      </w:r>
    </w:p>
    <w:p>
      <w:pPr>
        <w:spacing w:after="0" w:line="169"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Although the Depositary, Clearstream, Luxembourg and Euroclear have agreed to the foregoing procedures in order to facilitate transfers of interests in the notes among participants of the Depositary, Clearstream, Luxembourg and Euroclear, they are under no obligation to perform or continue to perform such procedures and such procedures may be changed or discontinued at any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699" w:firstLine="421"/>
        <w:spacing w:after="0" w:line="270" w:lineRule="auto"/>
        <w:rPr>
          <w:sz w:val="20"/>
          <w:szCs w:val="20"/>
          <w:color w:val="auto"/>
        </w:rPr>
      </w:pPr>
      <w:r>
        <w:rPr>
          <w:rFonts w:ascii="Courier New" w:cs="Courier New" w:eastAsia="Courier New" w:hAnsi="Courier New"/>
          <w:sz w:val="16"/>
          <w:szCs w:val="16"/>
          <w:color w:val="auto"/>
        </w:rPr>
        <w:t>The notes may be redeemed as a whole, at our option at any time prior to maturity, upon the giving of a notice of redemption as described below, if we determine that, as a result of any change in or amendment to the laws (or any regulations or rulings promulgated thereunder) of the United States or of any political subdivision or taxing authority thereof or therein, or any change in official position regarding the application or interpretation of such laws, regulations or rulings, which change or amendment becomes effective on or after the date of this prospectus supplement, we have or will become obligated to pay additional amounts as described under ' -- Payment of Additional Amounts' below with respect to such notes for reasons outside our control and after taking reasonable measures to avoid such obligation. The notes will be redeemed at a redemption price equal to 100% of the principal amount thereof, together with accrued interest to the date fixed for redemption. Prior to the giving of any notice of redemption pursuant to this paragraph, we will deliver to the trustee:</w:t>
      </w:r>
    </w:p>
    <w:p>
      <w:pPr>
        <w:spacing w:after="0" w:line="387"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a certificate stating that we are entitled to effect such redemption and setting forth a statement of facts showing that the conditions precedent to our right to so redeem have occurred, and</w:t>
      </w:r>
    </w:p>
    <w:p>
      <w:pPr>
        <w:spacing w:after="0" w:line="208"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an opinion of independent counsel satisfactory to the trustee to the effect that we have or will become obligated to pay such additional amounts for the reasons described above;</w:t>
      </w:r>
    </w:p>
    <w:p>
      <w:pPr>
        <w:spacing w:after="0" w:line="208"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provided that no such notice of redemption shall be given earlier than 60 days prior to the earliest date on which we would be obligated to pay such additional amounts if a payment in respect of the note were then due.</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Notice of redemption will be given not less than 30 nor more than 60 days prior to the date fixed for redemption, which date and the applicable redemption price will be specified in the notice. This notice will be given in accordance with ' -- Notices'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ADDITIONAL AMOUNTS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We will, subject to certain exceptions and limitations set forth below, pay such additional amounts to the beneficial owner of any note who is a United States alien as may be necessary in order that every net payment of principal of and interest on such note and any other amounts payable on such note, after withholding for or on account of any present or future tax, assessment or governmental charge imposed upon or as a result of such payment by the United States (or any political subdivision or taxing authority thereof or therein), will not be less than the amount provided for in such note to be then due and payable. We will not, however, be required to make any such payment of additional amounts to any beneficial owner for or on account of:</w:t>
      </w:r>
    </w:p>
    <w:p>
      <w:pPr>
        <w:spacing w:after="0" w:line="214"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any such tax, assessment or other governmental charge that would not have been so imposed but for the existence of any present or former connection between such beneficial owner (or between a fiduciary, settlor, beneficiary, member or shareholder of such beneficial owner, if such beneficial owner is an estate, a trust, a partnership or a corporation) and the United States and its possessions, including, without limitation, such beneficial owner (or such fiduciary, settlor, beneficiary, member or shareholder) being or having been a citizen or resident thereof or being or having been engaged in a trade or business or present therein or having, or having had, a permanent establishment therein;</w:t>
      </w:r>
    </w:p>
    <w:p>
      <w:pPr>
        <w:spacing w:after="0" w:line="214"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any estate, inheritance, gift, sales, transfer or personal property tax or any similar tax, assessment or governmental charge;</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139"/>
          </w:cols>
          <w:pgMar w:left="320" w:top="520" w:right="1440" w:bottom="1440" w:gutter="0" w:footer="0" w:header="0"/>
        </w:sectPr>
      </w:pPr>
    </w:p>
    <w:bookmarkStart w:id="19" w:name="page20"/>
    <w:bookmarkEnd w:id="19"/>
    <w:p>
      <w:pPr>
        <w:ind w:left="540" w:right="1819"/>
        <w:spacing w:after="0" w:line="237" w:lineRule="auto"/>
        <w:rPr>
          <w:sz w:val="20"/>
          <w:szCs w:val="20"/>
          <w:color w:val="auto"/>
        </w:rPr>
      </w:pPr>
      <w:r>
        <w:rPr>
          <w:rFonts w:ascii="Courier New" w:cs="Courier New" w:eastAsia="Courier New" w:hAnsi="Courier New"/>
          <w:sz w:val="18"/>
          <w:szCs w:val="18"/>
          <w:color w:val="auto"/>
        </w:rPr>
        <w:t>any tax, assessment or other governmental charge imposed by reason of such beneficial owner's past or present status as a personal holding company or foreign personal holding company or controlled foreign corporation or passive foreign investment company with respect to the United States or as a corporation that accumulates earnings to avoid United States federal income tax;</w:t>
      </w:r>
    </w:p>
    <w:p>
      <w:pPr>
        <w:spacing w:after="0" w:line="209" w:lineRule="exact"/>
        <w:rPr>
          <w:sz w:val="20"/>
          <w:szCs w:val="20"/>
          <w:color w:val="auto"/>
        </w:rPr>
      </w:pPr>
    </w:p>
    <w:p>
      <w:pPr>
        <w:ind w:left="540" w:right="1819"/>
        <w:spacing w:after="0" w:line="290" w:lineRule="auto"/>
        <w:rPr>
          <w:sz w:val="20"/>
          <w:szCs w:val="20"/>
          <w:color w:val="auto"/>
        </w:rPr>
      </w:pPr>
      <w:r>
        <w:rPr>
          <w:rFonts w:ascii="Courier New" w:cs="Courier New" w:eastAsia="Courier New" w:hAnsi="Courier New"/>
          <w:sz w:val="16"/>
          <w:szCs w:val="16"/>
          <w:color w:val="auto"/>
        </w:rPr>
        <w:t>any tax, assessment or other governmental charge that is payable otherwise than by withholding from payments on or in respect of any note;</w:t>
      </w:r>
    </w:p>
    <w:p>
      <w:pPr>
        <w:spacing w:after="0" w:line="169" w:lineRule="exact"/>
        <w:rPr>
          <w:sz w:val="20"/>
          <w:szCs w:val="20"/>
          <w:color w:val="auto"/>
        </w:rPr>
      </w:pPr>
    </w:p>
    <w:p>
      <w:pPr>
        <w:ind w:left="540" w:right="1919"/>
        <w:spacing w:after="0" w:line="237" w:lineRule="auto"/>
        <w:rPr>
          <w:sz w:val="20"/>
          <w:szCs w:val="20"/>
          <w:color w:val="auto"/>
        </w:rPr>
      </w:pPr>
      <w:r>
        <w:rPr>
          <w:rFonts w:ascii="Courier New" w:cs="Courier New" w:eastAsia="Courier New" w:hAnsi="Courier New"/>
          <w:sz w:val="18"/>
          <w:szCs w:val="18"/>
          <w:color w:val="auto"/>
        </w:rPr>
        <w:t>any tax, assessment or other governmental charge that would not have been imposed but for the failure to comply with certification, information or other reporting requirements concerning the nationality, residence or identity of the beneficial owner of such note, if such compliance is required by statute or by regulation of the United States or of any political subdivision or taxing authority thereof or therein as a precondition to relief or exemption from such tax, assessment or other governmental charge;</w:t>
      </w:r>
    </w:p>
    <w:p>
      <w:pPr>
        <w:spacing w:after="0" w:line="212" w:lineRule="exact"/>
        <w:rPr>
          <w:sz w:val="20"/>
          <w:szCs w:val="20"/>
          <w:color w:val="auto"/>
        </w:rPr>
      </w:pPr>
    </w:p>
    <w:p>
      <w:pPr>
        <w:ind w:left="540" w:right="1819"/>
        <w:spacing w:after="0" w:line="273" w:lineRule="auto"/>
        <w:rPr>
          <w:sz w:val="20"/>
          <w:szCs w:val="20"/>
          <w:color w:val="auto"/>
        </w:rPr>
      </w:pPr>
      <w:r>
        <w:rPr>
          <w:rFonts w:ascii="Courier New" w:cs="Courier New" w:eastAsia="Courier New" w:hAnsi="Courier New"/>
          <w:sz w:val="16"/>
          <w:szCs w:val="16"/>
          <w:color w:val="auto"/>
        </w:rPr>
        <w:t>any tax, assessment or other governmental charge imposed by reason of such beneficial owner's past or present status as the actual or constructive owner of 10% or more of the total combined voting power of all classes of our stock entitled to vote or as a controlled foreign corporation that is related directly or indirectly to us through stock ownership; or</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combination of these factors.</w:t>
      </w:r>
    </w:p>
    <w:p>
      <w:pPr>
        <w:spacing w:after="0" w:line="207" w:lineRule="exact"/>
        <w:rPr>
          <w:sz w:val="20"/>
          <w:szCs w:val="20"/>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Such additional amounts shall also not be paid with respect to any payment on a note to a United States alien who is a fiduciary or partnership or other than the sole beneficial owner of such payment to the extent such payment would be required by the laws of the United States (or any political subdivision thereof) to be included in the income, for tax purposes, of a beneficiary or settlor with respect to such fiduciary or a member of such partnership or a beneficial owner who would not have been entitled to such additional amounts had such beneficiary, settlor, member or beneficial owner, as the case may be, held its interest in the note directly. The term 'United States alien' means any person that is, for United States federal income tax purposes, a foreign corporation, a nonresident alien individual, a nonresident alien fiduciary of a foreign estate or trust, or a foreign partnership to the extent that one or more of its members is a foreign corporation, a nonresident alien individual or a nonresident alien fiduciary of a foreign estate or trust.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Notices to holders of the Notes will be sent by mail to the registered holders and will be published, whether the Notes are in global or definitive form, and so long as the Notes are listed on the Luxembourg Stock Exchange, in a daily newspaper of general circulation in Luxembourg. It is expected that publication will be made in Luxembourg in the Luxemburger Wort. Any such notice shall be deemed to have been given on the date of such publication or, if published more than once, on the date of the first such publication. So long as the notes are listed on the Luxembourg Stock Exchange, any appointment of or change in the Luxembourg paying agent and transfer agent will be published in Luxembourg in the manner set forth above.</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UNITED STATES FEDERAL TAXATION</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following summary describes the material United States federal income and certain estate tax consequences of ownership and disposition of the notes. This summary provides general information only and is directed solely to original beneficial owners purchasing notes at the 'issue price,' that is, the first price at which a substantial amount of notes is sold to the public (excluding sales to bond houses, brokers or similar persons or organizations acting in the capacity of underwriters, placement agents or wholesalers). This summary is based on the Internal Revenue Code of 1986, as amended to the date hereof (the 'Code'), existing administrative pronouncements and judicial decisions, existing and proposed Treasury Regulations currently in effect, and interpretations of the foregoing, changes to any of which subsequent to the date of this prospectus supplement may affect the tax consequences described herein, possibly</w:t>
      </w:r>
    </w:p>
    <w:p>
      <w:pPr>
        <w:spacing w:after="0" w:line="21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139"/>
          </w:cols>
          <w:pgMar w:left="320" w:top="520" w:right="1440" w:bottom="1440" w:gutter="0" w:footer="0" w:header="0"/>
        </w:sectPr>
      </w:pPr>
    </w:p>
    <w:bookmarkStart w:id="20" w:name="page21"/>
    <w:bookmarkEnd w:id="20"/>
    <w:p>
      <w:pPr>
        <w:ind w:right="1819"/>
        <w:spacing w:after="0" w:line="237" w:lineRule="auto"/>
        <w:rPr>
          <w:sz w:val="20"/>
          <w:szCs w:val="20"/>
          <w:color w:val="auto"/>
        </w:rPr>
      </w:pPr>
      <w:r>
        <w:rPr>
          <w:rFonts w:ascii="Courier New" w:cs="Courier New" w:eastAsia="Courier New" w:hAnsi="Courier New"/>
          <w:sz w:val="18"/>
          <w:szCs w:val="18"/>
          <w:color w:val="auto"/>
        </w:rPr>
        <w:t>with retroactive effect. This summary deals only with notes held as capital assets within the meaning of Section 1221 of the Code. This summary does not discuss all of the tax consequences that may be relevant to a beneficial owner in light of his particular circumstances or to beneficial owners subject to special rules, such as certain financial institutions, insurance companies, dealers in securities, persons holding notes in connection with a hedging transaction, 'straddle,' conversion transaction or other integrated transaction or persons who have ceased to be United States citizens or to be taxed as resident aliens. Persons considering the purchase of notes should consult their own tax advisors with regard to the application of the United States federal income and estate tax laws to their particular situations, as well as any tax consequences arising under the laws of any state, local or foreign taxing jurisdiction.</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UNITED STATES PERSONS</w:t>
      </w:r>
    </w:p>
    <w:p>
      <w:pPr>
        <w:spacing w:after="0" w:line="207"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For purposes of the following discussion, a 'United States person' means a beneficial owner of a note that is, for United States federal income tax purposes: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citizen or resident of the United States, or</w:t>
      </w:r>
    </w:p>
    <w:p>
      <w:pPr>
        <w:spacing w:after="0" w:line="207" w:lineRule="exact"/>
        <w:rPr>
          <w:sz w:val="20"/>
          <w:szCs w:val="20"/>
          <w:color w:val="auto"/>
        </w:rPr>
      </w:pPr>
    </w:p>
    <w:p>
      <w:pPr>
        <w:jc w:val="both"/>
        <w:ind w:left="540" w:right="2019"/>
        <w:spacing w:after="0" w:line="279" w:lineRule="auto"/>
        <w:rPr>
          <w:sz w:val="20"/>
          <w:szCs w:val="20"/>
          <w:color w:val="auto"/>
        </w:rPr>
      </w:pPr>
      <w:r>
        <w:rPr>
          <w:rFonts w:ascii="Courier New" w:cs="Courier New" w:eastAsia="Courier New" w:hAnsi="Courier New"/>
          <w:sz w:val="16"/>
          <w:szCs w:val="16"/>
          <w:color w:val="auto"/>
        </w:rPr>
        <w:t>a corporation or other entity treated as a corporation for United States federal income tax purposes created or organized in or under the laws of the United States, any State or the District of Columbia, or</w:t>
      </w:r>
    </w:p>
    <w:p>
      <w:pPr>
        <w:spacing w:after="0" w:line="178"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an estate or trust the income of which is subject to United States federal income taxation regardless of its source.</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Partnerships are subject to special tax rules and should contact their own tax advisors.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OF INTEREST</w:t>
      </w:r>
    </w:p>
    <w:p>
      <w:pPr>
        <w:spacing w:after="0" w:line="207" w:lineRule="exact"/>
        <w:rPr>
          <w:sz w:val="20"/>
          <w:szCs w:val="20"/>
          <w:color w:val="auto"/>
        </w:rPr>
      </w:pPr>
    </w:p>
    <w:p>
      <w:pPr>
        <w:ind w:right="1819" w:firstLine="421"/>
        <w:spacing w:after="0" w:line="279" w:lineRule="auto"/>
        <w:rPr>
          <w:sz w:val="20"/>
          <w:szCs w:val="20"/>
          <w:color w:val="auto"/>
        </w:rPr>
      </w:pPr>
      <w:r>
        <w:rPr>
          <w:rFonts w:ascii="Courier New" w:cs="Courier New" w:eastAsia="Courier New" w:hAnsi="Courier New"/>
          <w:sz w:val="16"/>
          <w:szCs w:val="16"/>
          <w:color w:val="auto"/>
        </w:rPr>
        <w:t>Interest on a note will generally be taxable to a United States person as ordinary interest income at the time it is accrued or is received in accordance with the United States person's method of accounting for tax purposes.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EXCHANGE OR RETIREMENT OF THE NOTES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Upon the sale, exchange or retirement of a note, a United States person will recognize taxable gain or loss equal to the difference between the amount realized on the sale, exchange or retirement and the United States person's adjusted tax basis in the note. For these purposes, the amount realized does not include any amount attributable to accrued interest on the note. Amounts attributable to accrued interest are treated as interest as described under</w:t>
      </w:r>
    </w:p>
    <w:p>
      <w:pPr>
        <w:spacing w:after="0" w:line="7" w:lineRule="exact"/>
        <w:rPr>
          <w:sz w:val="20"/>
          <w:szCs w:val="20"/>
          <w:color w:val="auto"/>
        </w:rPr>
      </w:pPr>
    </w:p>
    <w:p>
      <w:pPr>
        <w:ind w:right="1699" w:firstLine="8"/>
        <w:spacing w:after="0" w:line="290"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Payments of Interest' above. A United States person's adjusted tax basis in a note generally will equal the cost of the note to the United States person.</w:t>
      </w:r>
    </w:p>
    <w:p>
      <w:pPr>
        <w:spacing w:after="0" w:line="169"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Gain or loss realized on the sale, exchange or redemption of a note will be capital gain or loss. Prospective investors should consult their own tax advisors regarding the treatment of capital gains (which may be taxed at lower rates than ordinary income for taxpayers who are individuals, trusts or estates) and losses (the deductibility of which is subject to limitations).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Backup withholding and information reporting requirements may apply to certain payments of principal, premium and interest on a note, and to payments of proceeds of the sale or redemption of a note, to certain non-corporate United States persons. Honeywell, its agent, a broker, or any paying agent, as the case may be, will be required to withhold from any payment a tax equal to 31 percent of such payment if</w:t>
      </w:r>
    </w:p>
    <w:p>
      <w:pPr>
        <w:spacing w:after="0" w:line="209" w:lineRule="exact"/>
        <w:rPr>
          <w:sz w:val="20"/>
          <w:szCs w:val="20"/>
          <w:color w:val="auto"/>
        </w:rPr>
      </w:pPr>
    </w:p>
    <w:p>
      <w:pPr>
        <w:ind w:left="540" w:right="1919"/>
        <w:spacing w:after="0" w:line="235" w:lineRule="auto"/>
        <w:rPr>
          <w:sz w:val="20"/>
          <w:szCs w:val="20"/>
          <w:color w:val="auto"/>
        </w:rPr>
      </w:pPr>
      <w:r>
        <w:rPr>
          <w:rFonts w:ascii="Courier New" w:cs="Courier New" w:eastAsia="Courier New" w:hAnsi="Courier New"/>
          <w:sz w:val="18"/>
          <w:szCs w:val="18"/>
          <w:color w:val="auto"/>
        </w:rPr>
        <w:t>the United States person fails to furnish or certify its correct taxpayer identification number to the payor in the manner required,</w:t>
      </w:r>
    </w:p>
    <w:p>
      <w:pPr>
        <w:spacing w:after="0" w:line="208"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fails to certify, under penalty of perjury, that such United States person is not subject to backup withholding, or</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139"/>
          </w:cols>
          <w:pgMar w:left="320" w:top="520" w:right="1440" w:bottom="1440" w:gutter="0" w:footer="0" w:header="0"/>
        </w:sectPr>
      </w:pPr>
    </w:p>
    <w:bookmarkStart w:id="21" w:name="page22"/>
    <w:bookmarkEnd w:id="21"/>
    <w:p>
      <w:pPr>
        <w:ind w:left="540" w:right="2019"/>
        <w:spacing w:after="0" w:line="235" w:lineRule="auto"/>
        <w:rPr>
          <w:sz w:val="20"/>
          <w:szCs w:val="20"/>
          <w:color w:val="auto"/>
        </w:rPr>
      </w:pPr>
      <w:r>
        <w:rPr>
          <w:rFonts w:ascii="Courier New" w:cs="Courier New" w:eastAsia="Courier New" w:hAnsi="Courier New"/>
          <w:sz w:val="18"/>
          <w:szCs w:val="18"/>
          <w:color w:val="auto"/>
        </w:rPr>
        <w:t>otherwise fails to comply with the applicable requirements of the backup withholding rules.</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Any amounts withheld under the backup withholding rules from a payment to a United States person may be credited against such United States person's United States federal income tax and may entitle such United States person to a refund, provided that the required information is furnished to the Internal Revenue Service.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NON-UNITED STATES PERSONS</w:t>
      </w:r>
    </w:p>
    <w:p>
      <w:pPr>
        <w:spacing w:after="0" w:line="207" w:lineRule="exact"/>
        <w:rPr>
          <w:sz w:val="20"/>
          <w:szCs w:val="20"/>
          <w:color w:val="auto"/>
        </w:rPr>
      </w:pPr>
    </w:p>
    <w:p>
      <w:pPr>
        <w:ind w:right="1699" w:firstLine="421"/>
        <w:spacing w:after="0" w:line="235" w:lineRule="auto"/>
        <w:rPr>
          <w:sz w:val="20"/>
          <w:szCs w:val="20"/>
          <w:color w:val="auto"/>
        </w:rPr>
      </w:pPr>
      <w:r>
        <w:rPr>
          <w:rFonts w:ascii="Courier New" w:cs="Courier New" w:eastAsia="Courier New" w:hAnsi="Courier New"/>
          <w:sz w:val="18"/>
          <w:szCs w:val="18"/>
          <w:color w:val="auto"/>
        </w:rPr>
        <w:t>As used herein, the term 'non-United States person' means a beneficial owner of a note that is, for United States federal income tax purposes: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nonresident alien individual, 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foreign corporation, or</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an estate or trust that is not taxable in the United States on its world-wide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AND WITHHOLDING TAX FOR NON-UNITED STATES PERSONS</w:t>
      </w:r>
    </w:p>
    <w:p>
      <w:pPr>
        <w:spacing w:after="0" w:line="207" w:lineRule="exact"/>
        <w:rPr>
          <w:sz w:val="20"/>
          <w:szCs w:val="20"/>
          <w:color w:val="auto"/>
        </w:rPr>
      </w:pPr>
    </w:p>
    <w:p>
      <w:pPr>
        <w:ind w:right="2119" w:firstLine="421"/>
        <w:spacing w:after="0" w:line="235" w:lineRule="auto"/>
        <w:rPr>
          <w:sz w:val="20"/>
          <w:szCs w:val="20"/>
          <w:color w:val="auto"/>
        </w:rPr>
      </w:pPr>
      <w:r>
        <w:rPr>
          <w:rFonts w:ascii="Courier New" w:cs="Courier New" w:eastAsia="Courier New" w:hAnsi="Courier New"/>
          <w:sz w:val="18"/>
          <w:szCs w:val="18"/>
          <w:color w:val="auto"/>
        </w:rPr>
        <w:t>The discussion under this heading is subject to the discussion of backup withholding below.</w:t>
      </w:r>
    </w:p>
    <w:p>
      <w:pPr>
        <w:spacing w:after="0" w:line="208" w:lineRule="exact"/>
        <w:rPr>
          <w:sz w:val="20"/>
          <w:szCs w:val="20"/>
          <w:color w:val="auto"/>
        </w:rPr>
      </w:pPr>
    </w:p>
    <w:p>
      <w:pPr>
        <w:ind w:right="1699" w:firstLine="421"/>
        <w:spacing w:after="0" w:line="236" w:lineRule="auto"/>
        <w:rPr>
          <w:sz w:val="20"/>
          <w:szCs w:val="20"/>
          <w:color w:val="auto"/>
        </w:rPr>
      </w:pPr>
      <w:r>
        <w:rPr>
          <w:rFonts w:ascii="Courier New" w:cs="Courier New" w:eastAsia="Courier New" w:hAnsi="Courier New"/>
          <w:sz w:val="18"/>
          <w:szCs w:val="18"/>
          <w:color w:val="auto"/>
        </w:rPr>
        <w:t>Payments of principal and interest on a note that is beneficially owned by a non-United States person will not be subject to United States federal withholding tax; provided, that in the case of interest:</w:t>
      </w:r>
    </w:p>
    <w:p>
      <w:pPr>
        <w:spacing w:after="0" w:line="203"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conditions is met:</w:t>
      </w:r>
    </w:p>
    <w:p>
      <w:pPr>
        <w:spacing w:after="0" w:line="206" w:lineRule="exact"/>
        <w:rPr>
          <w:rFonts w:ascii="Courier New" w:cs="Courier New" w:eastAsia="Courier New" w:hAnsi="Courier New"/>
          <w:sz w:val="18"/>
          <w:szCs w:val="18"/>
          <w:color w:val="auto"/>
        </w:rPr>
      </w:pPr>
    </w:p>
    <w:p>
      <w:pPr>
        <w:ind w:left="860" w:right="16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does not actually or constructively own 10% or more of the total combined voting power of all classes of Honeywell stock entitled to vote, and</w:t>
      </w:r>
    </w:p>
    <w:p>
      <w:pPr>
        <w:spacing w:after="0" w:line="208" w:lineRule="exact"/>
        <w:rPr>
          <w:rFonts w:ascii="Courier New" w:cs="Courier New" w:eastAsia="Courier New" w:hAnsi="Courier New"/>
          <w:sz w:val="18"/>
          <w:szCs w:val="18"/>
          <w:color w:val="auto"/>
        </w:rPr>
      </w:pPr>
    </w:p>
    <w:p>
      <w:pPr>
        <w:ind w:left="860" w:right="21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beneficial owner is not a controlled foreign corporation that is related, directly or indirectly, to us through stock ownership, and</w:t>
      </w:r>
    </w:p>
    <w:p>
      <w:pPr>
        <w:spacing w:after="0" w:line="163"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ind w:left="1480" w:right="1699" w:hanging="419"/>
        <w:spacing w:after="0" w:line="237" w:lineRule="auto"/>
        <w:tabs>
          <w:tab w:leader="none" w:pos="14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note provides an IRS Form W-8 or W-8 BEN certifying to the person otherwise required to withhold United States federal income tax from such interest that it is not a United States person and provides its name and address, or</w:t>
      </w:r>
    </w:p>
    <w:p>
      <w:pPr>
        <w:spacing w:after="0" w:line="207" w:lineRule="exact"/>
        <w:rPr>
          <w:rFonts w:ascii="Courier New" w:cs="Courier New" w:eastAsia="Courier New" w:hAnsi="Courier New"/>
          <w:sz w:val="18"/>
          <w:szCs w:val="18"/>
          <w:color w:val="auto"/>
        </w:rPr>
      </w:pPr>
    </w:p>
    <w:p>
      <w:pPr>
        <w:ind w:left="1480" w:right="1699" w:hanging="419"/>
        <w:spacing w:after="0" w:line="271" w:lineRule="auto"/>
        <w:tabs>
          <w:tab w:leader="none" w:pos="14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securities clearing organization, bank or other financial institution that holds customers' securities in the ordinary course of its trade or business (a 'financial institution') and holds an interest in the note certifies to the person otherwise required to withhold United States federal income tax from such interest that such statement has been received from the beneficial owner by it or by a financial institution between it and the beneficial owner and furnishes the payor with a copy thereof; or</w:t>
      </w:r>
    </w:p>
    <w:p>
      <w:pPr>
        <w:spacing w:after="0" w:line="185" w:lineRule="exact"/>
        <w:rPr>
          <w:rFonts w:ascii="Courier New" w:cs="Courier New" w:eastAsia="Courier New" w:hAnsi="Courier New"/>
          <w:sz w:val="16"/>
          <w:szCs w:val="16"/>
          <w:color w:val="auto"/>
        </w:rPr>
      </w:pPr>
    </w:p>
    <w:p>
      <w:pPr>
        <w:ind w:left="860" w:right="1699" w:hanging="431"/>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is entitled to the benefits of an income tax treaty under which the interest is exempt from United States federal withholding tax and the beneficial owner of the note or such owner's agent provides an IRS Form 1001 or W-8 BEN claiming the exemption; or</w:t>
      </w:r>
    </w:p>
    <w:p>
      <w:pPr>
        <w:spacing w:after="0" w:line="207" w:lineRule="exact"/>
        <w:rPr>
          <w:rFonts w:ascii="Courier New" w:cs="Courier New" w:eastAsia="Courier New" w:hAnsi="Courier New"/>
          <w:sz w:val="18"/>
          <w:szCs w:val="18"/>
          <w:color w:val="auto"/>
        </w:rPr>
      </w:pPr>
    </w:p>
    <w:p>
      <w:pPr>
        <w:ind w:left="860" w:right="1819" w:hanging="431"/>
        <w:spacing w:after="0" w:line="279"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conducts a trade or business in the United States to which the interest is effectively connected and the beneficial owner of the note or such owner's agent provides an IRS Form 4224 or W-8 ECI;</w:t>
      </w:r>
    </w:p>
    <w:p>
      <w:pPr>
        <w:spacing w:after="0" w:line="17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provided that in each such case, the relevant certification or IRS Form is delivered pursuant to applicable procedures and is properly transmitted to the person otherwise required to withhold United States federal income tax, and none of the persons receiving the relevant certification or IRS Form has actual knowledge that the certification or any statement on the IRS Form is false. Some of these procedures will change after December 31, 2000.</w:t>
      </w:r>
    </w:p>
    <w:p>
      <w:pPr>
        <w:spacing w:after="0" w:line="209" w:lineRule="exact"/>
        <w:rPr>
          <w:sz w:val="20"/>
          <w:szCs w:val="20"/>
          <w:color w:val="auto"/>
        </w:rPr>
      </w:pPr>
    </w:p>
    <w:p>
      <w:pPr>
        <w:ind w:right="1819" w:firstLine="421"/>
        <w:spacing w:after="0" w:line="236" w:lineRule="auto"/>
        <w:rPr>
          <w:sz w:val="20"/>
          <w:szCs w:val="20"/>
          <w:color w:val="auto"/>
        </w:rPr>
      </w:pPr>
      <w:r>
        <w:rPr>
          <w:rFonts w:ascii="Courier New" w:cs="Courier New" w:eastAsia="Courier New" w:hAnsi="Courier New"/>
          <w:sz w:val="18"/>
          <w:szCs w:val="18"/>
          <w:color w:val="auto"/>
        </w:rPr>
        <w:t>A non-United States person will not be subject to United States federal withholding tax on any gain realized on the sale, exchange or other disposition of a note unless the gain is</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139"/>
          </w:cols>
          <w:pgMar w:left="320" w:top="520" w:right="1440" w:bottom="368" w:gutter="0" w:footer="0" w:header="0"/>
        </w:sectPr>
      </w:pPr>
    </w:p>
    <w:bookmarkStart w:id="22" w:name="page23"/>
    <w:bookmarkEnd w:id="22"/>
    <w:p>
      <w:pPr>
        <w:ind w:right="1699"/>
        <w:spacing w:after="0" w:line="275" w:lineRule="auto"/>
        <w:rPr>
          <w:sz w:val="20"/>
          <w:szCs w:val="20"/>
          <w:color w:val="auto"/>
        </w:rPr>
      </w:pPr>
      <w:r>
        <w:rPr>
          <w:rFonts w:ascii="Courier New" w:cs="Courier New" w:eastAsia="Courier New" w:hAnsi="Courier New"/>
          <w:sz w:val="16"/>
          <w:szCs w:val="16"/>
          <w:color w:val="auto"/>
        </w:rPr>
        <w:t>effectively connected with the beneficial owner's trade or business in the United States or, in the case of an individual, the beneficial owner is present in the United States for 183 days or more in the taxable year in which the sale, exchange or other disposition occurs and certain other conditions are met.</w:t>
      </w:r>
    </w:p>
    <w:p>
      <w:pPr>
        <w:spacing w:after="0" w:line="182"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A note owned by an individual who at the time of death is not, for United States estate tax purposes, a citizen or resident of the United States generally will not be subject to United States federal estate tax as a result of such individual's death if the individual does not actually or constructively own 10% or more of the total combined voting power or all classes of Honeywell stock entitled to vote and, at the time of such individual's death the income on the note would not have been effectively connected with a United States trade or business of the individual.</w:t>
      </w:r>
    </w:p>
    <w:p>
      <w:pPr>
        <w:spacing w:after="0" w:line="212"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If a non-United States person owning a note is engaged in a trade or business in the United States, and if interest on the note (or gain realized on its sale, exchange or other disposition) is effectively connected with the conduct of such trade or business, such owner, although exempt from the withholding tax discussed in the preceding paragraphs, will generally be subject to regular United States income tax on such effectively connected income in the same manner as if it were a United States person. In addition, if such owner is a foreign corporation, it may be subject to a 30% branch profits tax (unless reduced or eliminated by an applicable treaty) of its effectively connected earnings and profits for the taxable year, subject to certain adjustments. For purposes of the branch profits tax, interest on, and any gain recognized on the sale, exchange or other disposition of, a note will be included in the effectively connected earnings and profits of such owner if such interest or gain, as the case may be, is effectively connected with the conduct by such owner of a trade or business in the United States.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Each owner of a note should be aware that if it does not properly provide the required IRS form, or if the IRS form (or, if permissible, a copy of such form) is not properly transmitted to and received by the United States person otherwise required to withhold United States federal income tax, interest on the note may be subject to United States withholding tax at a 30% rate, and the owner will not be entitled to any additional amounts from us described under the heading 'Description of Notes -- Payment of Additional Amounts' with respect to such tax. Such tax, however, may in certain circumstances be allowed as a refund or as a credit against such owner's United States federal income tax. The foregoing does not deal with all aspects of federal income tax withholding that may be relevant to a non-United States person that owns a note. Investors are advised to consult their own tax advisors for specific advice concerning the ownership and disposition of notes.</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Under current Treasury Regulations, backup withholding (imposed at the rate of 31 percent) will not apply to payments made by us or a paying agent to an owner in respect of a note if the certifications described above are received, provided in each case that we or the paying agent, as the case may be, do not have actual knowledge that the payee is a United States person.</w:t>
      </w:r>
    </w:p>
    <w:p>
      <w:pPr>
        <w:spacing w:after="0" w:line="208" w:lineRule="exact"/>
        <w:rPr>
          <w:sz w:val="20"/>
          <w:szCs w:val="20"/>
          <w:color w:val="auto"/>
        </w:rPr>
      </w:pPr>
    </w:p>
    <w:p>
      <w:pPr>
        <w:ind w:right="1699" w:firstLine="421"/>
        <w:spacing w:after="0" w:line="269" w:lineRule="auto"/>
        <w:rPr>
          <w:sz w:val="20"/>
          <w:szCs w:val="20"/>
          <w:color w:val="auto"/>
        </w:rPr>
      </w:pPr>
      <w:r>
        <w:rPr>
          <w:rFonts w:ascii="Courier New" w:cs="Courier New" w:eastAsia="Courier New" w:hAnsi="Courier New"/>
          <w:sz w:val="16"/>
          <w:szCs w:val="16"/>
          <w:color w:val="auto"/>
        </w:rPr>
        <w:t>Under current Treasury Regulations, payments of the proceeds from the sale, exchange or other disposition of a note made to or through a foreign office of a broker (including a custodian, nominee or other agent acting on behalf of the beneficial owner of a note) generally will not be subject to information reporting or backup withholding. However, if such broker is a United States person, a controlled foreign corporation for United States federal income tax purposes or a foreign person with certain connections with the United States, then information reporting will be required unless the broker has in its records documentary evidence that the beneficial owner is not a United States person and certain other conditions are met or the beneficial owner otherwise establishes an exemption. Backup withholding may apply to any payment that such broker is required to report if such broker has actual knowledge that the payee is a United States person. Payments to or through the United States office of a broker are subject to information reporting and backup withholding unless the beneficial owner certifies, under penalties of perjury, that it is a non-United States person and that it satisfies certain other conditions or otherwise establishes an exemption from information reporting and backup withholding.</w:t>
      </w:r>
    </w:p>
    <w:p>
      <w:pPr>
        <w:spacing w:after="0" w:line="38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139"/>
          </w:cols>
          <w:pgMar w:left="320" w:top="520" w:right="1440" w:bottom="1440" w:gutter="0" w:footer="0" w:header="0"/>
        </w:sectPr>
      </w:pPr>
    </w:p>
    <w:bookmarkStart w:id="23" w:name="page24"/>
    <w:bookmarkEnd w:id="23"/>
    <w:p>
      <w:pPr>
        <w:ind w:right="1699" w:firstLine="421"/>
        <w:spacing w:after="0" w:line="270" w:lineRule="auto"/>
        <w:rPr>
          <w:sz w:val="20"/>
          <w:szCs w:val="20"/>
          <w:color w:val="auto"/>
        </w:rPr>
      </w:pPr>
      <w:r>
        <w:rPr>
          <w:rFonts w:ascii="Courier New" w:cs="Courier New" w:eastAsia="Courier New" w:hAnsi="Courier New"/>
          <w:sz w:val="16"/>
          <w:szCs w:val="16"/>
          <w:color w:val="auto"/>
        </w:rPr>
        <w:t>New Treasury Regulations, which generally apply to payments made after December 31, 2000, modify the foregoing rules in certain respects. Non-United States persons owning notes should consult their own tax advisors regarding the application of information reporting and backup withholding in their particular situations, the availability of an exemption therefrom, and the procedure for obtaining such an exemption, both under current Treasury Regulations and the new Treasury Regulations. Backup withholding is not a separate tax, but is allowed as a refund or credit against the owner's United States federal income tax, provided the necessary information is furnished to the Internal Revenue Service.</w:t>
      </w:r>
    </w:p>
    <w:p>
      <w:pPr>
        <w:spacing w:after="0" w:line="190" w:lineRule="exact"/>
        <w:rPr>
          <w:sz w:val="20"/>
          <w:szCs w:val="20"/>
          <w:color w:val="auto"/>
        </w:rPr>
      </w:pPr>
    </w:p>
    <w:p>
      <w:pPr>
        <w:ind w:right="1819" w:firstLine="421"/>
        <w:spacing w:after="0" w:line="236" w:lineRule="auto"/>
        <w:rPr>
          <w:sz w:val="20"/>
          <w:szCs w:val="20"/>
          <w:color w:val="auto"/>
        </w:rPr>
      </w:pPr>
      <w:r>
        <w:rPr>
          <w:rFonts w:ascii="Courier New" w:cs="Courier New" w:eastAsia="Courier New" w:hAnsi="Courier New"/>
          <w:sz w:val="18"/>
          <w:szCs w:val="18"/>
          <w:color w:val="auto"/>
        </w:rPr>
        <w:t>Interest on a note that is beneficially owned by a non-United States person will be reported annually on IRS Form 1042-S, which must be filed with the Internal Revenue Service and furnished to such beneficial owner.</w:t>
      </w:r>
    </w:p>
    <w:p>
      <w:pPr>
        <w:spacing w:after="0" w:line="208" w:lineRule="exact"/>
        <w:rPr>
          <w:sz w:val="20"/>
          <w:szCs w:val="20"/>
          <w:color w:val="auto"/>
        </w:rPr>
      </w:pPr>
    </w:p>
    <w:p>
      <w:pPr>
        <w:ind w:right="1699" w:firstLine="421"/>
        <w:spacing w:after="0" w:line="272" w:lineRule="auto"/>
        <w:rPr>
          <w:sz w:val="20"/>
          <w:szCs w:val="20"/>
          <w:color w:val="auto"/>
        </w:rPr>
      </w:pPr>
      <w:r>
        <w:rPr>
          <w:rFonts w:ascii="Courier New" w:cs="Courier New" w:eastAsia="Courier New" w:hAnsi="Courier New"/>
          <w:sz w:val="16"/>
          <w:szCs w:val="16"/>
          <w:color w:val="auto"/>
        </w:rPr>
        <w:t>The United States federal income tax discussion set forth above is included for general information only and may not be applicable depending upon an owner's particular situation. Owners should consult their own tax advisors with respect to the tax consequences to them of the ownership and disposition of the notes, including the tax consequences under state, local, foreign and other tax laws and the possible effects of changes in federal or other tax laws.</w:t>
      </w:r>
    </w:p>
    <w:p>
      <w:pPr>
        <w:spacing w:after="0" w:line="17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139"/>
          </w:cols>
          <w:pgMar w:left="320" w:top="520" w:right="1440" w:bottom="1440" w:gutter="0" w:footer="0" w:header="0"/>
        </w:sectPr>
      </w:pPr>
    </w:p>
    <w:bookmarkStart w:id="24" w:name="page25"/>
    <w:bookmarkEnd w:id="24"/>
    <w:p>
      <w:pPr>
        <w:spacing w:after="0" w:line="76"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19" w:firstLine="421"/>
        <w:spacing w:after="0" w:line="275" w:lineRule="auto"/>
        <w:rPr>
          <w:sz w:val="20"/>
          <w:szCs w:val="20"/>
          <w:color w:val="auto"/>
        </w:rPr>
      </w:pPr>
      <w:r>
        <w:rPr>
          <w:rFonts w:ascii="Courier New" w:cs="Courier New" w:eastAsia="Courier New" w:hAnsi="Courier New"/>
          <w:sz w:val="16"/>
          <w:szCs w:val="16"/>
          <w:color w:val="auto"/>
        </w:rPr>
        <w:t>Subject to the terms and conditions stated in the underwriting agreement dated the date of this prospectus supplement, each underwriter named below has severally agreed to purchase, and we have agreed to sell to each underwriter, the principal amount of notes stated opposite the name of each underwriter.</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PRINCIPAL</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OF NOTES</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Salomon Smith Barney Inc. .........................</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410,000,000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J.P. Morgan Securities Inc.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410,000,000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of America Securities LLC.....................</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Barclays Bank PLC..................................</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Chase Securities Inc.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Deutsche Bank Securities Inc.......................</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45,000,000</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420"/>
              <w:spacing w:after="0"/>
              <w:rPr>
                <w:sz w:val="20"/>
                <w:szCs w:val="20"/>
                <w:color w:val="auto"/>
              </w:rPr>
            </w:pPr>
            <w:r>
              <w:rPr>
                <w:rFonts w:ascii="Courier New" w:cs="Courier New" w:eastAsia="Courier New" w:hAnsi="Courier New"/>
                <w:sz w:val="18"/>
                <w:szCs w:val="18"/>
                <w:color w:val="auto"/>
                <w:w w:val="99"/>
              </w:rPr>
              <w:t>Total..........................................</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$1,000,000,000</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659" w:firstLine="421"/>
        <w:spacing w:after="0" w:line="235" w:lineRule="auto"/>
        <w:rPr>
          <w:sz w:val="20"/>
          <w:szCs w:val="20"/>
          <w:color w:val="auto"/>
        </w:rPr>
      </w:pPr>
      <w:r>
        <w:rPr>
          <w:rFonts w:ascii="Courier New" w:cs="Courier New" w:eastAsia="Courier New" w:hAnsi="Courier New"/>
          <w:sz w:val="18"/>
          <w:szCs w:val="18"/>
          <w:color w:val="auto"/>
        </w:rPr>
        <w:t>Salomon Smith Barney Inc. and J.P. Morgan Securities Inc. are joint book-running managers for our offering of notes.</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obligations of the several underwriters to purchase the notes included in this offering are subject to approval of certain legal matters by counsel and to certain other conditions. The underwriters are obligated to purchase all the notes if they purchase any of the notes.</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underwriters propose to offer some of the notes directly to the public at the public offering price stated on the cover page of this prospectus supplement and some of the notes to certain dealers at the public offering price less a concession not in excess of .30% of the aggregate principal amount of the notes. The underwriters may allow, and these dealers may reallow, a concession not in excess of .25% of the aggregate principal amount of the notes on sales to certain other dealers. After the initial offering of the notes to the public, the public offering price and these concessions may be changed by the underwriters.</w:t>
      </w:r>
    </w:p>
    <w:p>
      <w:pPr>
        <w:spacing w:after="0" w:line="213" w:lineRule="exact"/>
        <w:rPr>
          <w:sz w:val="20"/>
          <w:szCs w:val="20"/>
          <w:color w:val="auto"/>
        </w:rPr>
      </w:pPr>
    </w:p>
    <w:p>
      <w:pPr>
        <w:ind w:right="1819" w:firstLine="421"/>
        <w:spacing w:after="0" w:line="270" w:lineRule="auto"/>
        <w:rPr>
          <w:sz w:val="20"/>
          <w:szCs w:val="20"/>
          <w:color w:val="auto"/>
        </w:rPr>
      </w:pPr>
      <w:r>
        <w:rPr>
          <w:rFonts w:ascii="Courier New" w:cs="Courier New" w:eastAsia="Courier New" w:hAnsi="Courier New"/>
          <w:sz w:val="16"/>
          <w:szCs w:val="16"/>
          <w:color w:val="auto"/>
        </w:rPr>
        <w:t>In connection with the offering,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88"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The underwriters may also impose a penalty bid. Penalty bids permit the underwriters to reclaim a selling concession from a syndicate member when they, in covering syndicate short positions or making stabilizing purchases, repurchase notes originally sold by that syndicate member.</w:t>
      </w:r>
    </w:p>
    <w:p>
      <w:pPr>
        <w:spacing w:after="0" w:line="207" w:lineRule="exact"/>
        <w:rPr>
          <w:sz w:val="20"/>
          <w:szCs w:val="20"/>
          <w:color w:val="auto"/>
        </w:rPr>
      </w:pPr>
    </w:p>
    <w:p>
      <w:pPr>
        <w:jc w:val="both"/>
        <w:ind w:right="1819" w:firstLine="421"/>
        <w:spacing w:after="0" w:line="275" w:lineRule="auto"/>
        <w:rPr>
          <w:sz w:val="20"/>
          <w:szCs w:val="20"/>
          <w:color w:val="auto"/>
        </w:rPr>
      </w:pPr>
      <w:r>
        <w:rPr>
          <w:rFonts w:ascii="Courier New" w:cs="Courier New" w:eastAsia="Courier New" w:hAnsi="Courier New"/>
          <w:sz w:val="16"/>
          <w:szCs w:val="16"/>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w:t>
      </w:r>
    </w:p>
    <w:p>
      <w:pPr>
        <w:spacing w:after="0" w:line="182" w:lineRule="exact"/>
        <w:rPr>
          <w:sz w:val="20"/>
          <w:szCs w:val="20"/>
          <w:color w:val="auto"/>
        </w:rPr>
      </w:pPr>
    </w:p>
    <w:p>
      <w:pPr>
        <w:ind w:right="1919" w:firstLine="421"/>
        <w:spacing w:after="0" w:line="235" w:lineRule="auto"/>
        <w:rPr>
          <w:sz w:val="20"/>
          <w:szCs w:val="20"/>
          <w:color w:val="auto"/>
        </w:rPr>
      </w:pPr>
      <w:r>
        <w:rPr>
          <w:rFonts w:ascii="Courier New" w:cs="Courier New" w:eastAsia="Courier New" w:hAnsi="Courier New"/>
          <w:sz w:val="18"/>
          <w:szCs w:val="18"/>
          <w:color w:val="auto"/>
        </w:rPr>
        <w:t>We estimate that the total expenses of this offering will be approximately $750,000.</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underwriters and their affiliates have performed certain investment banking and advisory and general financing and banking services for us from time to time for which they have received customary fees and expenses. The underwriters and their affiliates may, from time to time, be customers of, engage in transactions with and perform services for us in the ordinary course of their business.</w:t>
      </w:r>
    </w:p>
    <w:p>
      <w:pPr>
        <w:spacing w:after="0" w:line="209" w:lineRule="exact"/>
        <w:rPr>
          <w:sz w:val="20"/>
          <w:szCs w:val="20"/>
          <w:color w:val="auto"/>
        </w:rPr>
      </w:pPr>
    </w:p>
    <w:p>
      <w:pPr>
        <w:jc w:val="both"/>
        <w:ind w:right="1919" w:firstLine="421"/>
        <w:spacing w:after="0" w:line="236" w:lineRule="auto"/>
        <w:rPr>
          <w:sz w:val="20"/>
          <w:szCs w:val="20"/>
          <w:color w:val="auto"/>
        </w:rPr>
      </w:pPr>
      <w:r>
        <w:rPr>
          <w:rFonts w:ascii="Courier New" w:cs="Courier New" w:eastAsia="Courier New" w:hAnsi="Courier New"/>
          <w:sz w:val="18"/>
          <w:szCs w:val="18"/>
          <w:color w:val="auto"/>
        </w:rPr>
        <w:t>Lawrence A. Bossidy, Chairman of the Board and a director of Honeywell, is also a director of J.P. Morgan &amp; Co. Incorporated. J.P. Morgan Securities Inc. is a subsidiary of J.P. Morgan &amp; Co. Incorporated.</w:t>
      </w:r>
    </w:p>
    <w:p>
      <w:pPr>
        <w:sectPr>
          <w:pgSz w:w="11900" w:h="16914" w:orient="portrait"/>
          <w:cols w:equalWidth="0" w:num="1">
            <w:col w:w="10139"/>
          </w:cols>
          <w:pgMar w:left="320" w:top="514" w:right="1440" w:bottom="0" w:gutter="0" w:footer="0" w:header="0"/>
        </w:sectPr>
      </w:pPr>
    </w:p>
    <w:bookmarkStart w:id="25" w:name="page26"/>
    <w:bookmarkEnd w:id="25"/>
    <w:p>
      <w:pPr>
        <w:ind w:left="288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9019"/>
          </w:cols>
          <w:pgMar w:left="1440" w:top="339" w:right="1440" w:bottom="1440" w:gutter="0" w:footer="0" w:header="0"/>
        </w:sectPr>
      </w:pPr>
    </w:p>
    <w:bookmarkStart w:id="26" w:name="page27"/>
    <w:bookmarkEnd w:id="26"/>
    <w:p>
      <w:pPr>
        <w:ind w:right="1699" w:firstLine="421"/>
        <w:spacing w:after="0" w:line="273" w:lineRule="auto"/>
        <w:rPr>
          <w:sz w:val="20"/>
          <w:szCs w:val="20"/>
          <w:color w:val="auto"/>
        </w:rPr>
      </w:pPr>
      <w:r>
        <w:rPr>
          <w:rFonts w:ascii="Courier New" w:cs="Courier New" w:eastAsia="Courier New" w:hAnsi="Courier New"/>
          <w:sz w:val="16"/>
          <w:szCs w:val="16"/>
          <w:color w:val="auto"/>
        </w:rPr>
        <w:t>Hans W. Becherer, Andrew C. Sigler and John R. Stafford, directors of Honeywell, are also directors of The Chase Manhattan Corporation and The Chase Manhattan Bank, which are affiliates of Chase Securities Inc. The Chase Manhattan Bank is the trustee under the indenture. Chase Manhattan Bank Luxembourg S.A. is the Luxembourg paying agent and transfer agent for the notes.</w:t>
      </w:r>
    </w:p>
    <w:p>
      <w:pPr>
        <w:spacing w:after="0" w:line="184"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We have agreed to indemnify the underwriters against certain liabilities, including liabilities under the Securities Act of 1933, or to contribute to payments the underwriters may be required to make in respect of any of those liabilities.</w:t>
      </w:r>
    </w:p>
    <w:p>
      <w:pPr>
        <w:spacing w:after="0" w:line="207" w:lineRule="exact"/>
        <w:rPr>
          <w:sz w:val="20"/>
          <w:szCs w:val="20"/>
          <w:color w:val="auto"/>
        </w:rPr>
      </w:pPr>
    </w:p>
    <w:p>
      <w:pPr>
        <w:ind w:right="1819" w:firstLine="421"/>
        <w:spacing w:after="0" w:line="235" w:lineRule="auto"/>
        <w:rPr>
          <w:sz w:val="20"/>
          <w:szCs w:val="20"/>
          <w:color w:val="auto"/>
        </w:rPr>
      </w:pPr>
      <w:r>
        <w:rPr>
          <w:rFonts w:ascii="Courier New" w:cs="Courier New" w:eastAsia="Courier New" w:hAnsi="Courier New"/>
          <w:sz w:val="18"/>
          <w:szCs w:val="18"/>
          <w:color w:val="auto"/>
        </w:rPr>
        <w:t>The notes are offered for sale in those jurisdictions in the United States, Europe, Asia and elsewhere where it is lawful to make such offers.</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Each of the underwriters has represented and agreed that it has not and will not offer, sell or deliver any of the notes directly or indirectly, or distribute this prospectus supplement or the prospectus or any other offering material relating to the notes, in or from any jurisdiction except under circumstances that will result in compliance with the applicable laws and regulations thereof and that will not impose any obligations on us except as set forth in the underwriting agreement.</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particular, each underwriter has represented and agreed that:</w:t>
      </w:r>
    </w:p>
    <w:p>
      <w:pPr>
        <w:spacing w:after="0" w:line="207"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It has not offered or sold and will not offer or sell any notes to persons in the United Kingdom prior to the expiry of the period of six months from the issue date of the notes except to persons whose ordinary activities involve them in acquiring, holding, managing or disposing of investments (as principal or agent) for the purpose of their businesses or otherwise in circumstances which have not resulted and will not result in an offer to the public in the United Kingdom within the meaning of the Public Offers of Securities Regulations 1995.</w:t>
      </w:r>
    </w:p>
    <w:p>
      <w:pPr>
        <w:spacing w:after="0" w:line="212"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It has only issued or passed on and will only issue or pass on in the United Kingdom any document received by it in connection with the issue of the notes to a person who is of a kind described in Article 11(3) of the Financial Services Act 1986 (Investment Advertisements) (Exemptions) Order 1996 (as amended) or is a person to whom such document may otherwise lawfully be issued or passed on.</w:t>
      </w:r>
    </w:p>
    <w:p>
      <w:pPr>
        <w:spacing w:after="0" w:line="209"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It has complied and will comply with all applicable provisions of the Financial Services Act 1986 with respect to anything done by it in relation to any notes in, from or otherwise involving the United Kingdom.</w:t>
      </w:r>
    </w:p>
    <w:p>
      <w:pPr>
        <w:spacing w:after="0" w:line="208"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It will not offer or sell any notes directly or indirectly in Japan or to, or for the benefit of any Japanese person or to others, for re-offering or re-sale directly or indirectly in Japan or to any Japanese person except under circumstances which will result in compliance with all applicable laws, regulations and guidelines promulgated by the relevant governmental and regulatory authorities in effect at the relevant time. For purposes of this paragraph, 'Japanese person' shall mean any person resident in Japan, including any corporation or other entity organized under the laws of Japan.</w:t>
      </w:r>
    </w:p>
    <w:p>
      <w:pPr>
        <w:spacing w:after="0" w:line="213"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Although application has been made to list the notes on the Luxembourg Stock Exchange, the notes are a new issue of securities with no established trading market. No assurance can be given as to the liquidity of, or the trading markets for, the notes. Purchasers of the notes may be required to pay stamp taxes and other charges in accordance with the laws and practices of the country of purchase in addition to the issue prices set forth on the cover page hereof. We have been advised by the underwriters for the notes that they intend to make a market in the notes, but they are not obligated to do so and may discontinue such market-making at any time without notice.</w:t>
      </w:r>
    </w:p>
    <w:p>
      <w:pPr>
        <w:spacing w:after="0" w:line="213"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It is expected that delivery of the notes will be made against payment therefor on or about March 1, 2000, which is the fourth business day following the date of this prospectus supplement (such settlement cycle being referred to in this prospectus supplement as 'T+4'). The ability to settle secondary market trades of the notes effected on the date of pricing and the succeeding business day may be affected by T+4.</w:t>
      </w: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139"/>
          </w:cols>
          <w:pgMar w:left="320" w:top="520" w:right="1440" w:bottom="1440" w:gutter="0" w:footer="0" w:header="0"/>
        </w:sectPr>
      </w:pPr>
    </w:p>
    <w:bookmarkStart w:id="27" w:name="page28"/>
    <w:bookmarkEnd w:id="27"/>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699" w:firstLine="421"/>
        <w:spacing w:after="0" w:line="271" w:lineRule="auto"/>
        <w:rPr>
          <w:sz w:val="20"/>
          <w:szCs w:val="20"/>
          <w:color w:val="auto"/>
        </w:rPr>
      </w:pPr>
      <w:r>
        <w:rPr>
          <w:rFonts w:ascii="Courier New" w:cs="Courier New" w:eastAsia="Courier New" w:hAnsi="Courier New"/>
          <w:sz w:val="16"/>
          <w:szCs w:val="16"/>
          <w:color w:val="auto"/>
        </w:rPr>
        <w:t>The audited financial statements incorporated in this prospectus supplement by reference to the Annual Report on Form 10-K of Honeywell International Inc. for the year ended December 31, 1999, except as they relate to Honeywell Inc. (a wholly-owned subsidiary of Honeywell International Inc.) as of and for the two years ended December 31, 1998, have been audited by PricewaterhouseCoopers LLP, independent accountants, and, insofar as they relate to Honeywell Inc. as of and for the two years ended December 31, 1998, by Deloitte &amp; Touche LLP, independent accountants. Such financial statements have been so incorporated in reliance on the reports of such independent accountants given on the authority of such firms as experts in auditing and accounting.</w:t>
      </w: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699" w:firstLine="421"/>
        <w:spacing w:after="0" w:line="273" w:lineRule="auto"/>
        <w:rPr>
          <w:sz w:val="20"/>
          <w:szCs w:val="20"/>
          <w:color w:val="auto"/>
        </w:rPr>
      </w:pPr>
      <w:r>
        <w:rPr>
          <w:rFonts w:ascii="Courier New" w:cs="Courier New" w:eastAsia="Courier New" w:hAnsi="Courier New"/>
          <w:sz w:val="16"/>
          <w:szCs w:val="16"/>
          <w:color w:val="auto"/>
        </w:rPr>
        <w:t>Honeywell has filed with the SEC a registration statement under the Securities Act that registers the offer and sale of the notes. The registration statement, including the attached exhibits and schedules, contains additional relevant information about us. The rules and regulations of the SEC allow us to omit some information included in the registration statement from this document.</w:t>
      </w:r>
    </w:p>
    <w:p>
      <w:pPr>
        <w:spacing w:after="0" w:line="184"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In addition, we file reports, proxy statements and other information with the SEC under the Exchange Act. Please call the SEC at 1-800-SEC-0330 for further information on the public reference rooms. You may read and copy this information at the following locations of the SEC: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Public Reference Room</w:t>
            </w:r>
          </w:p>
        </w:tc>
        <w:tc>
          <w:tcPr>
            <w:tcW w:w="3360" w:type="dxa"/>
            <w:vAlign w:val="bottom"/>
          </w:tcPr>
          <w:p>
            <w:pPr>
              <w:ind w:left="480"/>
              <w:spacing w:after="0"/>
              <w:rPr>
                <w:sz w:val="20"/>
                <w:szCs w:val="20"/>
                <w:color w:val="auto"/>
              </w:rPr>
            </w:pPr>
            <w:r>
              <w:rPr>
                <w:rFonts w:ascii="Courier New" w:cs="Courier New" w:eastAsia="Courier New" w:hAnsi="Courier New"/>
                <w:sz w:val="18"/>
                <w:szCs w:val="18"/>
                <w:color w:val="auto"/>
              </w:rPr>
              <w:t>New York Regional Office</w:t>
            </w:r>
          </w:p>
        </w:tc>
        <w:tc>
          <w:tcPr>
            <w:tcW w:w="3320" w:type="dxa"/>
            <w:vAlign w:val="bottom"/>
          </w:tcPr>
          <w:p>
            <w:pPr>
              <w:ind w:left="380"/>
              <w:spacing w:after="0"/>
              <w:rPr>
                <w:sz w:val="20"/>
                <w:szCs w:val="20"/>
                <w:color w:val="auto"/>
              </w:rPr>
            </w:pPr>
            <w:r>
              <w:rPr>
                <w:rFonts w:ascii="Courier New" w:cs="Courier New" w:eastAsia="Courier New" w:hAnsi="Courier New"/>
                <w:sz w:val="18"/>
                <w:szCs w:val="18"/>
                <w:color w:val="auto"/>
              </w:rPr>
              <w:t>Chicago Regional Office</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450 Fifth Street, N.W.</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 World Trade Center</w:t>
            </w:r>
          </w:p>
        </w:tc>
        <w:tc>
          <w:tcPr>
            <w:tcW w:w="3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Citicorp Center</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1300</w:t>
            </w:r>
          </w:p>
        </w:tc>
        <w:tc>
          <w:tcPr>
            <w:tcW w:w="3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500 West Madison Street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New York, New York 10048</w:t>
            </w:r>
          </w:p>
        </w:tc>
        <w:tc>
          <w:tcPr>
            <w:tcW w:w="3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Chicago, Illinois 60661-2511</w:t>
            </w:r>
          </w:p>
        </w:tc>
      </w:tr>
    </w:tbl>
    <w:p>
      <w:pPr>
        <w:spacing w:after="0" w:line="200" w:lineRule="exact"/>
        <w:rPr>
          <w:sz w:val="20"/>
          <w:szCs w:val="20"/>
          <w:color w:val="auto"/>
        </w:rPr>
      </w:pPr>
    </w:p>
    <w:p>
      <w:pPr>
        <w:spacing w:after="0" w:line="209"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You may also obtain copies of this information by mail from the Public Reference Section of the SEC, 450 Fifth Street, N.W., Room 1024, Washington, D.C. 20549, at prescribed rates. The SEC also maintains an internet web site that contains reports, proxy statements and other information about issuers, including Honeywell, who file electronically with the SEC. The address of that site is http://www.sec.gov. You can also inspect reports, proxy statements and other information about us at the offices of the New York Stock Exchange, 20 Broad Street, New York, New York 10005.</w:t>
      </w:r>
    </w:p>
    <w:p>
      <w:pPr>
        <w:spacing w:after="0" w:line="212"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that is superseded by information that is included directly in this document.</w:t>
      </w:r>
    </w:p>
    <w:p>
      <w:pPr>
        <w:spacing w:after="0" w:line="209"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This document incorporates by reference the documents listed below that we have previously filed with the SEC. They contain important information about us and our financial condition. Some of these filings have been amended by later filings, which are also listed.</w:t>
      </w:r>
    </w:p>
    <w:p>
      <w:pPr>
        <w:sectPr>
          <w:pgSz w:w="11900" w:h="16838" w:orient="portrait"/>
          <w:cols w:equalWidth="0" w:num="1">
            <w:col w:w="10139"/>
          </w:cols>
          <w:pgMar w:left="320" w:top="514" w:right="1440" w:bottom="3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HONEYWELL'S SEC FILINGS (FILE NO. 1-8974)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PERIOD OR DATE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40" w:space="620"/>
            <w:col w:w="4979"/>
          </w:cols>
          <w:pgMar w:left="320" w:top="514" w:right="1440" w:bottom="368" w:gutter="0" w:footer="0" w:header="0"/>
          <w:type w:val="continuous"/>
        </w:sectPr>
      </w:pPr>
    </w:p>
    <w:p>
      <w:pPr>
        <w:spacing w:after="0" w:line="24" w:lineRule="exact"/>
        <w:rPr>
          <w:sz w:val="20"/>
          <w:szCs w:val="20"/>
          <w:color w:val="auto"/>
        </w:rPr>
      </w:pPr>
    </w:p>
    <w:p>
      <w:pPr>
        <w:ind w:left="220" w:right="860"/>
        <w:spacing w:after="0" w:line="290" w:lineRule="auto"/>
        <w:rPr>
          <w:sz w:val="20"/>
          <w:szCs w:val="20"/>
          <w:color w:val="auto"/>
        </w:rPr>
      </w:pPr>
      <w:r>
        <w:rPr>
          <w:rFonts w:ascii="Courier New" w:cs="Courier New" w:eastAsia="Courier New" w:hAnsi="Courier New"/>
          <w:sz w:val="16"/>
          <w:szCs w:val="16"/>
          <w:color w:val="auto"/>
        </w:rPr>
        <w:t>Annual Report on Form 10-K 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Year ended December 31,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January 21 and February 14, 2000</w:t>
      </w:r>
    </w:p>
    <w:p>
      <w:pPr>
        <w:spacing w:after="0" w:line="254" w:lineRule="exact"/>
        <w:rPr>
          <w:sz w:val="20"/>
          <w:szCs w:val="20"/>
          <w:color w:val="auto"/>
        </w:rPr>
      </w:pPr>
    </w:p>
    <w:p>
      <w:pPr>
        <w:sectPr>
          <w:pgSz w:w="11900" w:h="16838" w:orient="portrait"/>
          <w:cols w:equalWidth="0" w:num="2">
            <w:col w:w="3920" w:space="720"/>
            <w:col w:w="5499"/>
          </w:cols>
          <w:pgMar w:left="320" w:top="514" w:right="1440" w:bottom="368" w:gutter="0" w:footer="0" w:header="0"/>
          <w:type w:val="continuous"/>
        </w:sectPr>
      </w:pPr>
    </w:p>
    <w:p>
      <w:pPr>
        <w:spacing w:after="0" w:line="172"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We incorporate by reference additional documents that we may file with the SEC between the date of this document and the completion of the offering of the notes. These documents include periodic reports, which may include Annual Reports on Form 10-K, Quarterly Reports on Form 10-Q and Current Reports on Form 8-K, as well as proxy statements.</w:t>
      </w:r>
    </w:p>
    <w:p>
      <w:pPr>
        <w:spacing w:after="0" w:line="208"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You can obtain any of the documents incorporated by reference in this document through us, or from the SEC through the SEC's web site at the address provided above. Documents</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139"/>
          </w:cols>
          <w:pgMar w:left="320" w:top="514" w:right="1440" w:bottom="368" w:gutter="0" w:footer="0" w:header="0"/>
          <w:type w:val="continuous"/>
        </w:sectPr>
      </w:pPr>
    </w:p>
    <w:bookmarkStart w:id="28" w:name="page29"/>
    <w:bookmarkEnd w:id="28"/>
    <w:p>
      <w:pPr>
        <w:ind w:right="1699"/>
        <w:spacing w:after="0" w:line="237" w:lineRule="auto"/>
        <w:rPr>
          <w:sz w:val="20"/>
          <w:szCs w:val="20"/>
          <w:color w:val="auto"/>
        </w:rPr>
      </w:pPr>
      <w:r>
        <w:rPr>
          <w:rFonts w:ascii="Courier New" w:cs="Courier New" w:eastAsia="Courier New" w:hAnsi="Courier New"/>
          <w:sz w:val="18"/>
          <w:szCs w:val="18"/>
          <w:color w:val="auto"/>
        </w:rPr>
        <w:t>incorporated by reference are available from us without charge, excluding any exhibits to those documents unless the exhibit is specifically incorporated by reference as an exhibit in this document. You can obtain documents incorporated by reference in this document by requesting them in writing or by telephone from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38" w:lineRule="auto"/>
        <w:rPr>
          <w:sz w:val="20"/>
          <w:szCs w:val="20"/>
          <w:color w:val="auto"/>
        </w:rPr>
      </w:pPr>
      <w:r>
        <w:rPr>
          <w:rFonts w:ascii="Courier New" w:cs="Courier New" w:eastAsia="Courier New" w:hAnsi="Courier New"/>
          <w:sz w:val="18"/>
          <w:szCs w:val="18"/>
          <w:color w:val="auto"/>
        </w:rPr>
        <w:t>101 Columbia Road</w:t>
      </w:r>
    </w:p>
    <w:p>
      <w:pPr>
        <w:spacing w:after="0" w:line="238" w:lineRule="auto"/>
        <w:rPr>
          <w:sz w:val="20"/>
          <w:szCs w:val="20"/>
          <w:color w:val="auto"/>
        </w:rPr>
      </w:pPr>
      <w:r>
        <w:rPr>
          <w:rFonts w:ascii="Courier New" w:cs="Courier New" w:eastAsia="Courier New" w:hAnsi="Courier New"/>
          <w:sz w:val="18"/>
          <w:szCs w:val="18"/>
          <w:color w:val="auto"/>
        </w:rPr>
        <w:t>P.O. Box 2245</w:t>
      </w:r>
    </w:p>
    <w:p>
      <w:pPr>
        <w:spacing w:after="0"/>
        <w:rPr>
          <w:sz w:val="20"/>
          <w:szCs w:val="20"/>
          <w:color w:val="auto"/>
        </w:rPr>
      </w:pPr>
      <w:r>
        <w:rPr>
          <w:rFonts w:ascii="Courier New" w:cs="Courier New" w:eastAsia="Courier New" w:hAnsi="Courier New"/>
          <w:sz w:val="18"/>
          <w:szCs w:val="18"/>
          <w:color w:val="auto"/>
        </w:rPr>
        <w:t>Morris Township, New Jersey 07962-2245</w:t>
      </w:r>
    </w:p>
    <w:p>
      <w:pPr>
        <w:spacing w:after="0" w:line="237" w:lineRule="auto"/>
        <w:rPr>
          <w:sz w:val="20"/>
          <w:szCs w:val="20"/>
          <w:color w:val="auto"/>
        </w:rPr>
      </w:pPr>
      <w:r>
        <w:rPr>
          <w:rFonts w:ascii="Courier New" w:cs="Courier New" w:eastAsia="Courier New" w:hAnsi="Courier New"/>
          <w:sz w:val="18"/>
          <w:szCs w:val="18"/>
          <w:color w:val="auto"/>
        </w:rPr>
        <w:t>Attention: Corporate Publication</w:t>
      </w:r>
    </w:p>
    <w:p>
      <w:pPr>
        <w:spacing w:after="0" w:line="238" w:lineRule="auto"/>
        <w:rPr>
          <w:sz w:val="20"/>
          <w:szCs w:val="20"/>
          <w:color w:val="auto"/>
        </w:rPr>
      </w:pPr>
      <w:r>
        <w:rPr>
          <w:rFonts w:ascii="Courier New" w:cs="Courier New" w:eastAsia="Courier New" w:hAnsi="Courier New"/>
          <w:sz w:val="18"/>
          <w:szCs w:val="18"/>
          <w:color w:val="auto"/>
        </w:rPr>
        <w:t>Telephone No.: (973) 455-5402</w:t>
      </w:r>
    </w:p>
    <w:p>
      <w:pPr>
        <w:spacing w:after="0" w:line="200" w:lineRule="exact"/>
        <w:rPr>
          <w:sz w:val="20"/>
          <w:szCs w:val="20"/>
          <w:color w:val="auto"/>
        </w:rPr>
      </w:pPr>
    </w:p>
    <w:p>
      <w:pPr>
        <w:spacing w:after="0" w:line="210"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For as long as the notes are listed on the Luxembourg Stock Exchange, the documents incorporated by reference in this prospectus supplement and our periodic reports filed with the SEC are available without charge from our transfer and paying agent in Luxembourg, Chase Manhattan Bank Luxembourg S.A., 5 rue Plaetis, L-2338 Luxembourg.</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139"/>
          </w:cols>
          <w:pgMar w:left="320" w:top="520" w:right="1440" w:bottom="1440" w:gutter="0" w:footer="0" w:header="0"/>
        </w:sectPr>
      </w:pPr>
    </w:p>
    <w:bookmarkStart w:id="29" w:name="page30"/>
    <w:bookmarkEnd w:id="29"/>
    <w:p>
      <w:pPr>
        <w:ind w:left="420"/>
        <w:spacing w:after="0"/>
        <w:rPr>
          <w:sz w:val="20"/>
          <w:szCs w:val="20"/>
          <w:color w:val="auto"/>
        </w:rPr>
      </w:pPr>
      <w:r>
        <w:rPr>
          <w:rFonts w:ascii="Courier New" w:cs="Courier New" w:eastAsia="Courier New" w:hAnsi="Courier New"/>
          <w:sz w:val="18"/>
          <w:szCs w:val="18"/>
          <w:color w:val="auto"/>
        </w:rPr>
        <w:t>CAUTIONARY STATEMENT CONCERNING FORWARD-LOOKING STATEMENTS</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We have made forward-looking statements in this document and in documents that are incorporated by reference in this document that are subject to risks and uncertainties. Forward-looking statements include information concerning possible or assumed future actions, events or results of operations of Honeywell. Forward-looking statements include the information in this document, specifically, regarding:</w:t>
      </w:r>
    </w:p>
    <w:p>
      <w:pPr>
        <w:sectPr>
          <w:pgSz w:w="11900" w:h="16838" w:orient="portrait"/>
          <w:cols w:equalWidth="0" w:num="1">
            <w:col w:w="10139"/>
          </w:cols>
          <w:pgMar w:left="320" w:top="514" w:right="1440" w:bottom="3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efficiencies</w:t>
      </w:r>
    </w:p>
    <w:p>
      <w:pPr>
        <w:spacing w:after="0" w:line="238" w:lineRule="auto"/>
        <w:rPr>
          <w:sz w:val="20"/>
          <w:szCs w:val="20"/>
          <w:color w:val="auto"/>
        </w:rPr>
      </w:pPr>
      <w:r>
        <w:rPr>
          <w:rFonts w:ascii="Courier New" w:cs="Courier New" w:eastAsia="Courier New" w:hAnsi="Courier New"/>
          <w:sz w:val="18"/>
          <w:szCs w:val="18"/>
          <w:color w:val="auto"/>
        </w:rPr>
        <w:t>cost savings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enhancements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and margins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free cash flow</w:t>
      </w:r>
    </w:p>
    <w:p>
      <w:pPr>
        <w:spacing w:after="0" w:line="238" w:lineRule="auto"/>
        <w:rPr>
          <w:sz w:val="20"/>
          <w:szCs w:val="20"/>
          <w:color w:val="auto"/>
        </w:rPr>
      </w:pPr>
      <w:r>
        <w:rPr>
          <w:rFonts w:ascii="Courier New" w:cs="Courier New" w:eastAsia="Courier New" w:hAnsi="Courier New"/>
          <w:sz w:val="18"/>
          <w:szCs w:val="18"/>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diversification</w:t>
      </w:r>
    </w:p>
    <w:p>
      <w:pPr>
        <w:spacing w:after="0" w:line="238" w:lineRule="auto"/>
        <w:rPr>
          <w:sz w:val="20"/>
          <w:szCs w:val="20"/>
          <w:color w:val="auto"/>
        </w:rPr>
      </w:pPr>
      <w:r>
        <w:rPr>
          <w:rFonts w:ascii="Courier New" w:cs="Courier New" w:eastAsia="Courier New" w:hAnsi="Courier New"/>
          <w:sz w:val="18"/>
          <w:szCs w:val="18"/>
          <w:color w:val="auto"/>
        </w:rPr>
        <w:t>future economic performance</w:t>
      </w:r>
    </w:p>
    <w:p>
      <w:pPr>
        <w:spacing w:after="0" w:line="238" w:lineRule="auto"/>
        <w:rPr>
          <w:sz w:val="20"/>
          <w:szCs w:val="20"/>
          <w:color w:val="auto"/>
        </w:rPr>
      </w:pPr>
      <w:r>
        <w:rPr>
          <w:rFonts w:ascii="Courier New" w:cs="Courier New" w:eastAsia="Courier New" w:hAnsi="Courier New"/>
          <w:sz w:val="18"/>
          <w:szCs w:val="18"/>
          <w:color w:val="auto"/>
        </w:rPr>
        <w:t>future acquisitions</w:t>
      </w:r>
    </w:p>
    <w:p>
      <w:pPr>
        <w:spacing w:after="0"/>
        <w:rPr>
          <w:sz w:val="20"/>
          <w:szCs w:val="20"/>
          <w:color w:val="auto"/>
        </w:rPr>
      </w:pPr>
      <w:r>
        <w:rPr>
          <w:rFonts w:ascii="Courier New" w:cs="Courier New" w:eastAsia="Courier New" w:hAnsi="Courier New"/>
          <w:sz w:val="18"/>
          <w:szCs w:val="18"/>
          <w:color w:val="auto"/>
        </w:rPr>
        <w:t>management's plans</w:t>
      </w:r>
    </w:p>
    <w:p>
      <w:pPr>
        <w:spacing w:after="0" w:line="237" w:lineRule="auto"/>
        <w:rPr>
          <w:sz w:val="20"/>
          <w:szCs w:val="20"/>
          <w:color w:val="auto"/>
        </w:rPr>
      </w:pPr>
      <w:r>
        <w:rPr>
          <w:rFonts w:ascii="Courier New" w:cs="Courier New" w:eastAsia="Courier New" w:hAnsi="Courier New"/>
          <w:sz w:val="18"/>
          <w:szCs w:val="18"/>
          <w:color w:val="auto"/>
        </w:rPr>
        <w:t>business portfolios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integration related expenses</w:t>
      </w:r>
    </w:p>
    <w:p>
      <w:pPr>
        <w:spacing w:after="0" w:line="419" w:lineRule="exact"/>
        <w:rPr>
          <w:sz w:val="20"/>
          <w:szCs w:val="20"/>
          <w:color w:val="auto"/>
        </w:rPr>
      </w:pPr>
    </w:p>
    <w:p>
      <w:pPr>
        <w:sectPr>
          <w:pgSz w:w="11900" w:h="16838" w:orient="portrait"/>
          <w:cols w:equalWidth="0" w:num="2">
            <w:col w:w="3820" w:space="720"/>
            <w:col w:w="5599"/>
          </w:cols>
          <w:pgMar w:left="320" w:top="514" w:right="1440" w:bottom="368" w:gutter="0" w:footer="0" w:header="0"/>
          <w:type w:val="continuous"/>
        </w:sectPr>
      </w:pPr>
    </w:p>
    <w:p>
      <w:pPr>
        <w:spacing w:after="0" w:line="210"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With respect to all forward-looking statements, we claim the protection of the safe harbor for forward-looking statements contained in the Private Securities Litigation Reform Act of 1995.</w:t>
      </w:r>
    </w:p>
    <w:p>
      <w:pPr>
        <w:spacing w:after="0" w:line="208"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You should understand that the following important factors, in addition to those discussed elsewhere in this document and in the documents which are incorporated by reference, could affect the future results of Honeywell and could cause those results or other outcomes to differ materially from those expressed or implied in our forward-looking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Economic and Industry Conditions</w:t>
      </w:r>
    </w:p>
    <w:p>
      <w:pPr>
        <w:spacing w:after="0" w:line="207"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materially adverse changes in economic and industry conditions and customer demand generally or in the markets served by us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supply and demand for and pricing of supplies and components</w:t>
      </w:r>
    </w:p>
    <w:p>
      <w:pPr>
        <w:spacing w:after="0" w:line="207" w:lineRule="exact"/>
        <w:rPr>
          <w:sz w:val="20"/>
          <w:szCs w:val="20"/>
          <w:color w:val="auto"/>
        </w:rPr>
      </w:pPr>
    </w:p>
    <w:p>
      <w:pPr>
        <w:ind w:left="540" w:right="1919"/>
        <w:spacing w:after="0" w:line="235" w:lineRule="auto"/>
        <w:rPr>
          <w:sz w:val="20"/>
          <w:szCs w:val="20"/>
          <w:color w:val="auto"/>
        </w:rPr>
      </w:pPr>
      <w:r>
        <w:rPr>
          <w:rFonts w:ascii="Courier New" w:cs="Courier New" w:eastAsia="Courier New" w:hAnsi="Courier New"/>
          <w:sz w:val="18"/>
          <w:szCs w:val="18"/>
          <w:color w:val="auto"/>
        </w:rPr>
        <w:t>changes in demographics and consumer preferences or demands for our goods and services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fluctuations of foreign currencies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Factors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competitiveness of product substitutes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actions of competitors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technologies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industry consolidation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deregulation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Factors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supply disruptions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acquisitions or divestitures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changes in operating conditions and costs</w:t>
      </w:r>
    </w:p>
    <w:p>
      <w:pPr>
        <w:spacing w:after="0" w:line="207" w:lineRule="exact"/>
        <w:rPr>
          <w:sz w:val="20"/>
          <w:szCs w:val="20"/>
          <w:color w:val="auto"/>
        </w:rPr>
      </w:pPr>
    </w:p>
    <w:p>
      <w:pPr>
        <w:ind w:left="540" w:right="2559"/>
        <w:spacing w:after="0" w:line="235" w:lineRule="auto"/>
        <w:rPr>
          <w:sz w:val="20"/>
          <w:szCs w:val="20"/>
          <w:color w:val="auto"/>
        </w:rPr>
      </w:pPr>
      <w:r>
        <w:rPr>
          <w:rFonts w:ascii="Courier New" w:cs="Courier New" w:eastAsia="Courier New" w:hAnsi="Courier New"/>
          <w:sz w:val="18"/>
          <w:szCs w:val="18"/>
          <w:color w:val="auto"/>
        </w:rPr>
        <w:t>risks relating to performance of contracts, including dependence on performance of third-parties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availability of intellectual property rights for newly developed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changes in regulatory environment</w:t>
      </w:r>
    </w:p>
    <w:p>
      <w:pPr>
        <w:spacing w:after="0" w:line="207" w:lineRule="exact"/>
        <w:rPr>
          <w:sz w:val="20"/>
          <w:szCs w:val="20"/>
          <w:color w:val="auto"/>
        </w:rPr>
      </w:pPr>
    </w:p>
    <w:p>
      <w:pPr>
        <w:ind w:left="540" w:right="1819"/>
        <w:spacing w:after="0" w:line="236" w:lineRule="auto"/>
        <w:rPr>
          <w:sz w:val="20"/>
          <w:szCs w:val="20"/>
          <w:color w:val="auto"/>
        </w:rPr>
      </w:pPr>
      <w:r>
        <w:rPr>
          <w:rFonts w:ascii="Courier New" w:cs="Courier New" w:eastAsia="Courier New" w:hAnsi="Courier New"/>
          <w:sz w:val="18"/>
          <w:szCs w:val="18"/>
          <w:color w:val="auto"/>
        </w:rPr>
        <w:t>the challenges inherent in diverting management's focus and resources from other strategic opportunities and from operational matters during merger integration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impact of the loss of employees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139"/>
          </w:cols>
          <w:pgMar w:left="320" w:top="514" w:right="1440" w:bottom="368" w:gutter="0" w:footer="0" w:header="0"/>
          <w:type w:val="continuous"/>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GENERAL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w:t>
      </w:r>
    </w:p>
    <w:p>
      <w:pPr>
        <w:spacing w:after="0" w:line="207"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Application has been made to list the notes on the Luxembourg Stock Exchange. In connection with the listing application, our restated certificate of incorporation and by-laws and a legal notice relating to the issuance of the notes have been deposited prior to listing with Greffier en Chef du Tribunal d'Arrondissement de et a Luxembourg, where copies thereof may be obtained upon request. Copies of the above documents together with this prospectus supplement, the accompanying prospectus, the indenture and our current Annual Report on Form 10-K, Quarterly Reports on Form 10-Q and Current Reports on Form 8-K, as well as all such future reports, so long as any of the notes are outstanding, will be made available for inspection at the main office of Deutsche Bank Luxembourg S.A., in Luxembourg. Deutsche Bank Luxembourg S.A. will act as intermediary for Honeywell and the holders of the notes. In addition, copies of the above reports of Honeywell may be obtained free of charge at such office. The underwriting agreement will be available for inspection at Deutsche Bank Luxembourg S.A. Deutsche Bank Luxembourg S.A. will act as intermediary between the Luxembourg Stock Exchange and Honeywell and the holders of the notes so long as the Notes are in global form.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right="2119" w:firstLine="421"/>
        <w:spacing w:after="0" w:line="235" w:lineRule="auto"/>
        <w:rPr>
          <w:sz w:val="20"/>
          <w:szCs w:val="20"/>
          <w:color w:val="auto"/>
        </w:rPr>
      </w:pPr>
      <w:r>
        <w:rPr>
          <w:rFonts w:ascii="Courier New" w:cs="Courier New" w:eastAsia="Courier New" w:hAnsi="Courier New"/>
          <w:sz w:val="18"/>
          <w:szCs w:val="18"/>
          <w:color w:val="auto"/>
        </w:rPr>
        <w:t>The Independent Accountants of Honeywell are PricewaterhouseCoopers LLP, Florham Park, New Jersey.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CHANGE</w:t>
      </w:r>
    </w:p>
    <w:p>
      <w:pPr>
        <w:spacing w:after="0" w:line="207"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Other than as disclosed or contemplated herein or in the documents incorporated herein by reference, there has been no material adverse change in our financial position since December 31,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Other than as disclosed or contemplated in the documents incorporated herein by reference, neither we nor any of our subsidiaries is involved in litigation, arbitration, or administrative proceedings relating to claims or amounts that are material in the context of the issue of the notes and we are not aware of any such litigation, arbitration, or administrative proceedings pending or threatened.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7" w:lineRule="exact"/>
        <w:rPr>
          <w:sz w:val="20"/>
          <w:szCs w:val="20"/>
          <w:color w:val="auto"/>
        </w:rPr>
      </w:pPr>
    </w:p>
    <w:p>
      <w:pPr>
        <w:ind w:right="1819" w:firstLine="421"/>
        <w:spacing w:after="0" w:line="235" w:lineRule="auto"/>
        <w:rPr>
          <w:sz w:val="20"/>
          <w:szCs w:val="20"/>
          <w:color w:val="auto"/>
        </w:rPr>
      </w:pPr>
      <w:r>
        <w:rPr>
          <w:rFonts w:ascii="Courier New" w:cs="Courier New" w:eastAsia="Courier New" w:hAnsi="Courier New"/>
          <w:sz w:val="18"/>
          <w:szCs w:val="18"/>
          <w:color w:val="auto"/>
        </w:rPr>
        <w:t>Resolutions relating to the issue and sale of the notes were adopted by the Board of Directors of Honeywell on December 3,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NUMBERS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notes have been accepted for clearing through Euroclear and Clearstream, Luxembourg. The notes have been assigned Euroclear and Clearstream, Luxembourg Common Code No. 10864160, International Security Identification Number (ISIN) No. US438516AK21 and CUSIP No. 438516AK2.</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139"/>
          </w:cols>
          <w:pgMar w:left="320" w:top="514"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$1,000,000,000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ALLIEDSIGNAL INC.</w:t>
      </w:r>
    </w:p>
    <w:p>
      <w:pPr>
        <w:spacing w:after="0" w:line="20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101 COLUMBIA ROAD</w:t>
      </w:r>
    </w:p>
    <w:p>
      <w:pPr>
        <w:jc w:val="center"/>
        <w:ind w:right="1819"/>
        <w:spacing w:after="0" w:line="238" w:lineRule="auto"/>
        <w:rPr>
          <w:sz w:val="20"/>
          <w:szCs w:val="20"/>
          <w:color w:val="auto"/>
        </w:rPr>
      </w:pPr>
      <w:r>
        <w:rPr>
          <w:rFonts w:ascii="Courier New" w:cs="Courier New" w:eastAsia="Courier New" w:hAnsi="Courier New"/>
          <w:sz w:val="18"/>
          <w:szCs w:val="18"/>
          <w:color w:val="auto"/>
        </w:rPr>
        <w:t>MORRIS TOWNSHIP, NEW JERSEY 07962</w:t>
      </w:r>
    </w:p>
    <w:p>
      <w:pPr>
        <w:ind w:left="4120" w:hanging="637"/>
        <w:spacing w:after="0" w:line="238" w:lineRule="auto"/>
        <w:tabs>
          <w:tab w:leader="none" w:pos="4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455-2000</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421"/>
        <w:spacing w:after="0" w:line="236" w:lineRule="auto"/>
        <w:rPr>
          <w:sz w:val="20"/>
          <w:szCs w:val="20"/>
          <w:color w:val="auto"/>
        </w:rPr>
      </w:pPr>
      <w:r>
        <w:rPr>
          <w:rFonts w:ascii="Courier New" w:cs="Courier New" w:eastAsia="Courier New" w:hAnsi="Courier New"/>
          <w:sz w:val="18"/>
          <w:szCs w:val="18"/>
          <w:color w:val="auto"/>
        </w:rPr>
        <w:t>WE WILL PROVIDE SPECIFIC TERMS OF THESE SECURITIES IN SUPPLEMENTS TO THIS PROSPECTUS. YOU SHOULD READ THIS PROSPECTUS AND THE APPLICABLE SUPPLEMENT CAREFULLY BEFORE YOU INVEST.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19" w:firstLine="421"/>
        <w:spacing w:after="0" w:line="235" w:lineRule="auto"/>
        <w:rPr>
          <w:sz w:val="20"/>
          <w:szCs w:val="20"/>
          <w:color w:val="auto"/>
        </w:rPr>
      </w:pPr>
      <w:r>
        <w:rPr>
          <w:rFonts w:ascii="Courier New" w:cs="Courier New" w:eastAsia="Courier New" w:hAnsi="Courier New"/>
          <w:sz w:val="18"/>
          <w:szCs w:val="18"/>
          <w:color w:val="auto"/>
        </w:rPr>
        <w:t>This prospectus may not be used to consummate sales of securities unless accompanied by a prospectus supplement.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Prospectus dated September 3, 1999.</w:t>
      </w:r>
    </w:p>
    <w:p>
      <w:pPr>
        <w:sectPr>
          <w:pgSz w:w="11900" w:h="16838" w:orient="portrait"/>
          <w:cols w:equalWidth="0" w:num="1">
            <w:col w:w="10139"/>
          </w:cols>
          <w:pgMar w:left="320" w:top="717" w:right="1440" w:bottom="1440" w:gutter="0" w:footer="0" w:header="0"/>
        </w:sectPr>
      </w:pPr>
    </w:p>
    <w:bookmarkStart w:id="32" w:name="page33"/>
    <w:bookmarkEnd w:id="32"/>
    <w:p>
      <w:pPr>
        <w:jc w:val="center"/>
        <w:ind w:right="179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(No. 333-86157) that AlliedSignal filed with the SEC utilizing a 'shelf' registration process. Under this shelf process, we may offer from time to time up to $1,000,000,000 (or the equivalent in foreign or composite currencies) of debt securities. This prospectus provides you with a general description of the debt securities we may offer. Each time we offer debt securities, we will provide you with a prospectus supplement that will describe the specific amounts, prices and terms of the securities being offered. The prospectus supplement may also add, update or change information contained in this prospectus.</w:t>
      </w:r>
    </w:p>
    <w:p>
      <w:pPr>
        <w:spacing w:after="0" w:line="213" w:lineRule="exact"/>
        <w:rPr>
          <w:sz w:val="20"/>
          <w:szCs w:val="20"/>
          <w:color w:val="auto"/>
        </w:rPr>
      </w:pPr>
    </w:p>
    <w:p>
      <w:pPr>
        <w:ind w:right="1699" w:firstLine="421"/>
        <w:spacing w:after="0" w:line="273" w:lineRule="auto"/>
        <w:rPr>
          <w:sz w:val="20"/>
          <w:szCs w:val="20"/>
          <w:color w:val="auto"/>
        </w:rPr>
      </w:pPr>
      <w:r>
        <w:rPr>
          <w:rFonts w:ascii="Courier New" w:cs="Courier New" w:eastAsia="Courier New" w:hAnsi="Courier New"/>
          <w:sz w:val="16"/>
          <w:szCs w:val="16"/>
          <w:color w:val="auto"/>
        </w:rPr>
        <w:t>To understand the terms of our securities, you should carefully read this document with the attached prospectus supplement that together give the specific terms of the securities we are offering. You should also read the documents we have referred you to in 'Where You Can Find More Information About AlliedSignal' below for information on our company and our financial statements.</w:t>
      </w:r>
    </w:p>
    <w:p>
      <w:pPr>
        <w:spacing w:after="0" w:line="17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WHERE YOU CAN FIND MORE INFORMATION ABOUT ALLIEDSIGNAL</w:t>
      </w:r>
    </w:p>
    <w:p>
      <w:pPr>
        <w:spacing w:after="0" w:line="207" w:lineRule="exact"/>
        <w:rPr>
          <w:sz w:val="20"/>
          <w:szCs w:val="20"/>
          <w:color w:val="auto"/>
        </w:rPr>
      </w:pPr>
    </w:p>
    <w:p>
      <w:pPr>
        <w:ind w:right="2019" w:firstLine="421"/>
        <w:spacing w:after="0" w:line="236" w:lineRule="auto"/>
        <w:rPr>
          <w:sz w:val="20"/>
          <w:szCs w:val="20"/>
          <w:color w:val="auto"/>
        </w:rPr>
      </w:pPr>
      <w:r>
        <w:rPr>
          <w:rFonts w:ascii="Courier New" w:cs="Courier New" w:eastAsia="Courier New" w:hAnsi="Courier New"/>
          <w:sz w:val="18"/>
          <w:szCs w:val="18"/>
          <w:color w:val="auto"/>
        </w:rPr>
        <w:t>We file annual, quarterly and current reports, proxy statements and other information with the SEC. You may read and copy any document we file at the SEC's public reference rooms in the following locations: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Public Reference Room</w:t>
            </w:r>
          </w:p>
        </w:tc>
        <w:tc>
          <w:tcPr>
            <w:tcW w:w="3360" w:type="dxa"/>
            <w:vAlign w:val="bottom"/>
          </w:tcPr>
          <w:p>
            <w:pPr>
              <w:ind w:left="480"/>
              <w:spacing w:after="0"/>
              <w:rPr>
                <w:sz w:val="20"/>
                <w:szCs w:val="20"/>
                <w:color w:val="auto"/>
              </w:rPr>
            </w:pPr>
            <w:r>
              <w:rPr>
                <w:rFonts w:ascii="Courier New" w:cs="Courier New" w:eastAsia="Courier New" w:hAnsi="Courier New"/>
                <w:sz w:val="18"/>
                <w:szCs w:val="18"/>
                <w:color w:val="auto"/>
              </w:rPr>
              <w:t>New York Regional Office</w:t>
            </w:r>
          </w:p>
        </w:tc>
        <w:tc>
          <w:tcPr>
            <w:tcW w:w="2800" w:type="dxa"/>
            <w:vAlign w:val="bottom"/>
          </w:tcPr>
          <w:p>
            <w:pPr>
              <w:ind w:left="380"/>
              <w:spacing w:after="0"/>
              <w:rPr>
                <w:sz w:val="20"/>
                <w:szCs w:val="20"/>
                <w:color w:val="auto"/>
              </w:rPr>
            </w:pPr>
            <w:r>
              <w:rPr>
                <w:rFonts w:ascii="Courier New" w:cs="Courier New" w:eastAsia="Courier New" w:hAnsi="Courier New"/>
                <w:sz w:val="18"/>
                <w:szCs w:val="18"/>
                <w:color w:val="auto"/>
                <w:w w:val="96"/>
              </w:rPr>
              <w:t>Chicago Regional Office</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450 Fifth Street, N.W.</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 World Trade Center</w:t>
            </w:r>
          </w:p>
        </w:tc>
        <w:tc>
          <w:tcPr>
            <w:tcW w:w="2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Citicorp Center</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1300</w:t>
            </w:r>
          </w:p>
        </w:tc>
        <w:tc>
          <w:tcPr>
            <w:tcW w:w="2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500 West Madison Street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3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New York, NY 10048</w:t>
            </w:r>
          </w:p>
        </w:tc>
        <w:tc>
          <w:tcPr>
            <w:tcW w:w="2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Chicago, IL 60661</w:t>
            </w:r>
          </w:p>
        </w:tc>
      </w:tr>
    </w:tbl>
    <w:p>
      <w:pPr>
        <w:spacing w:after="0" w:line="200" w:lineRule="exact"/>
        <w:rPr>
          <w:sz w:val="20"/>
          <w:szCs w:val="20"/>
          <w:color w:val="auto"/>
        </w:rPr>
      </w:pP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Please call the SEC at 1-800-SEC-0330 for further information on the public reference rooms. Our SEC filings are also available to the public at the SEC's web site at http://www.sec.gov.</w:t>
      </w:r>
    </w:p>
    <w:p>
      <w:pPr>
        <w:spacing w:after="0" w:line="208"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You should also be able to inspect reports, proxy statements and other information about AlliedSignal at the offices of the New York Stock Exchange Inc., 20 Broad Street, New York, NY 10005; the Chicago Stock Exchange, One Financial Place, 440 South LaSalle Street, Chicago, IL 60605; and the Pacific Exchange, 301 Pine Street, San Francisco, CA 94104.</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a part of this prospectus, and later information filed with the SEC will update and supersede this information. We incorporate by reference each of the documents listed below and any future filings made with the SEC under Section 13(a), 13(c), 14, or 15(d) of the Securities Exchange Act of 1934 until our offering is completed:</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Annual Report on Form 10-K for the year ended December 31, 1998;</w:t>
      </w:r>
    </w:p>
    <w:p>
      <w:pPr>
        <w:spacing w:after="0" w:line="207" w:lineRule="exact"/>
        <w:rPr>
          <w:sz w:val="20"/>
          <w:szCs w:val="20"/>
          <w:color w:val="auto"/>
        </w:rPr>
      </w:pPr>
    </w:p>
    <w:p>
      <w:pPr>
        <w:ind w:left="540" w:right="2019"/>
        <w:spacing w:after="0" w:line="235" w:lineRule="auto"/>
        <w:rPr>
          <w:sz w:val="20"/>
          <w:szCs w:val="20"/>
          <w:color w:val="auto"/>
        </w:rPr>
      </w:pPr>
      <w:r>
        <w:rPr>
          <w:rFonts w:ascii="Courier New" w:cs="Courier New" w:eastAsia="Courier New" w:hAnsi="Courier New"/>
          <w:sz w:val="18"/>
          <w:szCs w:val="18"/>
          <w:color w:val="auto"/>
        </w:rPr>
        <w:t>Our Quarterly Reports on Form 10-Q for the quarters ended March 31, 1999 and June 30, 1999; and</w:t>
      </w:r>
    </w:p>
    <w:p>
      <w:pPr>
        <w:spacing w:after="0" w:line="208" w:lineRule="exact"/>
        <w:rPr>
          <w:sz w:val="20"/>
          <w:szCs w:val="20"/>
          <w:color w:val="auto"/>
        </w:rPr>
      </w:pPr>
    </w:p>
    <w:p>
      <w:pPr>
        <w:ind w:left="540" w:right="2439"/>
        <w:spacing w:after="0" w:line="235" w:lineRule="auto"/>
        <w:rPr>
          <w:sz w:val="20"/>
          <w:szCs w:val="20"/>
          <w:color w:val="auto"/>
        </w:rPr>
      </w:pPr>
      <w:r>
        <w:rPr>
          <w:rFonts w:ascii="Courier New" w:cs="Courier New" w:eastAsia="Courier New" w:hAnsi="Courier New"/>
          <w:sz w:val="18"/>
          <w:szCs w:val="18"/>
          <w:color w:val="auto"/>
        </w:rPr>
        <w:t>Our Current Reports on Form 8-K filed on June 8, 1999, as amended by Form 8-K/A filed July 16, 1999, and July 16, 1999.</w:t>
      </w:r>
    </w:p>
    <w:p>
      <w:pPr>
        <w:spacing w:after="0" w:line="208" w:lineRule="exact"/>
        <w:rPr>
          <w:sz w:val="20"/>
          <w:szCs w:val="20"/>
          <w:color w:val="auto"/>
        </w:rPr>
      </w:pPr>
    </w:p>
    <w:p>
      <w:pPr>
        <w:ind w:right="2439" w:firstLine="421"/>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to or telephoning us at the following address: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Office of the Secretary</w:t>
      </w:r>
    </w:p>
    <w:p>
      <w:pPr>
        <w:ind w:left="3480"/>
        <w:spacing w:after="0" w:line="238" w:lineRule="auto"/>
        <w:rPr>
          <w:sz w:val="20"/>
          <w:szCs w:val="20"/>
          <w:color w:val="auto"/>
        </w:rPr>
      </w:pPr>
      <w:r>
        <w:rPr>
          <w:rFonts w:ascii="Courier New" w:cs="Courier New" w:eastAsia="Courier New" w:hAnsi="Courier New"/>
          <w:sz w:val="18"/>
          <w:szCs w:val="18"/>
          <w:color w:val="auto"/>
        </w:rPr>
        <w:t>AlliedSignal Inc.</w:t>
      </w:r>
    </w:p>
    <w:p>
      <w:pPr>
        <w:ind w:left="3480"/>
        <w:spacing w:after="0" w:line="238" w:lineRule="auto"/>
        <w:rPr>
          <w:sz w:val="20"/>
          <w:szCs w:val="20"/>
          <w:color w:val="auto"/>
        </w:rPr>
      </w:pPr>
      <w:r>
        <w:rPr>
          <w:rFonts w:ascii="Courier New" w:cs="Courier New" w:eastAsia="Courier New" w:hAnsi="Courier New"/>
          <w:sz w:val="18"/>
          <w:szCs w:val="18"/>
          <w:color w:val="auto"/>
        </w:rPr>
        <w:t>101 Columbia Road</w:t>
      </w:r>
    </w:p>
    <w:p>
      <w:pPr>
        <w:ind w:left="3480"/>
        <w:spacing w:after="0"/>
        <w:rPr>
          <w:sz w:val="20"/>
          <w:szCs w:val="20"/>
          <w:color w:val="auto"/>
        </w:rPr>
      </w:pPr>
      <w:r>
        <w:rPr>
          <w:rFonts w:ascii="Courier New" w:cs="Courier New" w:eastAsia="Courier New" w:hAnsi="Courier New"/>
          <w:sz w:val="18"/>
          <w:szCs w:val="18"/>
          <w:color w:val="auto"/>
        </w:rPr>
        <w:t>Morris Township, NJ 07962</w:t>
      </w:r>
    </w:p>
    <w:p>
      <w:pPr>
        <w:ind w:left="3480"/>
        <w:spacing w:after="0" w:line="237" w:lineRule="auto"/>
        <w:rPr>
          <w:sz w:val="20"/>
          <w:szCs w:val="20"/>
          <w:color w:val="auto"/>
        </w:rPr>
      </w:pPr>
      <w:r>
        <w:rPr>
          <w:rFonts w:ascii="Courier New" w:cs="Courier New" w:eastAsia="Courier New" w:hAnsi="Courier New"/>
          <w:sz w:val="18"/>
          <w:szCs w:val="18"/>
          <w:color w:val="auto"/>
        </w:rPr>
        <w:t>973-455-5067</w:t>
      </w:r>
    </w:p>
    <w:p>
      <w:pPr>
        <w:spacing w:after="0" w:line="207" w:lineRule="exact"/>
        <w:rPr>
          <w:sz w:val="20"/>
          <w:szCs w:val="20"/>
          <w:color w:val="auto"/>
        </w:rPr>
      </w:pPr>
    </w:p>
    <w:p>
      <w:pPr>
        <w:ind w:right="1819" w:firstLine="421"/>
        <w:spacing w:after="0" w:line="236" w:lineRule="auto"/>
        <w:rPr>
          <w:sz w:val="20"/>
          <w:szCs w:val="20"/>
          <w:color w:val="auto"/>
        </w:rPr>
      </w:pPr>
      <w:r>
        <w:rPr>
          <w:rFonts w:ascii="Courier New" w:cs="Courier New" w:eastAsia="Courier New" w:hAnsi="Courier New"/>
          <w:sz w:val="18"/>
          <w:szCs w:val="18"/>
          <w:color w:val="auto"/>
        </w:rPr>
        <w:t>You should rely only on the information incorporated by reference or provided in this prospectus or the prospectus supplement. We have authorized no one to provide you 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514" w:right="1440" w:bottom="773" w:gutter="0" w:footer="0" w:header="0"/>
        </w:sectPr>
      </w:pPr>
    </w:p>
    <w:bookmarkStart w:id="33" w:name="page34"/>
    <w:bookmarkEnd w:id="33"/>
    <w:p>
      <w:pPr>
        <w:ind w:right="1819"/>
        <w:spacing w:after="0" w:line="275" w:lineRule="auto"/>
        <w:rPr>
          <w:sz w:val="20"/>
          <w:szCs w:val="20"/>
          <w:color w:val="auto"/>
        </w:rPr>
      </w:pPr>
      <w:r>
        <w:rPr>
          <w:rFonts w:ascii="Courier New" w:cs="Courier New" w:eastAsia="Courier New" w:hAnsi="Courier New"/>
          <w:sz w:val="16"/>
          <w:szCs w:val="16"/>
          <w:color w:val="auto"/>
        </w:rPr>
        <w:t>different information. We are not making an offer of these securities in any state where the offer is not permitted. You should not assume that the information in this prospectus or the prospectus supplement or any incorporated document is accurate as of any date other than the date on its cover.</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ALLIEDSIGNAL INC.</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AlliedSignal, a Delaware corporation, is a leading advanced technology and manufacturing company serving customers worldwide with aerospace products and services, automotive products, chemicals, fibers, plastics and advanced materials. We operate through eleven strategic business units that offer products and services which are sold principally for use in the following applications: commercial and military aviation, defense, space, automotive and heavy vehicles, electronics, carpeting, refrigeration, construction, computers, utilities, pharmaceutical and agriculture.</w:t>
      </w:r>
    </w:p>
    <w:p>
      <w:pPr>
        <w:spacing w:after="0" w:line="212" w:lineRule="exact"/>
        <w:rPr>
          <w:sz w:val="20"/>
          <w:szCs w:val="20"/>
          <w:color w:val="auto"/>
        </w:rPr>
      </w:pPr>
    </w:p>
    <w:p>
      <w:pPr>
        <w:ind w:right="2339" w:firstLine="421"/>
        <w:spacing w:after="0" w:line="290" w:lineRule="auto"/>
        <w:rPr>
          <w:sz w:val="20"/>
          <w:szCs w:val="20"/>
          <w:color w:val="auto"/>
        </w:rPr>
      </w:pPr>
      <w:r>
        <w:rPr>
          <w:rFonts w:ascii="Courier New" w:cs="Courier New" w:eastAsia="Courier New" w:hAnsi="Courier New"/>
          <w:sz w:val="16"/>
          <w:szCs w:val="16"/>
          <w:color w:val="auto"/>
        </w:rPr>
        <w:t>Our strategic business units have been aggregated into five reportable segments. A description of our five reportable segments follows:</w:t>
      </w:r>
    </w:p>
    <w:p>
      <w:pPr>
        <w:spacing w:after="0" w:line="169" w:lineRule="exact"/>
        <w:rPr>
          <w:sz w:val="20"/>
          <w:szCs w:val="20"/>
          <w:color w:val="auto"/>
        </w:rPr>
      </w:pPr>
    </w:p>
    <w:p>
      <w:pPr>
        <w:jc w:val="both"/>
        <w:ind w:right="1919" w:firstLine="421"/>
        <w:spacing w:after="0" w:line="236" w:lineRule="auto"/>
        <w:rPr>
          <w:sz w:val="20"/>
          <w:szCs w:val="20"/>
          <w:color w:val="auto"/>
        </w:rPr>
      </w:pPr>
      <w:r>
        <w:rPr>
          <w:rFonts w:ascii="Courier New" w:cs="Courier New" w:eastAsia="Courier New" w:hAnsi="Courier New"/>
          <w:sz w:val="18"/>
          <w:szCs w:val="18"/>
          <w:color w:val="auto"/>
        </w:rPr>
        <w:t>Aerospace Systems. AlliedSignal's Aerospace Systems segment provides sales and service for a wide range of aerospace products for both original equipment manufacturers and aftermarket customers, including:</w:t>
      </w:r>
    </w:p>
    <w:p>
      <w:pPr>
        <w:spacing w:after="0" w:line="208"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systems and components for commercial, military, regional and general aviation aircraft, including environmental control systems, aircraft wheels and brakes, power generation systems and engine controls;</w:t>
      </w:r>
    </w:p>
    <w:p>
      <w:pPr>
        <w:spacing w:after="0" w:line="208"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advanced electronics, avionics and lighting for military aircraft, defense and space stations, large and regional air transport, business and general aviation, including communications, navigation, flight control and management, weather radar systems, microwave landing and electronic systems, flight guidance and control systems, sensors and components, automatic test systems, cockpit display systems and internal and external aircraft lighting;</w:t>
      </w:r>
    </w:p>
    <w:p>
      <w:pPr>
        <w:spacing w:after="0" w:line="210"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maintenance, repair and overhaul services and spares and hardware sales to support aerospace aftermarket customers; and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management and technical services for the government.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accounted for approximately 32% of AlliedSignal's 1998 total sales.</w:t>
      </w:r>
    </w:p>
    <w:p>
      <w:pPr>
        <w:spacing w:after="0" w:line="224"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Specialty Chemicals &amp; Electronic Solutions. AlliedSignal's Specialty Chemicals &amp; Electronic Solutions segment manufactures engineered materials used in numerous applications and technologically advanced materials used in the manufacturing of electronics and semiconductors. The Specialty Chemicals &amp; Electronic Solutions segment's products include:</w:t>
      </w:r>
    </w:p>
    <w:p>
      <w:pPr>
        <w:spacing w:after="0" w:line="208" w:lineRule="exact"/>
        <w:rPr>
          <w:sz w:val="20"/>
          <w:szCs w:val="20"/>
          <w:color w:val="auto"/>
        </w:rPr>
      </w:pPr>
    </w:p>
    <w:p>
      <w:pPr>
        <w:ind w:left="320" w:right="1819"/>
        <w:spacing w:after="0" w:line="271" w:lineRule="auto"/>
        <w:rPr>
          <w:sz w:val="20"/>
          <w:szCs w:val="20"/>
          <w:color w:val="auto"/>
        </w:rPr>
      </w:pPr>
      <w:r>
        <w:rPr>
          <w:rFonts w:ascii="Courier New" w:cs="Courier New" w:eastAsia="Courier New" w:hAnsi="Courier New"/>
          <w:sz w:val="16"/>
          <w:szCs w:val="16"/>
          <w:color w:val="auto"/>
        </w:rPr>
        <w:t>specialty and fine chemical products, including hydrofluoric acid, polyethylene and petroleum-based specialty waxes and wax blends, environmentally safer fluorocarbons, pharmaceutical bulk active and advanced intermediate chemicals and process technology, for use in a diverse range of applications, including pharmaceutical, polymer, crop protection, petroleum, personal care products, security coding, semiconductor, air conditioning and refrigeration, medical, coatings, textile, electronics and nuclear; and</w:t>
      </w:r>
    </w:p>
    <w:p>
      <w:pPr>
        <w:spacing w:after="0" w:line="187"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materials and solutions for the global electronics market, including laminate and prepeg materials used as the base material for printed circuit boards, interconnect materials and solutions for semiconductor wafer manufacturing, electron beam curing equipment and amorphous metals.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accounted for approximately 15% of AlliedSignal's 1998 total sales.</w:t>
      </w:r>
    </w:p>
    <w:p>
      <w:pPr>
        <w:spacing w:after="0" w:line="224"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Turbine Technologies. AlliedSignal's Turbine Technologies segment provides products based on technologically advanced turbine applications. Turbine Technologies' products include:</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auxiliary power units for commercial and regional airlines and business and military aircraft;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22" w:right="1440" w:bottom="1440" w:gutter="0" w:footer="0" w:header="0"/>
        </w:sectPr>
      </w:pPr>
    </w:p>
    <w:bookmarkStart w:id="34" w:name="page35"/>
    <w:bookmarkEnd w:id="34"/>
    <w:p>
      <w:pPr>
        <w:ind w:left="540" w:right="2019"/>
        <w:spacing w:after="0" w:line="236" w:lineRule="auto"/>
        <w:rPr>
          <w:sz w:val="20"/>
          <w:szCs w:val="20"/>
          <w:color w:val="auto"/>
        </w:rPr>
      </w:pPr>
      <w:r>
        <w:rPr>
          <w:rFonts w:ascii="Courier New" w:cs="Courier New" w:eastAsia="Courier New" w:hAnsi="Courier New"/>
          <w:sz w:val="18"/>
          <w:szCs w:val="18"/>
          <w:color w:val="auto"/>
        </w:rPr>
        <w:t>turbofan, turboshaft and turboprop propulsion engines for business aviation, regional airlines, military aircraft and marine and industrial markets; and</w:t>
      </w:r>
    </w:p>
    <w:p>
      <w:pPr>
        <w:spacing w:after="0" w:line="208"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turbochargers, charged air coolers, radiators and complete cooling modules for passenger cars, racecars, trucks, buses, agricultural equipment, diesel locomotives and marine, mining, construction, military, aviation, and power generation applications.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accounted for approximately 24% of AlliedSignal's 1998 total sales.</w:t>
      </w:r>
    </w:p>
    <w:p>
      <w:pPr>
        <w:spacing w:after="0" w:line="224"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Performance Polymers. AlliedSignal's Performance Polymers segment manufactures high performance fibers, specialty films, plastics and intermediate chemicals such as caprolactam, the base chemical used to make nylon. These products have broad applications in industries such as commercial and residential carpeting, autos and auto components, food and pharmaceutical packaging, specialty chemicals and electronics. This segment accounted for approximately 13% of AlliedSignal's 1998 total sales.</w:t>
      </w:r>
    </w:p>
    <w:p>
      <w:pPr>
        <w:spacing w:after="0" w:line="210"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Transportation Products. AlliedSignal's Transportation Products segment provides parts, supplies and systems for vehicles to both original equipment manufacturers and aftermarket customers. Transportation Products manufactures and distributes:</w:t>
      </w:r>
    </w:p>
    <w:p>
      <w:pPr>
        <w:spacing w:after="0" w:line="207"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well-recognized consumer-branded automotive products for aftermarket customers, as well as to automotive original equipment manufacturers and installers, such as oil and air filters (FRAM'r'), spark plugs (Autolite'r') and car care products including antifreeze, windshield washer fluids and waxes, washes and specialty cleaners (for example, Prestone'r' and Simoniz'r');</w:t>
      </w:r>
    </w:p>
    <w:p>
      <w:pPr>
        <w:spacing w:after="0" w:line="209"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brake friction materials, including disc brake pads and drum brake linings, and aftermarket brake hard parts, used for a broad range of car, truck, railway and aerospace applications worldwide; and</w:t>
      </w:r>
    </w:p>
    <w:p>
      <w:pPr>
        <w:spacing w:after="0" w:line="208" w:lineRule="exact"/>
        <w:rPr>
          <w:sz w:val="20"/>
          <w:szCs w:val="20"/>
          <w:color w:val="auto"/>
        </w:rPr>
      </w:pPr>
    </w:p>
    <w:p>
      <w:pPr>
        <w:jc w:val="both"/>
        <w:ind w:left="540" w:right="2239"/>
        <w:spacing w:after="0" w:line="237" w:lineRule="auto"/>
        <w:rPr>
          <w:sz w:val="20"/>
          <w:szCs w:val="20"/>
          <w:color w:val="auto"/>
        </w:rPr>
      </w:pPr>
      <w:r>
        <w:rPr>
          <w:rFonts w:ascii="Courier New" w:cs="Courier New" w:eastAsia="Courier New" w:hAnsi="Courier New"/>
          <w:sz w:val="18"/>
          <w:szCs w:val="18"/>
          <w:color w:val="auto"/>
        </w:rPr>
        <w:t>air brake and filtration systems and components for heavy-duty trucks, tractors, trailers, buses and other commercial vehicles sold through a joint venture owned 65% by AlliedSignal and 35% by Knorr-Bremse AG of Germany.</w:t>
      </w:r>
    </w:p>
    <w:p>
      <w:pPr>
        <w:spacing w:after="0" w:line="207"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6"/>
          <w:szCs w:val="16"/>
          <w:color w:val="auto"/>
        </w:rPr>
        <w:t>This segment accounted for approximately 16% of AlliedSignal's 1998 total sales.</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COMBINATION WITH HONEYWELL INC.</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On June 7, 1999, AlliedSignal and Honeywell announced that they had entered into a merger agreement providing for the combination of the two companies. Under this agreement, AlliedSignal will be renamed Honeywell International Inc. at the effective time of the combination. When the combination is completed, Honeywell shareowners will be entitled to receive 1.875 shares of Honeywell International common stock for each share of Honeywell common stock plus cash in lieu of any fractional shares. Blossom Acquisition Corp., a wholly owned subsidiary of AlliedSignal, will merge with and into Honeywell at the effective time of the combination, and Honeywell will become a wholly owned subsidiary of Honeywell International. The headquarters of Honeywell International will remain in Morris Township, New Jersey at the current location of AlliedSignal's headquarters.</w:t>
      </w:r>
    </w:p>
    <w:p>
      <w:pPr>
        <w:spacing w:after="0" w:line="216"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The combination with Honeywell is subject to approval by both AlliedSignal and Honeywell shareowners and by European Commission and U.S. antitrust regulators, as well as to other customary conditions. We expect that the combination will be completed during the fall of 1999.</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Founded in 1885, Honeywell is one of the leading technology and controls companies in the world, serving customers in homes, commercial buildings, the industrial arena and space and aviation. Honeywell's home and building control business is a global provider of comfortable, healthy, safe and energy-efficient indoor environments, offering more than 3,500 products to both the consumer market and the building industry. The industrial control business of Honeywell is a worldwide leader in automation solutions from sensors to integrated systems, serving industries such as hydrocarbon processing, chemicals and pulp and paper. Honeywell's space and aviation control business is a leading supplier of avionics systems and products for the commercial,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520" w:right="1440" w:bottom="773" w:gutter="0" w:footer="0" w:header="0"/>
        </w:sectPr>
      </w:pPr>
    </w:p>
    <w:bookmarkStart w:id="35" w:name="page36"/>
    <w:bookmarkEnd w:id="35"/>
    <w:p>
      <w:pPr>
        <w:ind w:right="2019"/>
        <w:spacing w:after="0" w:line="236" w:lineRule="auto"/>
        <w:rPr>
          <w:sz w:val="20"/>
          <w:szCs w:val="20"/>
          <w:color w:val="auto"/>
        </w:rPr>
      </w:pPr>
      <w:r>
        <w:rPr>
          <w:rFonts w:ascii="Courier New" w:cs="Courier New" w:eastAsia="Courier New" w:hAnsi="Courier New"/>
          <w:sz w:val="18"/>
          <w:szCs w:val="18"/>
          <w:color w:val="auto"/>
        </w:rPr>
        <w:t>military and space markets with customers ranging from aircraft manufacturers and business aircraft operators to prime space contractors and the U.S. government.</w:t>
      </w:r>
    </w:p>
    <w:p>
      <w:pPr>
        <w:spacing w:after="0" w:line="208" w:lineRule="exact"/>
        <w:rPr>
          <w:sz w:val="20"/>
          <w:szCs w:val="20"/>
          <w:color w:val="auto"/>
        </w:rPr>
      </w:pPr>
    </w:p>
    <w:p>
      <w:pPr>
        <w:ind w:right="1699" w:firstLine="421"/>
        <w:spacing w:after="0" w:line="272" w:lineRule="auto"/>
        <w:rPr>
          <w:sz w:val="20"/>
          <w:szCs w:val="20"/>
          <w:color w:val="auto"/>
        </w:rPr>
      </w:pPr>
      <w:r>
        <w:rPr>
          <w:rFonts w:ascii="Courier New" w:cs="Courier New" w:eastAsia="Courier New" w:hAnsi="Courier New"/>
          <w:sz w:val="16"/>
          <w:szCs w:val="16"/>
          <w:color w:val="auto"/>
        </w:rPr>
        <w:t>For more information about the proposed combination with Honeywell, we refer you to our joint proxy statement/prospectus dated July 23, 1999 that we filed with the SEC (Registration No. 333-82049), a copy of which is available to you upon request. See 'Where You Can Find More Information About AlliedSignal'. We will provide updated information about the combination with Honeywell in the prospectus supplement relating to a series of debt securities.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RATIO OF EARNINGS TO FIXED CHARGES AND PREFERRED STOCK DIVIDENDS</w:t>
      </w:r>
    </w:p>
    <w:p>
      <w:pPr>
        <w:spacing w:after="0" w:line="207" w:lineRule="exact"/>
        <w:rPr>
          <w:sz w:val="20"/>
          <w:szCs w:val="20"/>
          <w:color w:val="auto"/>
        </w:rPr>
      </w:pPr>
    </w:p>
    <w:p>
      <w:pPr>
        <w:ind w:right="1699" w:firstLine="421"/>
        <w:spacing w:after="0" w:line="290" w:lineRule="auto"/>
        <w:rPr>
          <w:sz w:val="20"/>
          <w:szCs w:val="20"/>
          <w:color w:val="auto"/>
        </w:rPr>
      </w:pPr>
      <w:r>
        <w:rPr>
          <w:rFonts w:ascii="Courier New" w:cs="Courier New" w:eastAsia="Courier New" w:hAnsi="Courier New"/>
          <w:sz w:val="16"/>
          <w:szCs w:val="16"/>
          <w:color w:val="auto"/>
        </w:rPr>
        <w:t>The following table sets forth the historical ratios of earnings to fixed charges and preferred stock dividends of AlliedSignal for the periods indicated:</w:t>
      </w:r>
    </w:p>
    <w:p>
      <w:pPr>
        <w:sectPr>
          <w:pgSz w:w="11900" w:h="16838" w:orient="portrait"/>
          <w:cols w:equalWidth="0" w:num="1">
            <w:col w:w="10139"/>
          </w:cols>
          <w:pgMar w:left="320" w:top="5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SIX MONTHS</w:t>
      </w:r>
    </w:p>
    <w:p>
      <w:pPr>
        <w:ind w:left="740"/>
        <w:spacing w:after="0" w:line="238" w:lineRule="auto"/>
        <w:rPr>
          <w:sz w:val="20"/>
          <w:szCs w:val="20"/>
          <w:color w:val="auto"/>
        </w:rPr>
      </w:pPr>
      <w:r>
        <w:rPr>
          <w:rFonts w:ascii="Courier New" w:cs="Courier New" w:eastAsia="Courier New" w:hAnsi="Courier New"/>
          <w:sz w:val="18"/>
          <w:szCs w:val="18"/>
          <w:color w:val="auto"/>
        </w:rPr>
        <w:t>ENDED</w:t>
      </w:r>
    </w:p>
    <w:p>
      <w:pPr>
        <w:ind w:left="64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p>
    <w:p>
      <w:pPr>
        <w:spacing w:after="0"/>
        <w:tabs>
          <w:tab w:leader="none" w:pos="1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YEARS ENDED DECEMBER 31,</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460" w:val="left"/>
          <w:tab w:leader="none" w:pos="2940" w:val="left"/>
          <w:tab w:leader="none" w:pos="4400" w:val="left"/>
          <w:tab w:leader="none" w:pos="58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ind w:left="220"/>
        <w:spacing w:after="0" w:line="238" w:lineRule="auto"/>
        <w:tabs>
          <w:tab w:leader="none" w:pos="1660" w:val="left"/>
          <w:tab w:leader="none" w:pos="3140" w:val="left"/>
          <w:tab w:leader="none" w:pos="4620" w:val="left"/>
          <w:tab w:leader="none" w:pos="60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2340" w:space="720"/>
            <w:col w:w="7079"/>
          </w:cols>
          <w:pgMar w:left="320" w:top="520" w:right="1440" w:bottom="0" w:gutter="0" w:footer="0" w:header="0"/>
          <w:type w:val="continuous"/>
        </w:sectPr>
      </w:pPr>
    </w:p>
    <w:p>
      <w:pPr>
        <w:spacing w:after="0" w:line="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11.25</w:t>
      </w:r>
      <w:r>
        <w:rPr>
          <w:sz w:val="20"/>
          <w:szCs w:val="20"/>
          <w:color w:val="auto"/>
        </w:rPr>
        <w:tab/>
      </w:r>
      <w:r>
        <w:rPr>
          <w:rFonts w:ascii="Courier New" w:cs="Courier New" w:eastAsia="Courier New" w:hAnsi="Courier New"/>
          <w:sz w:val="16"/>
          <w:szCs w:val="16"/>
          <w:color w:val="auto"/>
        </w:rPr>
        <w:t>10.75</w:t>
      </w:r>
    </w:p>
    <w:p>
      <w:pPr>
        <w:spacing w:after="0" w:line="20" w:lineRule="exact"/>
        <w:rPr>
          <w:sz w:val="20"/>
          <w:szCs w:val="20"/>
          <w:color w:val="auto"/>
        </w:rPr>
      </w:pPr>
      <w:r>
        <w:rPr>
          <w:sz w:val="20"/>
          <w:szCs w:val="20"/>
          <w:color w:val="auto"/>
        </w:rPr>
        <w:br w:type="column"/>
      </w:r>
    </w:p>
    <w:p>
      <w:pPr>
        <w:spacing w:after="0"/>
        <w:tabs>
          <w:tab w:leader="none" w:pos="1460" w:val="left"/>
        </w:tabs>
        <w:rPr>
          <w:sz w:val="20"/>
          <w:szCs w:val="20"/>
          <w:color w:val="auto"/>
        </w:rPr>
      </w:pPr>
      <w:r>
        <w:rPr>
          <w:rFonts w:ascii="Courier New" w:cs="Courier New" w:eastAsia="Courier New" w:hAnsi="Courier New"/>
          <w:sz w:val="18"/>
          <w:szCs w:val="18"/>
          <w:color w:val="auto"/>
        </w:rPr>
        <w:t>9.41</w:t>
      </w:r>
      <w:r>
        <w:rPr>
          <w:sz w:val="20"/>
          <w:szCs w:val="20"/>
          <w:color w:val="auto"/>
        </w:rPr>
        <w:tab/>
      </w:r>
      <w:r>
        <w:rPr>
          <w:rFonts w:ascii="Courier New" w:cs="Courier New" w:eastAsia="Courier New" w:hAnsi="Courier New"/>
          <w:sz w:val="16"/>
          <w:szCs w:val="16"/>
          <w:color w:val="auto"/>
        </w:rPr>
        <w:t>8.20</w:t>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Courier New" w:cs="Courier New" w:eastAsia="Courier New" w:hAnsi="Courier New"/>
          <w:sz w:val="18"/>
          <w:szCs w:val="18"/>
          <w:color w:val="auto"/>
        </w:rPr>
        <w:t>7.28</w:t>
      </w:r>
      <w:r>
        <w:rPr>
          <w:sz w:val="20"/>
          <w:szCs w:val="20"/>
          <w:color w:val="auto"/>
        </w:rPr>
        <w:tab/>
      </w:r>
      <w:r>
        <w:rPr>
          <w:rFonts w:ascii="Courier New" w:cs="Courier New" w:eastAsia="Courier New" w:hAnsi="Courier New"/>
          <w:sz w:val="16"/>
          <w:szCs w:val="16"/>
          <w:color w:val="auto"/>
        </w:rPr>
        <w:t>6.25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6.21</w:t>
      </w:r>
    </w:p>
    <w:p>
      <w:pPr>
        <w:spacing w:after="0" w:line="216" w:lineRule="exact"/>
        <w:rPr>
          <w:sz w:val="20"/>
          <w:szCs w:val="20"/>
          <w:color w:val="auto"/>
        </w:rPr>
      </w:pPr>
    </w:p>
    <w:p>
      <w:pPr>
        <w:sectPr>
          <w:pgSz w:w="11900" w:h="16838" w:orient="portrait"/>
          <w:cols w:equalWidth="0" w:num="4">
            <w:col w:w="2340" w:space="720"/>
            <w:col w:w="2240" w:space="720"/>
            <w:col w:w="2220" w:space="720"/>
            <w:col w:w="1179"/>
          </w:cols>
          <w:pgMar w:left="320" w:top="520"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ratio of earnings to fixed charges is generally computed by dividing the sum of net income, income taxes and fixed charges (net of capitalized interest) less undistributed equity income by fixed charges. Fixed charges represent gross interest and amortization of debt discount and expense and the interest factor of all rentals, consisting of an appropriate interest factor on operating leases.</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the net proceeds we receive from the sale of the securities offered by this prospectus and the accompanying prospectus supplement will be used for general corporate purposes. General corporate purposes may include the repayment of debt, investments in or extensions of credit to our subsidiaries, or the financing of possible acquisitions or business expansion. The net proceeds may be invested temporarily or applied to repay short-term debt until they are used for their stated purpose.</w:t>
      </w:r>
    </w:p>
    <w:p>
      <w:pPr>
        <w:spacing w:after="0" w:line="206"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2119" w:firstLine="421"/>
        <w:spacing w:after="0" w:line="237" w:lineRule="auto"/>
        <w:rPr>
          <w:sz w:val="20"/>
          <w:szCs w:val="20"/>
          <w:color w:val="auto"/>
        </w:rPr>
      </w:pPr>
      <w:r>
        <w:rPr>
          <w:rFonts w:ascii="Courier New" w:cs="Courier New" w:eastAsia="Courier New" w:hAnsi="Courier New"/>
          <w:sz w:val="18"/>
          <w:szCs w:val="18"/>
          <w:color w:val="auto"/>
        </w:rPr>
        <w:t>The following description of the terms of the debt securities sets forth certain general terms that may apply to the debt securities. The particular terms of any debt securities will be described in the related prospectus supplement.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Debt securities will be our unsecured, unsubordinated debt securities. They will be issued under an indenture dated as of October 1, 1985, as amended by a first supplemental indenture dated as of February 1, 1991 and a second supplemental indenture dated as of November 1, 1997, between us and The Chase Manhattan Bank, as trustee.</w:t>
      </w:r>
    </w:p>
    <w:p>
      <w:pPr>
        <w:spacing w:after="0" w:line="208"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The following summary of certain provisions of the indenture is not complete. You should refer to the indenture (including the amendments to it) which are exhibits to the registration statement of which this prospectus is a part (Registration No. 333-86157). The indenture has been qualified under the Trust Indenture Act. Section references below are to the section in the indenture. The referenced sections of the indenture and the definitions of capitalized terms in the indenture are incorporated by reference in this prospectus.</w:t>
      </w:r>
    </w:p>
    <w:p>
      <w:pPr>
        <w:spacing w:after="0" w:line="212"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The indenture does not limit the amount of debt that we may issue. The indenture provides that debt securities may be issued thereunder up to the principal amount authorized by us from time to time. We have issued $1,609,760,000 principal amount of debt securities under our existing indenture with The Chase Manhattan Bank as of the date of this prospectus.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520" w:right="1440" w:bottom="0" w:gutter="0" w:footer="0" w:header="0"/>
          <w:type w:val="continuous"/>
        </w:sectPr>
      </w:pPr>
    </w:p>
    <w:bookmarkStart w:id="36" w:name="page37"/>
    <w:bookmarkEnd w:id="36"/>
    <w:p>
      <w:pPr>
        <w:ind w:right="1699" w:firstLine="421"/>
        <w:spacing w:after="0" w:line="237" w:lineRule="auto"/>
        <w:rPr>
          <w:sz w:val="20"/>
          <w:szCs w:val="20"/>
          <w:color w:val="auto"/>
        </w:rPr>
      </w:pPr>
      <w:r>
        <w:rPr>
          <w:rFonts w:ascii="Courier New" w:cs="Courier New" w:eastAsia="Courier New" w:hAnsi="Courier New"/>
          <w:sz w:val="18"/>
          <w:szCs w:val="18"/>
          <w:color w:val="auto"/>
        </w:rPr>
        <w:t>The debt securities may be issued in one or more separate series. The prospectus supplement relating to the particular series of debt securities being offered will specify the particular amounts, prices and terms of those debt securities. These terms may include: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title and type of the debt securities;</w:t>
      </w:r>
    </w:p>
    <w:p>
      <w:pPr>
        <w:spacing w:after="0" w:line="207" w:lineRule="exact"/>
        <w:rPr>
          <w:sz w:val="20"/>
          <w:szCs w:val="20"/>
          <w:color w:val="auto"/>
        </w:rPr>
      </w:pPr>
    </w:p>
    <w:p>
      <w:pPr>
        <w:ind w:left="540" w:right="1919"/>
        <w:spacing w:after="0" w:line="290" w:lineRule="auto"/>
        <w:rPr>
          <w:sz w:val="20"/>
          <w:szCs w:val="20"/>
          <w:color w:val="auto"/>
        </w:rPr>
      </w:pPr>
      <w:r>
        <w:rPr>
          <w:rFonts w:ascii="Courier New" w:cs="Courier New" w:eastAsia="Courier New" w:hAnsi="Courier New"/>
          <w:sz w:val="16"/>
          <w:szCs w:val="16"/>
          <w:color w:val="auto"/>
        </w:rPr>
        <w:t>any limit on the aggregate principal amount or aggregate initial offering price of the debt securities and the amount payable upon acceleration;</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 price of the debt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dates on which the principal of the debt securities will be payable;</w:t>
      </w:r>
    </w:p>
    <w:p>
      <w:pPr>
        <w:spacing w:after="0" w:line="207" w:lineRule="exact"/>
        <w:rPr>
          <w:sz w:val="20"/>
          <w:szCs w:val="20"/>
          <w:color w:val="auto"/>
        </w:rPr>
      </w:pPr>
    </w:p>
    <w:p>
      <w:pPr>
        <w:jc w:val="both"/>
        <w:ind w:left="540" w:right="2119"/>
        <w:spacing w:after="0" w:line="279" w:lineRule="auto"/>
        <w:rPr>
          <w:sz w:val="20"/>
          <w:szCs w:val="20"/>
          <w:color w:val="auto"/>
        </w:rPr>
      </w:pPr>
      <w:r>
        <w:rPr>
          <w:rFonts w:ascii="Courier New" w:cs="Courier New" w:eastAsia="Courier New" w:hAnsi="Courier New"/>
          <w:sz w:val="16"/>
          <w:szCs w:val="16"/>
          <w:color w:val="auto"/>
        </w:rPr>
        <w:t>the interest rates (including the interest rates, if any, applicable to overdue payments) of the debt securities, or the method for determining those rates, and the interest payment dates for the debt securities;</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places where payments may be made on the debt securities;</w:t>
      </w:r>
    </w:p>
    <w:p>
      <w:pPr>
        <w:spacing w:after="0" w:line="207" w:lineRule="exact"/>
        <w:rPr>
          <w:sz w:val="20"/>
          <w:szCs w:val="20"/>
          <w:color w:val="auto"/>
        </w:rPr>
      </w:pPr>
    </w:p>
    <w:p>
      <w:pPr>
        <w:ind w:left="540" w:right="2239"/>
        <w:spacing w:after="0" w:line="235" w:lineRule="auto"/>
        <w:rPr>
          <w:sz w:val="20"/>
          <w:szCs w:val="20"/>
          <w:color w:val="auto"/>
        </w:rPr>
      </w:pPr>
      <w:r>
        <w:rPr>
          <w:rFonts w:ascii="Courier New" w:cs="Courier New" w:eastAsia="Courier New" w:hAnsi="Courier New"/>
          <w:sz w:val="18"/>
          <w:szCs w:val="18"/>
          <w:color w:val="auto"/>
        </w:rPr>
        <w:t>any mandatory or optional redemption provisions applicable to the debt securities;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any sinking fund or analogous provisions applicable to the debt securities;</w:t>
      </w:r>
    </w:p>
    <w:p>
      <w:pPr>
        <w:spacing w:after="0" w:line="224" w:lineRule="exact"/>
        <w:rPr>
          <w:sz w:val="20"/>
          <w:szCs w:val="20"/>
          <w:color w:val="auto"/>
        </w:rPr>
      </w:pPr>
    </w:p>
    <w:p>
      <w:pPr>
        <w:ind w:left="540" w:right="1919"/>
        <w:spacing w:after="0" w:line="235" w:lineRule="auto"/>
        <w:rPr>
          <w:sz w:val="20"/>
          <w:szCs w:val="20"/>
          <w:color w:val="auto"/>
        </w:rPr>
      </w:pPr>
      <w:r>
        <w:rPr>
          <w:rFonts w:ascii="Courier New" w:cs="Courier New" w:eastAsia="Courier New" w:hAnsi="Courier New"/>
          <w:sz w:val="18"/>
          <w:szCs w:val="18"/>
          <w:color w:val="auto"/>
        </w:rPr>
        <w:t>the authorized denominations of the debt securities, if other than $1,000 and integral multiples of $1,000;</w:t>
      </w:r>
    </w:p>
    <w:p>
      <w:pPr>
        <w:spacing w:after="0" w:line="208" w:lineRule="exact"/>
        <w:rPr>
          <w:sz w:val="20"/>
          <w:szCs w:val="20"/>
          <w:color w:val="auto"/>
        </w:rPr>
      </w:pPr>
    </w:p>
    <w:p>
      <w:pPr>
        <w:ind w:left="540" w:right="1819"/>
        <w:spacing w:after="0" w:line="237" w:lineRule="auto"/>
        <w:rPr>
          <w:sz w:val="20"/>
          <w:szCs w:val="20"/>
          <w:color w:val="auto"/>
        </w:rPr>
      </w:pPr>
      <w:r>
        <w:rPr>
          <w:rFonts w:ascii="Courier New" w:cs="Courier New" w:eastAsia="Courier New" w:hAnsi="Courier New"/>
          <w:sz w:val="18"/>
          <w:szCs w:val="18"/>
          <w:color w:val="auto"/>
        </w:rPr>
        <w:t>if other than U.S. dollars, the currency, currencies or composite currencies, in which purchase price and/or payments on the debt securities will be payable (which currencies may be different for principal, premium and interest payments);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conversion or exchange provisions applicable to the debt securities;</w:t>
      </w:r>
    </w:p>
    <w:p>
      <w:pPr>
        <w:spacing w:after="0" w:line="207"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any additional events of default applicable to the debt securities not set forth in the indenture; and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other specific terms of the debt securities.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Some of the debt securities may be issued as original issue discount debt securities. Original issue discount debt securities bear no interest or bear interest at below-market rates and will be sold at a discount below their stated principal amount. The prospectus supplement will also contain any special tax, accounting or other information relating to original issue discount debt securities or relating to certain other kinds of debt securities that may be offered, including debt securities linked to an index or payable in currencies other than U.S. dollars.</w:t>
      </w:r>
    </w:p>
    <w:p>
      <w:pPr>
        <w:spacing w:after="0" w:line="212"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The debt securities will be issued only in fully registered form without coupons. The indenture also provides that debt securities of a series may be issued as permanent global debt securities. See ' -- Permanent Global Debt Securities' and 'Book-Entry Issuance' below. No service charge will be made for any transfer or exchange of debt securities, but we may require payment of any taxes or other governmental charges.</w:t>
      </w:r>
    </w:p>
    <w:p>
      <w:pPr>
        <w:spacing w:after="0" w:line="209"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Principal of and any premium and interest on the debt securities will be payable at the corporate trust office of the trustee in New York City. Transfers or exchanges of debt securities may be made at the same location. Payment of interest on any debt securities may be made at our option by check mailed to the registered holders of the debt securities at their registered addresses. In connection with any payment on a debt security, we may require the holder to certify information to us. In the absence of such certification, we may rely on any legal presumption to determine whether we must deduct or withhold taxes, assessments or governmental charges from a payment.</w:t>
      </w:r>
    </w:p>
    <w:p>
      <w:pPr>
        <w:spacing w:after="0" w:line="213"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We may at any time repurchase debt securities at any price on the open market or otherwise. We may in our discretion hold, resell or surrender to the trustee for cancellation any debt securities that we acquire.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520"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699" w:firstLine="421"/>
        <w:spacing w:after="0" w:line="271" w:lineRule="auto"/>
        <w:rPr>
          <w:sz w:val="20"/>
          <w:szCs w:val="20"/>
          <w:color w:val="auto"/>
        </w:rPr>
      </w:pPr>
      <w:r>
        <w:rPr>
          <w:rFonts w:ascii="Courier New" w:cs="Courier New" w:eastAsia="Courier New" w:hAnsi="Courier New"/>
          <w:sz w:val="16"/>
          <w:szCs w:val="16"/>
          <w:color w:val="auto"/>
        </w:rPr>
        <w:t>The indenture does not limit our ability to enter into highly leveraged transactions, nor does it provide special protection to holders of debt securities in the event of such transactions. The indenture does not provide special protection in the event of a sudden and dramatic decline in our credit quality resulting from a takeover, recapitalization or similar restructuring. In addition, the indenture does not limit the amount of indebtedness incurred by our subsidiaries. The covenants contained in the indenture are set forth below.</w:t>
      </w:r>
    </w:p>
    <w:p>
      <w:pPr>
        <w:spacing w:after="0" w:line="187" w:lineRule="exact"/>
        <w:rPr>
          <w:sz w:val="20"/>
          <w:szCs w:val="20"/>
          <w:color w:val="auto"/>
        </w:rPr>
      </w:pPr>
    </w:p>
    <w:p>
      <w:pPr>
        <w:ind w:right="1919" w:firstLine="421"/>
        <w:spacing w:after="0" w:line="235" w:lineRule="auto"/>
        <w:rPr>
          <w:sz w:val="20"/>
          <w:szCs w:val="20"/>
          <w:color w:val="auto"/>
        </w:rPr>
      </w:pPr>
      <w:r>
        <w:rPr>
          <w:rFonts w:ascii="Courier New" w:cs="Courier New" w:eastAsia="Courier New" w:hAnsi="Courier New"/>
          <w:sz w:val="18"/>
          <w:szCs w:val="18"/>
          <w:color w:val="auto"/>
        </w:rPr>
        <w:t>Limitation on Liens. In the indenture, we covenant not to issue, assume or guarantee any indebtedness for borrowed money secured by liens 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property located in the United States which is</w:t>
      </w:r>
    </w:p>
    <w:p>
      <w:pPr>
        <w:spacing w:after="0" w:line="207" w:lineRule="exact"/>
        <w:rPr>
          <w:sz w:val="20"/>
          <w:szCs w:val="20"/>
          <w:color w:val="auto"/>
        </w:rPr>
      </w:pPr>
    </w:p>
    <w:p>
      <w:pPr>
        <w:ind w:left="1060" w:right="2019" w:hanging="420"/>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our board of directors, a principal manufacturing property, or</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oil, gas or mineral producing property, or</w:t>
      </w:r>
    </w:p>
    <w:p>
      <w:pPr>
        <w:spacing w:after="0" w:line="207" w:lineRule="exact"/>
        <w:rPr>
          <w:sz w:val="20"/>
          <w:szCs w:val="20"/>
          <w:color w:val="auto"/>
        </w:rPr>
      </w:pPr>
    </w:p>
    <w:p>
      <w:pPr>
        <w:ind w:left="540" w:right="1919"/>
        <w:spacing w:after="0" w:line="235" w:lineRule="auto"/>
        <w:rPr>
          <w:sz w:val="20"/>
          <w:szCs w:val="20"/>
          <w:color w:val="auto"/>
        </w:rPr>
      </w:pPr>
      <w:r>
        <w:rPr>
          <w:rFonts w:ascii="Courier New" w:cs="Courier New" w:eastAsia="Courier New" w:hAnsi="Courier New"/>
          <w:sz w:val="18"/>
          <w:szCs w:val="18"/>
          <w:color w:val="auto"/>
        </w:rPr>
        <w:t>any shares of capital stock or indebtedness of any subsidiary owning such property,</w:t>
      </w:r>
    </w:p>
    <w:p>
      <w:pPr>
        <w:spacing w:after="0" w:line="208"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without equally and ratably securing the debt securities, subject to certain exceptions specified in the indenture. These exceptions include:</w:t>
      </w:r>
    </w:p>
    <w:p>
      <w:pPr>
        <w:spacing w:after="0" w:line="208"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existing liens on our property or liens on property of corporations at the time such corporations become subsidiaries of or are merged with us;</w:t>
      </w:r>
    </w:p>
    <w:p>
      <w:pPr>
        <w:spacing w:after="0" w:line="208" w:lineRule="exact"/>
        <w:rPr>
          <w:sz w:val="20"/>
          <w:szCs w:val="20"/>
          <w:color w:val="auto"/>
        </w:rPr>
      </w:pPr>
    </w:p>
    <w:p>
      <w:pPr>
        <w:ind w:left="540" w:right="2439"/>
        <w:spacing w:after="0" w:line="235" w:lineRule="auto"/>
        <w:rPr>
          <w:sz w:val="20"/>
          <w:szCs w:val="20"/>
          <w:color w:val="auto"/>
        </w:rPr>
      </w:pPr>
      <w:r>
        <w:rPr>
          <w:rFonts w:ascii="Courier New" w:cs="Courier New" w:eastAsia="Courier New" w:hAnsi="Courier New"/>
          <w:sz w:val="18"/>
          <w:szCs w:val="18"/>
          <w:color w:val="auto"/>
        </w:rPr>
        <w:t>liens existing on property when acquired, or incurred to finance the purchase price thereof;</w:t>
      </w:r>
    </w:p>
    <w:p>
      <w:pPr>
        <w:spacing w:after="0" w:line="208" w:lineRule="exact"/>
        <w:rPr>
          <w:sz w:val="20"/>
          <w:szCs w:val="20"/>
          <w:color w:val="auto"/>
        </w:rPr>
      </w:pPr>
    </w:p>
    <w:p>
      <w:pPr>
        <w:ind w:left="540" w:right="2019"/>
        <w:spacing w:after="0" w:line="235" w:lineRule="auto"/>
        <w:rPr>
          <w:sz w:val="20"/>
          <w:szCs w:val="20"/>
          <w:color w:val="auto"/>
        </w:rPr>
      </w:pPr>
      <w:r>
        <w:rPr>
          <w:rFonts w:ascii="Courier New" w:cs="Courier New" w:eastAsia="Courier New" w:hAnsi="Courier New"/>
          <w:sz w:val="18"/>
          <w:szCs w:val="18"/>
          <w:color w:val="auto"/>
        </w:rPr>
        <w:t>certain liens on property to secure the cost of exploration, drilling or development of, or improvements on, such property;</w:t>
      </w:r>
    </w:p>
    <w:p>
      <w:pPr>
        <w:spacing w:after="0" w:line="208" w:lineRule="exact"/>
        <w:rPr>
          <w:sz w:val="20"/>
          <w:szCs w:val="20"/>
          <w:color w:val="auto"/>
        </w:rPr>
      </w:pPr>
    </w:p>
    <w:p>
      <w:pPr>
        <w:ind w:left="540" w:right="2439"/>
        <w:spacing w:after="0" w:line="235" w:lineRule="auto"/>
        <w:rPr>
          <w:sz w:val="20"/>
          <w:szCs w:val="20"/>
          <w:color w:val="auto"/>
        </w:rPr>
      </w:pPr>
      <w:r>
        <w:rPr>
          <w:rFonts w:ascii="Courier New" w:cs="Courier New" w:eastAsia="Courier New" w:hAnsi="Courier New"/>
          <w:sz w:val="18"/>
          <w:szCs w:val="18"/>
          <w:color w:val="auto"/>
        </w:rPr>
        <w:t>certain liens in favor of or required by contracts with governmental entities; and</w:t>
      </w:r>
    </w:p>
    <w:p>
      <w:pPr>
        <w:spacing w:after="0" w:line="208" w:lineRule="exact"/>
        <w:rPr>
          <w:sz w:val="20"/>
          <w:szCs w:val="20"/>
          <w:color w:val="auto"/>
        </w:rPr>
      </w:pPr>
    </w:p>
    <w:p>
      <w:pPr>
        <w:ind w:left="540" w:right="1919"/>
        <w:spacing w:after="0" w:line="236" w:lineRule="auto"/>
        <w:rPr>
          <w:sz w:val="20"/>
          <w:szCs w:val="20"/>
          <w:color w:val="auto"/>
        </w:rPr>
      </w:pPr>
      <w:r>
        <w:rPr>
          <w:rFonts w:ascii="Courier New" w:cs="Courier New" w:eastAsia="Courier New" w:hAnsi="Courier New"/>
          <w:sz w:val="18"/>
          <w:szCs w:val="18"/>
          <w:color w:val="auto"/>
        </w:rPr>
        <w:t>indebtedness secured by liens otherwise prohibited by such covenant not exceeding 10% of the consolidated net tangible assets of AlliedSignal and our consolidated subsidiaries (Sections 101 and 1005).</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Transfers of oil, gas or other minerals in place for a period of time until the transferee receives a specified amount of money or of such minerals or any other transfers commonly referred to as 'production payments,' are outside the scope of this covenant and are permitted without restriction.</w:t>
      </w:r>
    </w:p>
    <w:p>
      <w:pPr>
        <w:spacing w:after="0" w:line="207" w:lineRule="exact"/>
        <w:rPr>
          <w:sz w:val="20"/>
          <w:szCs w:val="20"/>
          <w:color w:val="auto"/>
        </w:rPr>
      </w:pPr>
    </w:p>
    <w:p>
      <w:pPr>
        <w:ind w:right="1819" w:firstLine="421"/>
        <w:spacing w:after="0" w:line="236" w:lineRule="auto"/>
        <w:rPr>
          <w:sz w:val="20"/>
          <w:szCs w:val="20"/>
          <w:color w:val="auto"/>
        </w:rPr>
      </w:pPr>
      <w:r>
        <w:rPr>
          <w:rFonts w:ascii="Courier New" w:cs="Courier New" w:eastAsia="Courier New" w:hAnsi="Courier New"/>
          <w:sz w:val="18"/>
          <w:szCs w:val="18"/>
          <w:color w:val="auto"/>
        </w:rPr>
        <w:t>Limitation on Sale and Lease-Back Transactions. We also covenant not to enter into any sale and lease-back transaction covering any property located in the United States which is</w:t>
      </w:r>
    </w:p>
    <w:p>
      <w:pPr>
        <w:spacing w:after="0" w:line="208" w:lineRule="exact"/>
        <w:rPr>
          <w:sz w:val="20"/>
          <w:szCs w:val="20"/>
          <w:color w:val="auto"/>
        </w:rPr>
      </w:pPr>
    </w:p>
    <w:p>
      <w:pPr>
        <w:ind w:left="540" w:right="2559"/>
        <w:spacing w:after="0" w:line="235" w:lineRule="auto"/>
        <w:rPr>
          <w:sz w:val="20"/>
          <w:szCs w:val="20"/>
          <w:color w:val="auto"/>
        </w:rPr>
      </w:pPr>
      <w:r>
        <w:rPr>
          <w:rFonts w:ascii="Courier New" w:cs="Courier New" w:eastAsia="Courier New" w:hAnsi="Courier New"/>
          <w:sz w:val="18"/>
          <w:szCs w:val="18"/>
          <w:color w:val="auto"/>
        </w:rPr>
        <w:t>in the opinion of our board of directors, a principal manufacturing property, or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oil, gas or mineral producing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unless:</w:t>
      </w:r>
    </w:p>
    <w:p>
      <w:pPr>
        <w:spacing w:after="0" w:line="207"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we would be entitled under the provisions described under ' -- Limitation on Liens' to incur debt equal to the value of such sale and lease-back transaction, secured by liens on the property to be leased, without equally securing the outstanding debt securities; or</w:t>
      </w:r>
    </w:p>
    <w:p>
      <w:pPr>
        <w:spacing w:after="0" w:line="207"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we, during the four months following the effective date of such sale and lease-back transaction, apply an amount equal to the value of such sale and lease-back transaction to the voluntary retirement of long-term indebtedness of AlliedSignal or our subsidiaries (Sections 101 and 1006).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We may, without the consent of the holders of any debt securities, consolidate or merge with any other person or transfer or lease all or substantially all of our assets to another person or permit another corporation to merge into AlliedSignal, provided that: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successor is a person organized under U.S. law;</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514" w:right="1440" w:bottom="0" w:gutter="0" w:footer="0" w:header="0"/>
        </w:sectPr>
      </w:pPr>
    </w:p>
    <w:bookmarkStart w:id="38" w:name="page39"/>
    <w:bookmarkEnd w:id="38"/>
    <w:p>
      <w:pPr>
        <w:ind w:left="540" w:right="1919"/>
        <w:spacing w:after="0" w:line="235" w:lineRule="auto"/>
        <w:rPr>
          <w:sz w:val="20"/>
          <w:szCs w:val="20"/>
          <w:color w:val="auto"/>
        </w:rPr>
      </w:pPr>
      <w:r>
        <w:rPr>
          <w:rFonts w:ascii="Courier New" w:cs="Courier New" w:eastAsia="Courier New" w:hAnsi="Courier New"/>
          <w:sz w:val="18"/>
          <w:szCs w:val="18"/>
          <w:color w:val="auto"/>
        </w:rPr>
        <w:t>the successor person, if not AlliedSignal, assumes our obligations on the debt securities and under the indenture;</w:t>
      </w:r>
    </w:p>
    <w:p>
      <w:pPr>
        <w:spacing w:after="0" w:line="208" w:lineRule="exact"/>
        <w:rPr>
          <w:sz w:val="20"/>
          <w:szCs w:val="20"/>
          <w:color w:val="auto"/>
        </w:rPr>
      </w:pPr>
    </w:p>
    <w:p>
      <w:pPr>
        <w:ind w:left="540" w:right="1919"/>
        <w:spacing w:after="0" w:line="236" w:lineRule="auto"/>
        <w:rPr>
          <w:sz w:val="20"/>
          <w:szCs w:val="20"/>
          <w:color w:val="auto"/>
        </w:rPr>
      </w:pPr>
      <w:r>
        <w:rPr>
          <w:rFonts w:ascii="Courier New" w:cs="Courier New" w:eastAsia="Courier New" w:hAnsi="Courier New"/>
          <w:sz w:val="18"/>
          <w:szCs w:val="18"/>
          <w:color w:val="auto"/>
        </w:rPr>
        <w:t>after giving effect to the transaction, no event of default, and no event which, after notice or lapse of time or both, would become an event of default, shall have occurred and be continuing; and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other conditions are met (Section 801A).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PROVISIONS</w:t>
      </w:r>
    </w:p>
    <w:p>
      <w:pPr>
        <w:spacing w:after="0" w:line="207" w:lineRule="exact"/>
        <w:rPr>
          <w:sz w:val="20"/>
          <w:szCs w:val="20"/>
          <w:color w:val="auto"/>
        </w:rPr>
      </w:pPr>
    </w:p>
    <w:p>
      <w:pPr>
        <w:ind w:right="1699" w:firstLine="421"/>
        <w:spacing w:after="0" w:line="235" w:lineRule="auto"/>
        <w:rPr>
          <w:sz w:val="20"/>
          <w:szCs w:val="20"/>
          <w:color w:val="auto"/>
        </w:rPr>
      </w:pPr>
      <w:r>
        <w:rPr>
          <w:rFonts w:ascii="Courier New" w:cs="Courier New" w:eastAsia="Courier New" w:hAnsi="Courier New"/>
          <w:sz w:val="18"/>
          <w:szCs w:val="18"/>
          <w:color w:val="auto"/>
        </w:rPr>
        <w:t>The indenture contains a provision that, if made applicable to any series of debt securities, permits us to elect:</w:t>
      </w:r>
    </w:p>
    <w:p>
      <w:pPr>
        <w:spacing w:after="0" w:line="208" w:lineRule="exact"/>
        <w:rPr>
          <w:sz w:val="20"/>
          <w:szCs w:val="20"/>
          <w:color w:val="auto"/>
        </w:rPr>
      </w:pPr>
    </w:p>
    <w:p>
      <w:pPr>
        <w:ind w:left="860" w:right="1699" w:hanging="431"/>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defease and be discharged from all of our obligations (except for certain obligations to register the transfer or exchange of debt securities, to replace stolen, lost or mutilated debt securities, to maintain paying agencies and to hold moneys for payment in trust) with respect to any series of debt securities denominated and payable in U.S. dollars then outstanding ('defeasance'); and/or</w:t>
      </w:r>
    </w:p>
    <w:p>
      <w:pPr>
        <w:spacing w:after="0" w:line="209" w:lineRule="exact"/>
        <w:rPr>
          <w:rFonts w:ascii="Courier New" w:cs="Courier New" w:eastAsia="Courier New" w:hAnsi="Courier New"/>
          <w:sz w:val="18"/>
          <w:szCs w:val="18"/>
          <w:color w:val="auto"/>
        </w:rPr>
      </w:pPr>
    </w:p>
    <w:p>
      <w:pPr>
        <w:ind w:left="860" w:right="2019" w:hanging="431"/>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released from our obligations under the covenants set forth in Sections 1005 (limitation on liens) and 1006 (limitation on sale and lease-back transactions) and from the consequences of an event of default resulting from a breach of those covenants or a cross-default ('covenant defeasance') (Sections 403 and 1008).</w:t>
      </w:r>
    </w:p>
    <w:p>
      <w:pPr>
        <w:spacing w:after="0" w:line="208"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To elect defeasance or covenant defeasance, we must deposit in trust with the trustee money and/or U.S. government obligations (which are direct obligations of the United States backed by its full faith and credit) which through the payment of principal and interest in accordance with their terms will provide sufficient money, without reinvestment, to repay in full those debt securities, including any sinking fund obligations (Section 101). As a condition to defeasance or covenant defeasance, we must deliver to the trustee an opinion of counsel that the holders of the debt securities will not recognize income, gain or loss for Federal income tax purposes as a result of the defeasance or covenant defeasance. In the case of defeasance under clause (1) above, that opinion must refer to and be based upon a ruling received by us from the Internal Revenue Service or published as a revenue ruling or upon a change in applicable Federal income tax law, and such defeasance may not result in any series of debt securities, if it is listed for trading on the New York Stock Exchange, being delisted.</w:t>
      </w:r>
    </w:p>
    <w:p>
      <w:pPr>
        <w:spacing w:after="0" w:line="207"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Under Federal income tax law as of the date of this prospectus, defeasance would likely be treated as a taxable exchange of debt securities for interests in the defeasance trust. As a result, a holder would recognize gain or loss equal to the difference between the holder's cost or other tax basis for the debt securities and the value of the holder's proportionate interest in the defeasance trust. That holder would thereafter be required to include in income a proportionate share of the income, gain or loss, as the case may be, of the defeasance trust. Under Federal income tax law as of the date of this prospectus, covenant defeasance would ordinarily not be treated as a taxable exchange of debt securities. Purchasers of debt securities should consult their own advisors as to the tax consequences to them of defeasance and covenant defeasance, including the applicability and effect of tax laws other than the Federal income tax law.</w:t>
      </w:r>
    </w:p>
    <w:p>
      <w:pPr>
        <w:spacing w:after="0" w:line="21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If we exercise our covenant defeasance option with respect to a particular series of debt securities, then even if there were a default under the related covenant, payment of those debt securities could not be accelerated. We may exercise our defeasance option with respect to a particular series of debt securities even if we previously had exercised our covenant defeasance option. If we exercise our defeasance option, payment of those debt securities may not be accelerated because of any event of default. If we exercise our defeasance option or covenant defeasance option and an acceleration were to occur, the realizable value at the acceleration date of the money and U.S. government obligations in the defeasance trust could be less than the principal and interest then due on those debt securities. This is because the required deposit of money and/or U.S. government obligations in the defeasance trust is based upon scheduled cash flows rather than market value, which will vary depending upon interest rates and other factors.</w:t>
      </w: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520" w:right="1440" w:bottom="975"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MODIFICATION</w:t>
      </w:r>
    </w:p>
    <w:p>
      <w:pPr>
        <w:spacing w:after="0" w:line="207" w:lineRule="exact"/>
        <w:rPr>
          <w:sz w:val="20"/>
          <w:szCs w:val="20"/>
          <w:color w:val="auto"/>
        </w:rPr>
      </w:pPr>
    </w:p>
    <w:p>
      <w:pPr>
        <w:ind w:right="1819" w:firstLine="421"/>
        <w:spacing w:after="0" w:line="275" w:lineRule="auto"/>
        <w:rPr>
          <w:sz w:val="20"/>
          <w:szCs w:val="20"/>
          <w:color w:val="auto"/>
        </w:rPr>
      </w:pPr>
      <w:r>
        <w:rPr>
          <w:rFonts w:ascii="Courier New" w:cs="Courier New" w:eastAsia="Courier New" w:hAnsi="Courier New"/>
          <w:sz w:val="16"/>
          <w:szCs w:val="16"/>
          <w:color w:val="auto"/>
        </w:rPr>
        <w:t>We and the trustee may make modifications and amendments to the indenture with the consent of the holders of not less than a majority in principal amount of each series of outstanding debt securities affected by the modification or amendment. Without the consent of each affected holder, no modification may:</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the stated maturity of any debt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reduce the principal amount of any debt securities;</w:t>
      </w:r>
    </w:p>
    <w:p>
      <w:pPr>
        <w:spacing w:after="0" w:line="207"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reduce the rate or extend the time of payment of interest or any premium of any debt securities;</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impair the right to institute suit for the enforcement of any payment on or after its due date; or</w:t>
      </w:r>
    </w:p>
    <w:p>
      <w:pPr>
        <w:spacing w:after="0" w:line="208" w:lineRule="exact"/>
        <w:rPr>
          <w:sz w:val="20"/>
          <w:szCs w:val="20"/>
          <w:color w:val="auto"/>
        </w:rPr>
      </w:pPr>
    </w:p>
    <w:p>
      <w:pPr>
        <w:ind w:left="540" w:right="1919"/>
        <w:spacing w:after="0" w:line="236" w:lineRule="auto"/>
        <w:rPr>
          <w:sz w:val="20"/>
          <w:szCs w:val="20"/>
          <w:color w:val="auto"/>
        </w:rPr>
      </w:pPr>
      <w:r>
        <w:rPr>
          <w:rFonts w:ascii="Courier New" w:cs="Courier New" w:eastAsia="Courier New" w:hAnsi="Courier New"/>
          <w:sz w:val="18"/>
          <w:szCs w:val="18"/>
          <w:color w:val="auto"/>
        </w:rPr>
        <w:t>reduce the percentage of the principal amount of debt securities required to approve any supplemental indenture or any waiver under the indenture (Section 902).</w:t>
      </w:r>
    </w:p>
    <w:p>
      <w:pPr>
        <w:spacing w:after="0" w:line="208" w:lineRule="exact"/>
        <w:rPr>
          <w:sz w:val="20"/>
          <w:szCs w:val="20"/>
          <w:color w:val="auto"/>
        </w:rPr>
      </w:pPr>
    </w:p>
    <w:p>
      <w:pPr>
        <w:ind w:right="2439" w:firstLine="421"/>
        <w:spacing w:after="0" w:line="235" w:lineRule="auto"/>
        <w:rPr>
          <w:sz w:val="20"/>
          <w:szCs w:val="20"/>
          <w:color w:val="auto"/>
        </w:rPr>
      </w:pPr>
      <w:r>
        <w:rPr>
          <w:rFonts w:ascii="Courier New" w:cs="Courier New" w:eastAsia="Courier New" w:hAnsi="Courier New"/>
          <w:sz w:val="18"/>
          <w:szCs w:val="18"/>
          <w:color w:val="auto"/>
        </w:rPr>
        <w:t>We and the trustee may amend the indenture without the consent of the holders of debt securities: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reflect our merger with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replace the trustee;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issue a new series of debt securities;</w:t>
      </w:r>
    </w:p>
    <w:p>
      <w:pPr>
        <w:spacing w:after="0" w:line="207"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to effect modifications that do not adversely affect any outstanding series of debt securities; and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certain other purposes (Section 901).</w:t>
      </w:r>
    </w:p>
    <w:p>
      <w:pPr>
        <w:spacing w:after="0" w:line="207" w:lineRule="exact"/>
        <w:rPr>
          <w:sz w:val="20"/>
          <w:szCs w:val="20"/>
          <w:color w:val="auto"/>
        </w:rPr>
      </w:pPr>
    </w:p>
    <w:p>
      <w:pPr>
        <w:ind w:right="1699" w:firstLine="421"/>
        <w:spacing w:after="0" w:line="236" w:lineRule="auto"/>
        <w:rPr>
          <w:sz w:val="20"/>
          <w:szCs w:val="20"/>
          <w:color w:val="auto"/>
        </w:rPr>
      </w:pPr>
      <w:r>
        <w:rPr>
          <w:rFonts w:ascii="Courier New" w:cs="Courier New" w:eastAsia="Courier New" w:hAnsi="Courier New"/>
          <w:sz w:val="18"/>
          <w:szCs w:val="18"/>
          <w:color w:val="auto"/>
        </w:rPr>
        <w:t>Any modification of the indenture subordinating any series of debt securities issued under it to any other indebtedness of AlliedSignal will not be effective without each holder's consent.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WAIVER</w:t>
      </w:r>
    </w:p>
    <w:p>
      <w:pPr>
        <w:spacing w:after="0" w:line="207" w:lineRule="exact"/>
        <w:rPr>
          <w:sz w:val="20"/>
          <w:szCs w:val="20"/>
          <w:color w:val="auto"/>
        </w:rPr>
      </w:pPr>
    </w:p>
    <w:p>
      <w:pPr>
        <w:ind w:right="1699" w:firstLine="421"/>
        <w:spacing w:after="0" w:line="235" w:lineRule="auto"/>
        <w:rPr>
          <w:sz w:val="20"/>
          <w:szCs w:val="20"/>
          <w:color w:val="auto"/>
        </w:rPr>
      </w:pPr>
      <w:r>
        <w:rPr>
          <w:rFonts w:ascii="Courier New" w:cs="Courier New" w:eastAsia="Courier New" w:hAnsi="Courier New"/>
          <w:sz w:val="18"/>
          <w:szCs w:val="18"/>
          <w:color w:val="auto"/>
        </w:rPr>
        <w:t>An event of default with respect to any series of debt securities will occur under the indenture if:</w:t>
      </w:r>
    </w:p>
    <w:p>
      <w:pPr>
        <w:spacing w:after="0" w:line="208" w:lineRule="exact"/>
        <w:rPr>
          <w:sz w:val="20"/>
          <w:szCs w:val="20"/>
          <w:color w:val="auto"/>
        </w:rPr>
      </w:pPr>
    </w:p>
    <w:p>
      <w:pPr>
        <w:ind w:left="540" w:right="2439"/>
        <w:spacing w:after="0" w:line="235" w:lineRule="auto"/>
        <w:rPr>
          <w:sz w:val="20"/>
          <w:szCs w:val="20"/>
          <w:color w:val="auto"/>
        </w:rPr>
      </w:pPr>
      <w:r>
        <w:rPr>
          <w:rFonts w:ascii="Courier New" w:cs="Courier New" w:eastAsia="Courier New" w:hAnsi="Courier New"/>
          <w:sz w:val="18"/>
          <w:szCs w:val="18"/>
          <w:color w:val="auto"/>
        </w:rPr>
        <w:t>we fail to pay principal of or any premium on the series, except for principal due upon sinking fund redemptions;</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we fail to pay any installment of interest on the series for a period of 30 days;</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we fail to pay any sinking fund redemption on the series for a period of 30 days;</w:t>
      </w:r>
    </w:p>
    <w:p>
      <w:pPr>
        <w:spacing w:after="0" w:line="208" w:lineRule="exact"/>
        <w:rPr>
          <w:sz w:val="20"/>
          <w:szCs w:val="20"/>
          <w:color w:val="auto"/>
        </w:rPr>
      </w:pPr>
    </w:p>
    <w:p>
      <w:pPr>
        <w:ind w:left="540" w:right="2019"/>
        <w:spacing w:after="0" w:line="235" w:lineRule="auto"/>
        <w:rPr>
          <w:sz w:val="20"/>
          <w:szCs w:val="20"/>
          <w:color w:val="auto"/>
        </w:rPr>
      </w:pPr>
      <w:r>
        <w:rPr>
          <w:rFonts w:ascii="Courier New" w:cs="Courier New" w:eastAsia="Courier New" w:hAnsi="Courier New"/>
          <w:sz w:val="18"/>
          <w:szCs w:val="18"/>
          <w:color w:val="auto"/>
        </w:rPr>
        <w:t>we fail to perform any other covenant in the indenture for 90 days after notice;</w:t>
      </w:r>
    </w:p>
    <w:p>
      <w:pPr>
        <w:spacing w:after="0" w:line="208" w:lineRule="exact"/>
        <w:rPr>
          <w:sz w:val="20"/>
          <w:szCs w:val="20"/>
          <w:color w:val="auto"/>
        </w:rPr>
      </w:pPr>
    </w:p>
    <w:p>
      <w:pPr>
        <w:ind w:left="540" w:right="1919"/>
        <w:spacing w:after="0" w:line="290" w:lineRule="auto"/>
        <w:rPr>
          <w:sz w:val="20"/>
          <w:szCs w:val="20"/>
          <w:color w:val="auto"/>
        </w:rPr>
      </w:pPr>
      <w:r>
        <w:rPr>
          <w:rFonts w:ascii="Courier New" w:cs="Courier New" w:eastAsia="Courier New" w:hAnsi="Courier New"/>
          <w:sz w:val="16"/>
          <w:szCs w:val="16"/>
          <w:color w:val="auto"/>
        </w:rPr>
        <w:t>we or a court take certain actions relating to the bankruptcy, insolvency or reorganization of AlliedSignal for the benefit of our creditors; or</w:t>
      </w:r>
    </w:p>
    <w:p>
      <w:pPr>
        <w:spacing w:after="0" w:line="169" w:lineRule="exact"/>
        <w:rPr>
          <w:sz w:val="20"/>
          <w:szCs w:val="20"/>
          <w:color w:val="auto"/>
        </w:rPr>
      </w:pPr>
    </w:p>
    <w:p>
      <w:pPr>
        <w:jc w:val="both"/>
        <w:ind w:left="540" w:right="2119"/>
        <w:spacing w:after="0" w:line="236" w:lineRule="auto"/>
        <w:rPr>
          <w:sz w:val="20"/>
          <w:szCs w:val="20"/>
          <w:color w:val="auto"/>
        </w:rPr>
      </w:pPr>
      <w:r>
        <w:rPr>
          <w:rFonts w:ascii="Courier New" w:cs="Courier New" w:eastAsia="Courier New" w:hAnsi="Courier New"/>
          <w:sz w:val="18"/>
          <w:szCs w:val="18"/>
          <w:color w:val="auto"/>
        </w:rPr>
        <w:t>any other event of default specified with respect to debt securities of that series as described in the applicable prospectus supplement occurs (Section 501).</w:t>
      </w:r>
    </w:p>
    <w:p>
      <w:pPr>
        <w:spacing w:after="0" w:line="208"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No event of default with respect to a particular series of debt securities issued under the indenture necessarily constitutes an event of default with respect to any other series of debt securities (Section 501).</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On the occurrence of an event of default with respect to a series of debt securities, the trustee or the holders of at least 25% in principal amount at maturity of such series of debt securities then outstanding may declare the principal, or in the case of debt securities sold at an original issue discount, the amount specified in the terms thereof, to be due and payable immediately (Section 501).</w:t>
      </w:r>
    </w:p>
    <w:p>
      <w:pPr>
        <w:spacing w:after="0" w:line="209"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Subject to certain conditions, the declaration described in the preceding paragraph may be annulled and past defaults, except uncured payment defaults and certain other specified defaults, may be waived by the holders of not less than a majority in aggregate principal amount at</w:t>
      </w:r>
    </w:p>
    <w:p>
      <w:pPr>
        <w:sectPr>
          <w:pgSz w:w="11900" w:h="16838" w:orient="portrait"/>
          <w:cols w:equalWidth="0" w:num="1">
            <w:col w:w="10139"/>
          </w:cols>
          <w:pgMar w:left="320" w:top="514" w:right="1440" w:bottom="0" w:gutter="0" w:footer="0" w:header="0"/>
        </w:sectPr>
      </w:pPr>
    </w:p>
    <w:bookmarkStart w:id="40" w:name="page41"/>
    <w:bookmarkEnd w:id="40"/>
    <w:p>
      <w:pPr>
        <w:ind w:left="30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42" w:right="1440" w:bottom="1440" w:gutter="0" w:footer="0" w:header="0"/>
        </w:sectPr>
      </w:pPr>
    </w:p>
    <w:bookmarkStart w:id="41" w:name="page42"/>
    <w:bookmarkEnd w:id="41"/>
    <w:p>
      <w:pPr>
        <w:ind w:right="1919"/>
        <w:spacing w:after="0" w:line="235" w:lineRule="auto"/>
        <w:rPr>
          <w:sz w:val="20"/>
          <w:szCs w:val="20"/>
          <w:color w:val="auto"/>
        </w:rPr>
      </w:pPr>
      <w:r>
        <w:rPr>
          <w:rFonts w:ascii="Courier New" w:cs="Courier New" w:eastAsia="Courier New" w:hAnsi="Courier New"/>
          <w:sz w:val="18"/>
          <w:szCs w:val="18"/>
          <w:color w:val="auto"/>
        </w:rPr>
        <w:t>maturity of outstanding debt securities of the series affected by any event of default (Sections 501, 502 and 507).</w:t>
      </w:r>
    </w:p>
    <w:p>
      <w:pPr>
        <w:spacing w:after="0" w:line="208"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Upon payment of the principal amount in respect of an event of default on any series of debt securities, together with any premium or interest due thereon, all of our obligations in respect to payment of indebtedness on such debt securities will terminate (Section 401).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indenture</w:t>
            </w:r>
          </w:p>
        </w:tc>
        <w:tc>
          <w:tcPr>
            <w:tcW w:w="6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requires the trustee to, within 90 days after the occurrence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a default with</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respect to any outstanding series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debt securities, give the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holders of that</w:t>
            </w:r>
          </w:p>
        </w:tc>
        <w:tc>
          <w:tcPr>
            <w:tcW w:w="68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series notice of the default if uncured. The trustee may</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withhold this notice of</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default, except for default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payment of principal</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or any premium</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or interest on, or of any sinking</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payment with respect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such series</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debt</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securities, if it considers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 withholding to be in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interest of</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holders</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debt securities (Section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508).</w:t>
            </w:r>
          </w:p>
        </w:tc>
      </w:tr>
    </w:tbl>
    <w:p>
      <w:pPr>
        <w:spacing w:after="0" w:line="207" w:lineRule="exact"/>
        <w:rPr>
          <w:sz w:val="20"/>
          <w:szCs w:val="20"/>
          <w:color w:val="auto"/>
        </w:rPr>
      </w:pPr>
    </w:p>
    <w:p>
      <w:pPr>
        <w:ind w:right="1699" w:firstLine="421"/>
        <w:spacing w:after="0" w:line="236" w:lineRule="auto"/>
        <w:rPr>
          <w:sz w:val="20"/>
          <w:szCs w:val="20"/>
          <w:color w:val="auto"/>
        </w:rPr>
      </w:pPr>
      <w:r>
        <w:rPr>
          <w:rFonts w:ascii="Courier New" w:cs="Courier New" w:eastAsia="Courier New" w:hAnsi="Courier New"/>
          <w:sz w:val="18"/>
          <w:szCs w:val="18"/>
          <w:color w:val="auto"/>
        </w:rPr>
        <w:t>We are required annually to file with the trustee a certificate stating that no default exists under the indenture, or specifying the nature and status of any default (Section 1004).</w:t>
      </w:r>
    </w:p>
    <w:p>
      <w:pPr>
        <w:spacing w:after="0" w:line="208" w:lineRule="exact"/>
        <w:rPr>
          <w:sz w:val="20"/>
          <w:szCs w:val="20"/>
          <w:color w:val="auto"/>
        </w:rPr>
      </w:pPr>
    </w:p>
    <w:p>
      <w:pPr>
        <w:ind w:right="1699" w:firstLine="421"/>
        <w:spacing w:after="0" w:line="271" w:lineRule="auto"/>
        <w:rPr>
          <w:sz w:val="20"/>
          <w:szCs w:val="20"/>
          <w:color w:val="auto"/>
        </w:rPr>
      </w:pPr>
      <w:r>
        <w:rPr>
          <w:rFonts w:ascii="Courier New" w:cs="Courier New" w:eastAsia="Courier New" w:hAnsi="Courier New"/>
          <w:sz w:val="16"/>
          <w:szCs w:val="16"/>
          <w:color w:val="auto"/>
        </w:rPr>
        <w:t>Subject to provisions relating to its duties in case of default, the trustee is under no obligation to exercise any of its rights or powers under the indenture at the request, order or direction of any holders of debt securities unless such holders of debt securities shall have offered to the trustee reasonable security or indemnity (Section 603). Subject to that provision for security or indemnification, the holders of a majority in principal amount of the debt securities of any series then outstanding will have the right to direct the time, method and place of conducting any proceeding for any remedy available to, or exercising any trust or power conferred on, the trustee with respect to the debt securities of that series (Section 504).</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 UNDER THE INDENTURE</w:t>
      </w:r>
    </w:p>
    <w:p>
      <w:pPr>
        <w:spacing w:after="0" w:line="207" w:lineRule="exact"/>
        <w:rPr>
          <w:sz w:val="20"/>
          <w:szCs w:val="20"/>
          <w:color w:val="auto"/>
        </w:rPr>
      </w:pPr>
    </w:p>
    <w:p>
      <w:pPr>
        <w:ind w:right="1919" w:firstLine="421"/>
        <w:spacing w:after="0" w:line="236" w:lineRule="auto"/>
        <w:rPr>
          <w:sz w:val="20"/>
          <w:szCs w:val="20"/>
          <w:color w:val="auto"/>
        </w:rPr>
      </w:pPr>
      <w:r>
        <w:rPr>
          <w:rFonts w:ascii="Courier New" w:cs="Courier New" w:eastAsia="Courier New" w:hAnsi="Courier New"/>
          <w:sz w:val="18"/>
          <w:szCs w:val="18"/>
          <w:color w:val="auto"/>
        </w:rPr>
        <w:t>We and some of our subsidiaries and affiliates maintain deposits with, and conduct other banking transactions with, The Chase Manhattan Bank in the ordinary course of business. These include:</w:t>
      </w:r>
    </w:p>
    <w:p>
      <w:pPr>
        <w:spacing w:after="0" w:line="208" w:lineRule="exact"/>
        <w:rPr>
          <w:sz w:val="20"/>
          <w:szCs w:val="20"/>
          <w:color w:val="auto"/>
        </w:rPr>
      </w:pPr>
    </w:p>
    <w:p>
      <w:pPr>
        <w:ind w:left="540" w:right="1699"/>
        <w:spacing w:after="0" w:line="235" w:lineRule="auto"/>
        <w:rPr>
          <w:sz w:val="20"/>
          <w:szCs w:val="20"/>
          <w:color w:val="auto"/>
        </w:rPr>
      </w:pPr>
      <w:r>
        <w:rPr>
          <w:rFonts w:ascii="Courier New" w:cs="Courier New" w:eastAsia="Courier New" w:hAnsi="Courier New"/>
          <w:sz w:val="18"/>
          <w:szCs w:val="18"/>
          <w:color w:val="auto"/>
        </w:rPr>
        <w:t>The Chase Manhattan Bank is the trustee under the indenture under which our Serial Zero Coupon Bonds Due through 2009 are outstanding.</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Chase Manhattan Bank is fiscal agent for our 8% Bonds Due May 15, 2006.</w:t>
      </w:r>
    </w:p>
    <w:p>
      <w:pPr>
        <w:spacing w:after="0" w:line="224"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The Chase Manhattan Bank is a lender under one of our revolving credit agreements with a group of banks. The Chase Manhattan Bank has a commitment of $50 million under this revolving credit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PERMANENT GLOBAL DEBT SECURITIES</w:t>
      </w:r>
    </w:p>
    <w:p>
      <w:pPr>
        <w:spacing w:after="0" w:line="207" w:lineRule="exact"/>
        <w:rPr>
          <w:sz w:val="20"/>
          <w:szCs w:val="20"/>
          <w:color w:val="auto"/>
        </w:rPr>
      </w:pPr>
    </w:p>
    <w:p>
      <w:pPr>
        <w:ind w:right="1919" w:firstLine="421"/>
        <w:spacing w:after="0" w:line="270" w:lineRule="auto"/>
        <w:rPr>
          <w:sz w:val="20"/>
          <w:szCs w:val="20"/>
          <w:color w:val="auto"/>
        </w:rPr>
      </w:pPr>
      <w:r>
        <w:rPr>
          <w:rFonts w:ascii="Courier New" w:cs="Courier New" w:eastAsia="Courier New" w:hAnsi="Courier New"/>
          <w:sz w:val="16"/>
          <w:szCs w:val="16"/>
          <w:color w:val="auto"/>
        </w:rPr>
        <w:t>The debt securities of a series may be issued in whole or in part in the form of one or more global securities that will be deposited with a depositary or its nominee identified in the related prospectus supplement (Section 203). Unless otherwise indicated in the related prospectus supplement, any such depositary will be DTC. Unless otherwise provided in the related prospectus supplement, a global security may not be transferred except as a whole to the depositary, a nominee of the depositary or their successors unless it is exchanged in whole or in part for debt securities in individually certificated form. For a description of the depositary arrangements, see 'Book-Entry Issuance'. Any additional terms of the depositary arrangement with respect to any series of debt securities and the rights of and limitations on owners of beneficial interests in a global security representing a series of debt securities may be described in the related prospectus supplement.</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BOOK-ENTRY ISSUANCE</w:t>
      </w:r>
    </w:p>
    <w:p>
      <w:pPr>
        <w:spacing w:after="0" w:line="207" w:lineRule="exact"/>
        <w:rPr>
          <w:sz w:val="20"/>
          <w:szCs w:val="20"/>
          <w:color w:val="auto"/>
        </w:rPr>
      </w:pPr>
    </w:p>
    <w:p>
      <w:pPr>
        <w:ind w:right="1699" w:firstLine="421"/>
        <w:spacing w:after="0" w:line="273" w:lineRule="auto"/>
        <w:rPr>
          <w:sz w:val="20"/>
          <w:szCs w:val="20"/>
          <w:color w:val="auto"/>
        </w:rPr>
      </w:pPr>
      <w:r>
        <w:rPr>
          <w:rFonts w:ascii="Courier New" w:cs="Courier New" w:eastAsia="Courier New" w:hAnsi="Courier New"/>
          <w:sz w:val="16"/>
          <w:szCs w:val="16"/>
          <w:color w:val="auto"/>
        </w:rPr>
        <w:t>Most series of debt securities will be book-entry securities. Upon issuance, all book-entry securities of the same issue will be represented by one or more fully registered global securities, without interest coupons. Each global security will be deposited with, or on behalf of, The Depository Trust Company or 'DTC', a securities depository, and will be registered in the name of</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520" w:right="1440" w:bottom="1440" w:gutter="0" w:footer="0" w:header="0"/>
        </w:sectPr>
      </w:pPr>
    </w:p>
    <w:bookmarkStart w:id="42" w:name="page43"/>
    <w:bookmarkEnd w:id="42"/>
    <w:p>
      <w:pPr>
        <w:ind w:right="2019"/>
        <w:spacing w:after="0" w:line="236" w:lineRule="auto"/>
        <w:rPr>
          <w:sz w:val="20"/>
          <w:szCs w:val="20"/>
          <w:color w:val="auto"/>
        </w:rPr>
      </w:pPr>
      <w:r>
        <w:rPr>
          <w:rFonts w:ascii="Courier New" w:cs="Courier New" w:eastAsia="Courier New" w:hAnsi="Courier New"/>
          <w:sz w:val="18"/>
          <w:szCs w:val="18"/>
          <w:color w:val="auto"/>
        </w:rPr>
        <w:t>DTC or a nominee of DTC. DTC will thus be the only registered holder of these debt securities and will be considered the sole owner of the securities for purposes of the indenture.</w:t>
      </w:r>
    </w:p>
    <w:p>
      <w:pPr>
        <w:spacing w:after="0" w:line="208" w:lineRule="exact"/>
        <w:rPr>
          <w:sz w:val="20"/>
          <w:szCs w:val="20"/>
          <w:color w:val="auto"/>
        </w:rPr>
      </w:pPr>
    </w:p>
    <w:p>
      <w:pPr>
        <w:ind w:right="1819" w:firstLine="421"/>
        <w:spacing w:after="0" w:line="237" w:lineRule="auto"/>
        <w:rPr>
          <w:sz w:val="20"/>
          <w:szCs w:val="20"/>
          <w:color w:val="auto"/>
        </w:rPr>
      </w:pPr>
      <w:r>
        <w:rPr>
          <w:rFonts w:ascii="Courier New" w:cs="Courier New" w:eastAsia="Courier New" w:hAnsi="Courier New"/>
          <w:sz w:val="18"/>
          <w:szCs w:val="18"/>
          <w:color w:val="auto"/>
        </w:rPr>
        <w:t>Purchasers may only hold interests in the global securities through DTC if they are a participant in the DTC system. Purchasers may also hold interests through a securities intermediary -- banks, brokerage houses and other institutions that maintain securities accounts for customers -- 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debt securities for their customers. Thus, each beneficial owner of a book-entry security will hold that security indirectly through a hierarchy of intermediaries, with DTC at the 'top' and the beneficial owner's own securities intermediary at the 'bottom.'</w:t>
      </w:r>
    </w:p>
    <w:p>
      <w:pPr>
        <w:spacing w:after="0" w:line="216" w:lineRule="exact"/>
        <w:rPr>
          <w:sz w:val="20"/>
          <w:szCs w:val="20"/>
          <w:color w:val="auto"/>
        </w:rPr>
      </w:pPr>
    </w:p>
    <w:p>
      <w:pPr>
        <w:ind w:right="1819" w:firstLine="421"/>
        <w:spacing w:after="0" w:line="270" w:lineRule="auto"/>
        <w:rPr>
          <w:sz w:val="20"/>
          <w:szCs w:val="20"/>
          <w:color w:val="auto"/>
        </w:rPr>
      </w:pPr>
      <w:r>
        <w:rPr>
          <w:rFonts w:ascii="Courier New" w:cs="Courier New" w:eastAsia="Courier New" w:hAnsi="Courier New"/>
          <w:sz w:val="16"/>
          <w:szCs w:val="16"/>
          <w:color w:val="auto"/>
        </w:rPr>
        <w:t>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under the indenture.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w:t>
      </w:r>
    </w:p>
    <w:p>
      <w:pPr>
        <w:spacing w:after="0" w:line="391"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with respect to a series of debt securities, a beneficial owner of book-entry securities represented by a global security may exchange the securities for definitive or paper securities only if:</w:t>
      </w:r>
    </w:p>
    <w:p>
      <w:pPr>
        <w:spacing w:after="0" w:line="207" w:lineRule="exact"/>
        <w:rPr>
          <w:sz w:val="20"/>
          <w:szCs w:val="20"/>
          <w:color w:val="auto"/>
        </w:rPr>
      </w:pPr>
    </w:p>
    <w:p>
      <w:pPr>
        <w:ind w:left="540" w:right="1699"/>
        <w:spacing w:after="0" w:line="236" w:lineRule="auto"/>
        <w:rPr>
          <w:sz w:val="20"/>
          <w:szCs w:val="20"/>
          <w:color w:val="auto"/>
        </w:rPr>
      </w:pPr>
      <w:r>
        <w:rPr>
          <w:rFonts w:ascii="Courier New" w:cs="Courier New" w:eastAsia="Courier New" w:hAnsi="Courier New"/>
          <w:sz w:val="18"/>
          <w:szCs w:val="18"/>
          <w:color w:val="auto"/>
        </w:rPr>
        <w:t>DTC is unwilling or unable to continue as depositary for such global security and AlliedSignal is unable to find a qualified replacement for DTC within 90 days;</w:t>
      </w:r>
    </w:p>
    <w:p>
      <w:pPr>
        <w:spacing w:after="0" w:line="208" w:lineRule="exact"/>
        <w:rPr>
          <w:sz w:val="20"/>
          <w:szCs w:val="20"/>
          <w:color w:val="auto"/>
        </w:rPr>
      </w:pPr>
    </w:p>
    <w:p>
      <w:pPr>
        <w:ind w:left="540" w:right="2559"/>
        <w:spacing w:after="0" w:line="235" w:lineRule="auto"/>
        <w:rPr>
          <w:sz w:val="20"/>
          <w:szCs w:val="20"/>
          <w:color w:val="auto"/>
        </w:rPr>
      </w:pPr>
      <w:r>
        <w:rPr>
          <w:rFonts w:ascii="Courier New" w:cs="Courier New" w:eastAsia="Courier New" w:hAnsi="Courier New"/>
          <w:sz w:val="18"/>
          <w:szCs w:val="18"/>
          <w:color w:val="auto"/>
        </w:rPr>
        <w:t>at any time DTC ceases to be a clearing agency registered under the Securities Exchange Act of 1934; or</w:t>
      </w:r>
    </w:p>
    <w:p>
      <w:pPr>
        <w:spacing w:after="0" w:line="208" w:lineRule="exact"/>
        <w:rPr>
          <w:sz w:val="20"/>
          <w:szCs w:val="20"/>
          <w:color w:val="auto"/>
        </w:rPr>
      </w:pPr>
    </w:p>
    <w:p>
      <w:pPr>
        <w:jc w:val="both"/>
        <w:ind w:left="540" w:right="1699"/>
        <w:spacing w:after="0" w:line="290" w:lineRule="auto"/>
        <w:rPr>
          <w:sz w:val="20"/>
          <w:szCs w:val="20"/>
          <w:color w:val="auto"/>
        </w:rPr>
      </w:pPr>
      <w:r>
        <w:rPr>
          <w:rFonts w:ascii="Courier New" w:cs="Courier New" w:eastAsia="Courier New" w:hAnsi="Courier New"/>
          <w:sz w:val="16"/>
          <w:szCs w:val="16"/>
          <w:color w:val="auto"/>
        </w:rPr>
        <w:t>AlliedSignal in its sole discretion decides to allow some or all book-entry securities to be exchangeable for definitive securities in registered form.</w:t>
      </w:r>
    </w:p>
    <w:p>
      <w:pPr>
        <w:spacing w:after="0" w:line="169" w:lineRule="exact"/>
        <w:rPr>
          <w:sz w:val="20"/>
          <w:szCs w:val="20"/>
          <w:color w:val="auto"/>
        </w:rPr>
      </w:pPr>
    </w:p>
    <w:p>
      <w:pPr>
        <w:ind w:right="1919" w:firstLine="421"/>
        <w:spacing w:after="0" w:line="237" w:lineRule="auto"/>
        <w:rPr>
          <w:sz w:val="20"/>
          <w:szCs w:val="20"/>
          <w:color w:val="auto"/>
        </w:rPr>
      </w:pPr>
      <w:r>
        <w:rPr>
          <w:rFonts w:ascii="Courier New" w:cs="Courier New" w:eastAsia="Courier New" w:hAnsi="Courier New"/>
          <w:sz w:val="18"/>
          <w:szCs w:val="18"/>
          <w:color w:val="auto"/>
        </w:rPr>
        <w:t>Any global security that is exchangeable will be exchangeable in whole for definitive securities in registered form, with the same terms and of an equal aggregate principal amount, in denominations of $1,000 and whole multiples of $1,000. Definitive notes will be registered in the name or names of the person or persons specified by DTC in a written instruction to the registrar of the securities. DTC may base its written instruction upon directions it receives from its participants.</w:t>
      </w:r>
    </w:p>
    <w:p>
      <w:pPr>
        <w:spacing w:after="0" w:line="210"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In this prospectus and the accompanying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w:t>
      </w:r>
    </w:p>
    <w:p>
      <w:pPr>
        <w:spacing w:after="0" w:line="209" w:lineRule="exact"/>
        <w:rPr>
          <w:sz w:val="20"/>
          <w:szCs w:val="20"/>
          <w:color w:val="auto"/>
        </w:rPr>
      </w:pPr>
    </w:p>
    <w:p>
      <w:pPr>
        <w:ind w:right="1699" w:firstLine="421"/>
        <w:spacing w:after="0" w:line="273" w:lineRule="auto"/>
        <w:rPr>
          <w:sz w:val="20"/>
          <w:szCs w:val="20"/>
          <w:color w:val="auto"/>
        </w:rPr>
      </w:pPr>
      <w:r>
        <w:rPr>
          <w:rFonts w:ascii="Courier New" w:cs="Courier New" w:eastAsia="Courier New" w:hAnsi="Courier New"/>
          <w:sz w:val="16"/>
          <w:szCs w:val="16"/>
          <w:color w:val="auto"/>
        </w:rPr>
        <w:t>DTC is a limited purpose trust company organized under the laws of the State of New York, a member of the Federal Reserve System, a 'clearing corporation' within the meaning of the New York Uniform Commercial Code and a 'clearing agency' registered under section 17A of the Securities Exchange Act of 1934. The rules applicable to DTC and its participants are on file with the SEC.</w:t>
      </w:r>
    </w:p>
    <w:p>
      <w:pPr>
        <w:spacing w:after="0" w:line="184"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DTC's management is aware that some computer applications, systems, and the like for processing data that are dependent upon calendar dates, including dates before, on, and after January 1, 2000, may encounter 'Year 2000 problems.' DTC has informed its participants and other members of the financial community that it has developed and is implementing a program so that its systems, as they relate to the timely payment of distributions to securityholders, book-entry deliveries, and settlement of trades within DTC, continue to function appropriately. This</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139"/>
          </w:cols>
          <w:pgMar w:left="320" w:top="520" w:right="1440" w:bottom="570" w:gutter="0" w:footer="0" w:header="0"/>
        </w:sectPr>
      </w:pPr>
    </w:p>
    <w:bookmarkStart w:id="43" w:name="page44"/>
    <w:bookmarkEnd w:id="43"/>
    <w:p>
      <w:pPr>
        <w:ind w:right="1699"/>
        <w:spacing w:after="0" w:line="236" w:lineRule="auto"/>
        <w:rPr>
          <w:sz w:val="20"/>
          <w:szCs w:val="20"/>
          <w:color w:val="auto"/>
        </w:rPr>
      </w:pPr>
      <w:r>
        <w:rPr>
          <w:rFonts w:ascii="Courier New" w:cs="Courier New" w:eastAsia="Courier New" w:hAnsi="Courier New"/>
          <w:sz w:val="18"/>
          <w:szCs w:val="18"/>
          <w:color w:val="auto"/>
        </w:rPr>
        <w:t>program includes a technical assessment and a remediation plan, each of which is complete. Additionally, DTC's plan includes a testing phase, which is expected to be completed within appropriate time frames.</w:t>
      </w:r>
    </w:p>
    <w:p>
      <w:pPr>
        <w:spacing w:after="0" w:line="208" w:lineRule="exact"/>
        <w:rPr>
          <w:sz w:val="20"/>
          <w:szCs w:val="20"/>
          <w:color w:val="auto"/>
        </w:rPr>
      </w:pPr>
    </w:p>
    <w:p>
      <w:pPr>
        <w:ind w:right="1699" w:firstLine="421"/>
        <w:spacing w:after="0" w:line="275" w:lineRule="auto"/>
        <w:rPr>
          <w:sz w:val="20"/>
          <w:szCs w:val="20"/>
          <w:color w:val="auto"/>
        </w:rPr>
      </w:pPr>
      <w:r>
        <w:rPr>
          <w:rFonts w:ascii="Courier New" w:cs="Courier New" w:eastAsia="Courier New" w:hAnsi="Courier New"/>
          <w:sz w:val="16"/>
          <w:szCs w:val="16"/>
          <w:color w:val="auto"/>
        </w:rPr>
        <w:t>AlliedSignal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may sell the debt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through underwriters,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through agents, or</w:t>
      </w:r>
    </w:p>
    <w:p>
      <w:pPr>
        <w:spacing w:after="0" w:line="207" w:lineRule="exact"/>
        <w:rPr>
          <w:sz w:val="20"/>
          <w:szCs w:val="20"/>
          <w:color w:val="auto"/>
        </w:rPr>
      </w:pPr>
    </w:p>
    <w:p>
      <w:pPr>
        <w:ind w:left="540" w:right="2119"/>
        <w:spacing w:after="0" w:line="235" w:lineRule="auto"/>
        <w:rPr>
          <w:sz w:val="20"/>
          <w:szCs w:val="20"/>
          <w:color w:val="auto"/>
        </w:rPr>
      </w:pPr>
      <w:r>
        <w:rPr>
          <w:rFonts w:ascii="Courier New" w:cs="Courier New" w:eastAsia="Courier New" w:hAnsi="Courier New"/>
          <w:sz w:val="18"/>
          <w:szCs w:val="18"/>
          <w:color w:val="auto"/>
        </w:rPr>
        <w:t>directly to a limited number of institutional purchasers or to a single purchaser.</w:t>
      </w:r>
    </w:p>
    <w:p>
      <w:pPr>
        <w:spacing w:after="0" w:line="208" w:lineRule="exact"/>
        <w:rPr>
          <w:sz w:val="20"/>
          <w:szCs w:val="20"/>
          <w:color w:val="auto"/>
        </w:rPr>
      </w:pPr>
    </w:p>
    <w:p>
      <w:pPr>
        <w:ind w:right="2019" w:firstLine="421"/>
        <w:spacing w:after="0" w:line="235" w:lineRule="auto"/>
        <w:rPr>
          <w:sz w:val="20"/>
          <w:szCs w:val="20"/>
          <w:color w:val="auto"/>
        </w:rPr>
      </w:pPr>
      <w:r>
        <w:rPr>
          <w:rFonts w:ascii="Courier New" w:cs="Courier New" w:eastAsia="Courier New" w:hAnsi="Courier New"/>
          <w:sz w:val="18"/>
          <w:szCs w:val="18"/>
          <w:color w:val="auto"/>
        </w:rPr>
        <w:t>The prospectus supplement will set forth the terms of the offering of the debt securities, including the following: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or names of any underwriters;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 price and the proceeds we will receive from the sale;</w:t>
      </w:r>
    </w:p>
    <w:p>
      <w:pPr>
        <w:spacing w:after="0" w:line="207" w:lineRule="exact"/>
        <w:rPr>
          <w:sz w:val="20"/>
          <w:szCs w:val="20"/>
          <w:color w:val="auto"/>
        </w:rPr>
      </w:pPr>
    </w:p>
    <w:p>
      <w:pPr>
        <w:ind w:left="540" w:right="2339"/>
        <w:spacing w:after="0" w:line="235" w:lineRule="auto"/>
        <w:rPr>
          <w:sz w:val="20"/>
          <w:szCs w:val="20"/>
          <w:color w:val="auto"/>
        </w:rPr>
      </w:pPr>
      <w:r>
        <w:rPr>
          <w:rFonts w:ascii="Courier New" w:cs="Courier New" w:eastAsia="Courier New" w:hAnsi="Courier New"/>
          <w:sz w:val="18"/>
          <w:szCs w:val="18"/>
          <w:color w:val="auto"/>
        </w:rPr>
        <w:t>any underwriting discounts and other items constituting underwriters' compensation;</w:t>
      </w:r>
    </w:p>
    <w:p>
      <w:pPr>
        <w:spacing w:after="0" w:line="208"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any initial public offering price and any discounts or concessions allowed or reallowed or paid to dealers; and</w:t>
      </w:r>
    </w:p>
    <w:p>
      <w:pPr>
        <w:spacing w:after="0" w:line="208" w:lineRule="exact"/>
        <w:rPr>
          <w:sz w:val="20"/>
          <w:szCs w:val="20"/>
          <w:color w:val="auto"/>
        </w:rPr>
      </w:pPr>
    </w:p>
    <w:p>
      <w:pPr>
        <w:ind w:left="540" w:right="1819"/>
        <w:spacing w:after="0" w:line="235" w:lineRule="auto"/>
        <w:rPr>
          <w:sz w:val="20"/>
          <w:szCs w:val="20"/>
          <w:color w:val="auto"/>
        </w:rPr>
      </w:pPr>
      <w:r>
        <w:rPr>
          <w:rFonts w:ascii="Courier New" w:cs="Courier New" w:eastAsia="Courier New" w:hAnsi="Courier New"/>
          <w:sz w:val="18"/>
          <w:szCs w:val="18"/>
          <w:color w:val="auto"/>
        </w:rPr>
        <w:t>any securities exchanges on which the debt securities of the series may be listed.</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If underwriters are used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The obligations of the underwriters to purchase debt securities will be subject to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215" w:lineRule="exact"/>
        <w:rPr>
          <w:sz w:val="20"/>
          <w:szCs w:val="20"/>
          <w:color w:val="auto"/>
        </w:rPr>
      </w:pPr>
    </w:p>
    <w:p>
      <w:pPr>
        <w:ind w:right="1699" w:firstLine="421"/>
        <w:spacing w:after="0" w:line="272" w:lineRule="auto"/>
        <w:rPr>
          <w:sz w:val="20"/>
          <w:szCs w:val="20"/>
          <w:color w:val="auto"/>
        </w:rPr>
      </w:pPr>
      <w:r>
        <w:rPr>
          <w:rFonts w:ascii="Courier New" w:cs="Courier New" w:eastAsia="Courier New" w:hAnsi="Courier New"/>
          <w:sz w:val="16"/>
          <w:szCs w:val="16"/>
          <w:color w:val="auto"/>
        </w:rPr>
        <w:t>Debt securities may be sold directly by us or through agents designated by us from time to time. Any agent involved in the offer or sale of the debt securities in respect of which this prospectus is delivered will be named, and any commissions payable by us to that agent will be set forth, in the prospectus supplement. Unless otherwise indicated in the prospectus supplement, any agent will be acting on a best efforts basis for the period of its appointment.</w:t>
      </w:r>
    </w:p>
    <w:p>
      <w:pPr>
        <w:spacing w:after="0" w:line="185"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We may authorize agents or underwriters to solicit offers by certain types of institutions to purchase debt securities from us at the public offering price set forth in the prospectus supplement pursuant to delayed delivery contracts. These contracts will provide for payment and delivery on a specified date in the future. The conditions to these contracts and the commissions payable for solicitation of such contracts will be set forth in the applicable prospectus supplement.</w:t>
      </w:r>
    </w:p>
    <w:p>
      <w:pPr>
        <w:spacing w:after="0" w:line="210" w:lineRule="exact"/>
        <w:rPr>
          <w:sz w:val="20"/>
          <w:szCs w:val="20"/>
          <w:color w:val="auto"/>
        </w:rPr>
      </w:pPr>
    </w:p>
    <w:p>
      <w:pPr>
        <w:ind w:right="2019" w:firstLine="421"/>
        <w:spacing w:after="0" w:line="237" w:lineRule="auto"/>
        <w:rPr>
          <w:sz w:val="20"/>
          <w:szCs w:val="20"/>
          <w:color w:val="auto"/>
        </w:rPr>
      </w:pPr>
      <w:r>
        <w:rPr>
          <w:rFonts w:ascii="Courier New" w:cs="Courier New" w:eastAsia="Courier New" w:hAnsi="Courier New"/>
          <w:sz w:val="18"/>
          <w:szCs w:val="18"/>
          <w:color w:val="auto"/>
        </w:rPr>
        <w:t>Agents and underwriters may be entitled to indemnification by us against civil liabilities arising out of this prospectus, including liabilities under the Securities Act of 1933, or to contribution with respect to payments which the agents or underwriters may be required to make relating to those liabilities.</w:t>
      </w:r>
    </w:p>
    <w:p>
      <w:pPr>
        <w:spacing w:after="0" w:line="208"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Each series of debt securities will be a new issue of securities with no established trading market. Any underwriter may make a market in the debt securities, but will not be obligated to do so and may discontinue any market making at any time without notice. No assurance can be given as to the liquidity of the trading market for any debt securities.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39"/>
          </w:cols>
          <w:pgMar w:left="320" w:top="520" w:right="1440" w:bottom="368" w:gutter="0" w:footer="0" w:header="0"/>
        </w:sectPr>
      </w:pPr>
    </w:p>
    <w:bookmarkStart w:id="44" w:name="page45"/>
    <w:bookmarkEnd w:id="44"/>
    <w:p>
      <w:pPr>
        <w:ind w:right="1919" w:firstLine="421"/>
        <w:spacing w:after="0" w:line="236" w:lineRule="auto"/>
        <w:rPr>
          <w:sz w:val="20"/>
          <w:szCs w:val="20"/>
          <w:color w:val="auto"/>
        </w:rPr>
      </w:pPr>
      <w:r>
        <w:rPr>
          <w:rFonts w:ascii="Courier New" w:cs="Courier New" w:eastAsia="Courier New" w:hAnsi="Courier New"/>
          <w:sz w:val="18"/>
          <w:szCs w:val="18"/>
          <w:color w:val="auto"/>
        </w:rPr>
        <w:t>Agents and underwriters may be engaged in transactions with, or perform commercial or investment banking or other services for, us or our subsidiaries or affiliates, in the ordinary course of business.</w:t>
      </w:r>
    </w:p>
    <w:p>
      <w:pPr>
        <w:spacing w:after="0" w:line="208" w:lineRule="exact"/>
        <w:rPr>
          <w:sz w:val="20"/>
          <w:szCs w:val="20"/>
          <w:color w:val="auto"/>
        </w:rPr>
      </w:pPr>
    </w:p>
    <w:p>
      <w:pPr>
        <w:ind w:right="2019" w:firstLine="421"/>
        <w:spacing w:after="0" w:line="290" w:lineRule="auto"/>
        <w:rPr>
          <w:sz w:val="20"/>
          <w:szCs w:val="20"/>
          <w:color w:val="auto"/>
        </w:rPr>
      </w:pPr>
      <w:r>
        <w:rPr>
          <w:rFonts w:ascii="Courier New" w:cs="Courier New" w:eastAsia="Courier New" w:hAnsi="Courier New"/>
          <w:sz w:val="16"/>
          <w:szCs w:val="16"/>
          <w:color w:val="auto"/>
        </w:rPr>
        <w:t>We estimate that our expenses associated with this offering will be approximately $0.8 million, excluding underwriting discounts and commissions.</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The audited financial statements incorporated in this prospectus by reference to our Annual Report on Form 10-K for the year ended December 31, 1998 have been so incorporated in reliance on the report of PricewaterhouseCoopers LLP, independent accountants, given on the authority of that firm as experts in auditing and accounting.</w:t>
      </w:r>
    </w:p>
    <w:p>
      <w:pPr>
        <w:spacing w:after="0" w:line="208" w:lineRule="exact"/>
        <w:rPr>
          <w:sz w:val="20"/>
          <w:szCs w:val="20"/>
          <w:color w:val="auto"/>
        </w:rPr>
      </w:pPr>
    </w:p>
    <w:p>
      <w:pPr>
        <w:ind w:right="1699" w:firstLine="421"/>
        <w:spacing w:after="0" w:line="238" w:lineRule="auto"/>
        <w:rPr>
          <w:sz w:val="20"/>
          <w:szCs w:val="20"/>
          <w:color w:val="auto"/>
        </w:rPr>
      </w:pPr>
      <w:r>
        <w:rPr>
          <w:rFonts w:ascii="Courier New" w:cs="Courier New" w:eastAsia="Courier New" w:hAnsi="Courier New"/>
          <w:sz w:val="18"/>
          <w:szCs w:val="18"/>
          <w:color w:val="auto"/>
        </w:rPr>
        <w:t>With respect to the unaudited consolidated financial information of AlliedSignal for the three-month periods ended March 31, 1999 and 1998 and the three-month and six-month periods ended June 30, 1999 and 1998 incorporated by reference in this prospectus, PricewaterhouseCoopers LLP reported that they have applied limited procedures in accordance with professional standards for a review of such information. However, their separate reports dated May 13, 1999 and August 11, 1999 incorporated by reference in this prospectus, state that they did not audit and did not express an opinion on that unaudited consolidated financial information. Accordingly, the degree of reliance on their report on such information should be restricted in light of the limited nature of the review procedures applied. PricewaterhouseCoopers LLP is not subject to the liability provisions of Section 11 of the Securities Act for their report on the unaudited consolidated financial information because that report is not a 'report' or a 'part' of the registration statement prepared or certified by PricewaterhouseCoopers LLP within the meaning of Sections 7 and 11 of the Securities Act.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Certain legal matters will be passed upon for AlliedSignal by J. Edward Smith, Assistant General Counsel, Corporate and Finance, of AlliedSignal, and for any underwriters by Cravath, Swaine &amp; Moore, New York, New York. Mr. Smith beneficially owns shares of AlliedSignal common stock and has options to acquire additional shares of AlliedSignal common stock granted under option plans of AlliedSignal.</w:t>
      </w:r>
    </w:p>
    <w:p>
      <w:pPr>
        <w:spacing w:after="0" w:line="209"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In the opinions described above, certain assumptions will be made regarding future action required to be taken by AlliedSignal and others in connection with the issuance and sale of any particular offered debt securities, the specific terms of those offered debt securities and other matters which may affect the validity of those offered debt securities but which cannot be ascertained on the date of the relevant opinion.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139"/>
          </w:cols>
          <w:pgMar w:left="320" w:top="520" w:right="1440" w:bottom="1440" w:gutter="0" w:footer="0" w:header="0"/>
        </w:sectPr>
      </w:pPr>
    </w:p>
    <w:bookmarkStart w:id="45" w:name="page46"/>
    <w:bookmarkEnd w:id="45"/>
    <w:p>
      <w:pPr>
        <w:jc w:val="center"/>
        <w:ind w:right="2339"/>
        <w:spacing w:after="0"/>
        <w:rPr>
          <w:sz w:val="20"/>
          <w:szCs w:val="20"/>
          <w:color w:val="auto"/>
        </w:rPr>
      </w:pPr>
      <w:r>
        <w:rPr>
          <w:rFonts w:ascii="Courier New" w:cs="Courier New" w:eastAsia="Courier New" w:hAnsi="Courier New"/>
          <w:sz w:val="18"/>
          <w:szCs w:val="18"/>
          <w:color w:val="auto"/>
        </w:rPr>
        <w:t>PRINCIPAL EXECUTIVE OFFICE OF HONEYWELL INTERNATIONAL INC.</w:t>
      </w:r>
    </w:p>
    <w:p>
      <w:pPr>
        <w:jc w:val="center"/>
        <w:ind w:right="2439"/>
        <w:spacing w:after="0" w:line="238" w:lineRule="auto"/>
        <w:rPr>
          <w:sz w:val="20"/>
          <w:szCs w:val="20"/>
          <w:color w:val="auto"/>
        </w:rPr>
      </w:pPr>
      <w:r>
        <w:rPr>
          <w:rFonts w:ascii="Courier New" w:cs="Courier New" w:eastAsia="Courier New" w:hAnsi="Courier New"/>
          <w:sz w:val="18"/>
          <w:szCs w:val="18"/>
          <w:color w:val="auto"/>
        </w:rPr>
        <w:t>101 Columbia Road</w:t>
      </w:r>
    </w:p>
    <w:p>
      <w:pPr>
        <w:jc w:val="center"/>
        <w:ind w:right="2439"/>
        <w:spacing w:after="0" w:line="238" w:lineRule="auto"/>
        <w:rPr>
          <w:sz w:val="20"/>
          <w:szCs w:val="20"/>
          <w:color w:val="auto"/>
        </w:rPr>
      </w:pPr>
      <w:r>
        <w:rPr>
          <w:rFonts w:ascii="Courier New" w:cs="Courier New" w:eastAsia="Courier New" w:hAnsi="Courier New"/>
          <w:sz w:val="18"/>
          <w:szCs w:val="18"/>
          <w:color w:val="auto"/>
        </w:rPr>
        <w:t>Morris Township, New Jersey 07962</w:t>
      </w:r>
    </w:p>
    <w:p>
      <w:pPr>
        <w:spacing w:after="0" w:line="202"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8"/>
          <w:szCs w:val="18"/>
          <w:color w:val="auto"/>
        </w:rPr>
        <w:t>TRUSTEE AND PRINCIPAL PAYING AGENT</w:t>
      </w:r>
    </w:p>
    <w:p>
      <w:pPr>
        <w:jc w:val="center"/>
        <w:ind w:right="2339"/>
        <w:spacing w:after="0" w:line="238" w:lineRule="auto"/>
        <w:rPr>
          <w:sz w:val="20"/>
          <w:szCs w:val="20"/>
          <w:color w:val="auto"/>
        </w:rPr>
      </w:pPr>
      <w:r>
        <w:rPr>
          <w:rFonts w:ascii="Courier New" w:cs="Courier New" w:eastAsia="Courier New" w:hAnsi="Courier New"/>
          <w:sz w:val="18"/>
          <w:szCs w:val="18"/>
          <w:color w:val="auto"/>
        </w:rPr>
        <w:t>The Chase Manhattan Bank</w:t>
      </w:r>
    </w:p>
    <w:p>
      <w:pPr>
        <w:jc w:val="center"/>
        <w:ind w:right="2339"/>
        <w:spacing w:after="0" w:line="238" w:lineRule="auto"/>
        <w:rPr>
          <w:sz w:val="20"/>
          <w:szCs w:val="20"/>
          <w:color w:val="auto"/>
        </w:rPr>
      </w:pPr>
      <w:r>
        <w:rPr>
          <w:rFonts w:ascii="Courier New" w:cs="Courier New" w:eastAsia="Courier New" w:hAnsi="Courier New"/>
          <w:sz w:val="18"/>
          <w:szCs w:val="18"/>
          <w:color w:val="auto"/>
        </w:rPr>
        <w:t>450 West 33rd Street</w:t>
      </w:r>
    </w:p>
    <w:p>
      <w:pPr>
        <w:jc w:val="center"/>
        <w:ind w:right="2339"/>
        <w:spacing w:after="0"/>
        <w:rPr>
          <w:sz w:val="20"/>
          <w:szCs w:val="20"/>
          <w:color w:val="auto"/>
        </w:rPr>
      </w:pPr>
      <w:r>
        <w:rPr>
          <w:rFonts w:ascii="Courier New" w:cs="Courier New" w:eastAsia="Courier New" w:hAnsi="Courier New"/>
          <w:sz w:val="18"/>
          <w:szCs w:val="18"/>
          <w:color w:val="auto"/>
        </w:rPr>
        <w:t>New York, New York 10001</w:t>
      </w:r>
    </w:p>
    <w:p>
      <w:pPr>
        <w:spacing w:after="0" w:line="20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8"/>
          <w:szCs w:val="18"/>
          <w:color w:val="auto"/>
        </w:rPr>
        <w:t>LUXEMBOURG PAYING AGENT/TRANSFER AGENT</w:t>
      </w:r>
    </w:p>
    <w:p>
      <w:pPr>
        <w:jc w:val="center"/>
        <w:ind w:right="2339"/>
        <w:spacing w:after="0" w:line="238" w:lineRule="auto"/>
        <w:rPr>
          <w:sz w:val="20"/>
          <w:szCs w:val="20"/>
          <w:color w:val="auto"/>
        </w:rPr>
      </w:pPr>
      <w:r>
        <w:rPr>
          <w:rFonts w:ascii="Courier New" w:cs="Courier New" w:eastAsia="Courier New" w:hAnsi="Courier New"/>
          <w:sz w:val="18"/>
          <w:szCs w:val="18"/>
          <w:color w:val="auto"/>
        </w:rPr>
        <w:t>Chase Manhattan Bank Luxembourg S.A.</w:t>
      </w:r>
    </w:p>
    <w:p>
      <w:pPr>
        <w:jc w:val="center"/>
        <w:ind w:right="2439"/>
        <w:spacing w:after="0" w:line="238" w:lineRule="auto"/>
        <w:rPr>
          <w:sz w:val="20"/>
          <w:szCs w:val="20"/>
          <w:color w:val="auto"/>
        </w:rPr>
      </w:pPr>
      <w:r>
        <w:rPr>
          <w:rFonts w:ascii="Courier New" w:cs="Courier New" w:eastAsia="Courier New" w:hAnsi="Courier New"/>
          <w:sz w:val="18"/>
          <w:szCs w:val="18"/>
          <w:color w:val="auto"/>
        </w:rPr>
        <w:t>5 rue Plaetis</w:t>
      </w:r>
    </w:p>
    <w:p>
      <w:pPr>
        <w:jc w:val="center"/>
        <w:ind w:right="2439"/>
        <w:spacing w:after="0"/>
        <w:rPr>
          <w:sz w:val="20"/>
          <w:szCs w:val="20"/>
          <w:color w:val="auto"/>
        </w:rPr>
      </w:pPr>
      <w:r>
        <w:rPr>
          <w:rFonts w:ascii="Courier New" w:cs="Courier New" w:eastAsia="Courier New" w:hAnsi="Courier New"/>
          <w:sz w:val="18"/>
          <w:szCs w:val="18"/>
          <w:color w:val="auto"/>
        </w:rPr>
        <w:t>L-2338 Luxembourg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40" w:type="dxa"/>
            <w:vAlign w:val="bottom"/>
          </w:tcPr>
          <w:p>
            <w:pPr>
              <w:ind w:left="2840"/>
              <w:spacing w:after="0"/>
              <w:rPr>
                <w:sz w:val="20"/>
                <w:szCs w:val="20"/>
                <w:color w:val="auto"/>
              </w:rPr>
            </w:pPr>
            <w:r>
              <w:rPr>
                <w:rFonts w:ascii="Courier New" w:cs="Courier New" w:eastAsia="Courier New" w:hAnsi="Courier New"/>
                <w:sz w:val="18"/>
                <w:szCs w:val="18"/>
                <w:color w:val="auto"/>
              </w:rPr>
              <w:t>LEGAL ADVISORS</w:t>
            </w:r>
          </w:p>
        </w:tc>
        <w:tc>
          <w:tcPr>
            <w:tcW w:w="3060" w:type="dxa"/>
            <w:vAlign w:val="bottom"/>
          </w:tcPr>
          <w:p>
            <w:pPr>
              <w:spacing w:after="0"/>
              <w:rPr>
                <w:sz w:val="17"/>
                <w:szCs w:val="17"/>
                <w:color w:val="auto"/>
              </w:rPr>
            </w:pPr>
          </w:p>
        </w:tc>
      </w:tr>
      <w:tr>
        <w:trPr>
          <w:trHeight w:val="810"/>
        </w:trPr>
        <w:tc>
          <w:tcPr>
            <w:tcW w:w="4840" w:type="dxa"/>
            <w:vAlign w:val="bottom"/>
          </w:tcPr>
          <w:p>
            <w:pPr>
              <w:jc w:val="center"/>
              <w:ind w:right="1372"/>
              <w:spacing w:after="0"/>
              <w:rPr>
                <w:sz w:val="20"/>
                <w:szCs w:val="20"/>
                <w:color w:val="auto"/>
              </w:rPr>
            </w:pPr>
            <w:r>
              <w:rPr>
                <w:rFonts w:ascii="Courier New" w:cs="Courier New" w:eastAsia="Courier New" w:hAnsi="Courier New"/>
                <w:sz w:val="18"/>
                <w:szCs w:val="18"/>
                <w:color w:val="auto"/>
                <w:w w:val="97"/>
              </w:rPr>
              <w:t>To Honeywell</w:t>
            </w:r>
          </w:p>
        </w:tc>
        <w:tc>
          <w:tcPr>
            <w:tcW w:w="3060" w:type="dxa"/>
            <w:vAlign w:val="bottom"/>
          </w:tcPr>
          <w:p>
            <w:pPr>
              <w:jc w:val="center"/>
              <w:ind w:left="532"/>
              <w:spacing w:after="0"/>
              <w:rPr>
                <w:sz w:val="20"/>
                <w:szCs w:val="20"/>
                <w:color w:val="auto"/>
              </w:rPr>
            </w:pPr>
            <w:r>
              <w:rPr>
                <w:rFonts w:ascii="Courier New" w:cs="Courier New" w:eastAsia="Courier New" w:hAnsi="Courier New"/>
                <w:sz w:val="18"/>
                <w:szCs w:val="18"/>
                <w:color w:val="auto"/>
                <w:w w:val="97"/>
              </w:rPr>
              <w:t>To the Underwriters</w:t>
            </w:r>
          </w:p>
        </w:tc>
      </w:tr>
      <w:tr>
        <w:trPr>
          <w:trHeight w:val="203"/>
        </w:trPr>
        <w:tc>
          <w:tcPr>
            <w:tcW w:w="484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As to United States Law</w:t>
            </w:r>
          </w:p>
        </w:tc>
        <w:tc>
          <w:tcPr>
            <w:tcW w:w="306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As to United States Law</w:t>
            </w: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6"/>
              </w:rPr>
              <w:t>J. Edward Smith, Esq.</w:t>
            </w:r>
          </w:p>
        </w:tc>
        <w:tc>
          <w:tcPr>
            <w:tcW w:w="306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Cravath, Swaine &amp; Moore</w:t>
            </w:r>
          </w:p>
        </w:tc>
      </w:tr>
      <w:tr>
        <w:trPr>
          <w:trHeight w:val="203"/>
        </w:trPr>
        <w:tc>
          <w:tcPr>
            <w:tcW w:w="484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Assistant General Counsel,</w:t>
            </w:r>
          </w:p>
        </w:tc>
        <w:tc>
          <w:tcPr>
            <w:tcW w:w="306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825 Eighth Avenue</w:t>
            </w: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6"/>
              </w:rPr>
              <w:t>Corporate and Finance</w:t>
            </w:r>
          </w:p>
        </w:tc>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New York, New York 10019</w:t>
            </w:r>
          </w:p>
        </w:tc>
      </w:tr>
      <w:tr>
        <w:trPr>
          <w:trHeight w:val="203"/>
        </w:trPr>
        <w:tc>
          <w:tcPr>
            <w:tcW w:w="4840" w:type="dxa"/>
            <w:vAlign w:val="bottom"/>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Honeywell International Inc.</w:t>
            </w:r>
          </w:p>
        </w:tc>
        <w:tc>
          <w:tcPr>
            <w:tcW w:w="3060" w:type="dxa"/>
            <w:vAlign w:val="bottom"/>
          </w:tcPr>
          <w:p>
            <w:pPr>
              <w:spacing w:after="0"/>
              <w:rPr>
                <w:sz w:val="17"/>
                <w:szCs w:val="17"/>
                <w:color w:val="auto"/>
              </w:rPr>
            </w:pP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101 Columbia Road</w:t>
            </w:r>
          </w:p>
        </w:tc>
        <w:tc>
          <w:tcPr>
            <w:tcW w:w="3060" w:type="dxa"/>
            <w:vAlign w:val="bottom"/>
          </w:tcPr>
          <w:p>
            <w:pPr>
              <w:spacing w:after="0"/>
              <w:rPr>
                <w:sz w:val="17"/>
                <w:szCs w:val="17"/>
                <w:color w:val="auto"/>
              </w:rPr>
            </w:pP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Morris Township, New Jersey 07962</w:t>
            </w:r>
          </w:p>
        </w:tc>
        <w:tc>
          <w:tcPr>
            <w:tcW w:w="3060" w:type="dxa"/>
            <w:vAlign w:val="bottom"/>
          </w:tcPr>
          <w:p>
            <w:pPr>
              <w:spacing w:after="0"/>
              <w:rPr>
                <w:sz w:val="17"/>
                <w:szCs w:val="17"/>
                <w:color w:val="auto"/>
              </w:rPr>
            </w:pPr>
          </w:p>
        </w:tc>
      </w:tr>
      <w:tr>
        <w:trPr>
          <w:trHeight w:val="405"/>
        </w:trPr>
        <w:tc>
          <w:tcPr>
            <w:tcW w:w="4840" w:type="dxa"/>
            <w:vAlign w:val="bottom"/>
          </w:tcPr>
          <w:p>
            <w:pPr>
              <w:jc w:val="center"/>
              <w:ind w:right="1372"/>
              <w:spacing w:after="0"/>
              <w:rPr>
                <w:sz w:val="20"/>
                <w:szCs w:val="20"/>
                <w:color w:val="auto"/>
              </w:rPr>
            </w:pPr>
            <w:r>
              <w:rPr>
                <w:rFonts w:ascii="Courier New" w:cs="Courier New" w:eastAsia="Courier New" w:hAnsi="Courier New"/>
                <w:sz w:val="18"/>
                <w:szCs w:val="18"/>
                <w:color w:val="auto"/>
                <w:w w:val="97"/>
              </w:rPr>
              <w:t>To Honeywell</w:t>
            </w:r>
          </w:p>
        </w:tc>
        <w:tc>
          <w:tcPr>
            <w:tcW w:w="3060" w:type="dxa"/>
            <w:vAlign w:val="bottom"/>
          </w:tcPr>
          <w:p>
            <w:pPr>
              <w:spacing w:after="0"/>
              <w:rPr>
                <w:sz w:val="24"/>
                <w:szCs w:val="24"/>
                <w:color w:val="auto"/>
              </w:rPr>
            </w:pP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As to United States Tax Law</w:t>
            </w:r>
          </w:p>
        </w:tc>
        <w:tc>
          <w:tcPr>
            <w:tcW w:w="3060" w:type="dxa"/>
            <w:vAlign w:val="bottom"/>
          </w:tcPr>
          <w:p>
            <w:pPr>
              <w:spacing w:after="0"/>
              <w:rPr>
                <w:sz w:val="17"/>
                <w:szCs w:val="17"/>
                <w:color w:val="auto"/>
              </w:rPr>
            </w:pPr>
          </w:p>
        </w:tc>
      </w:tr>
      <w:tr>
        <w:trPr>
          <w:trHeight w:val="203"/>
        </w:trPr>
        <w:tc>
          <w:tcPr>
            <w:tcW w:w="484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Cravath, Swaine &amp; Moore</w:t>
            </w:r>
          </w:p>
        </w:tc>
        <w:tc>
          <w:tcPr>
            <w:tcW w:w="3060" w:type="dxa"/>
            <w:vAlign w:val="bottom"/>
          </w:tcPr>
          <w:p>
            <w:pPr>
              <w:spacing w:after="0"/>
              <w:rPr>
                <w:sz w:val="17"/>
                <w:szCs w:val="17"/>
                <w:color w:val="auto"/>
              </w:rPr>
            </w:pPr>
          </w:p>
        </w:tc>
      </w:tr>
      <w:tr>
        <w:trPr>
          <w:trHeight w:val="203"/>
        </w:trPr>
        <w:tc>
          <w:tcPr>
            <w:tcW w:w="484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825 Eighth Avenue</w:t>
            </w:r>
          </w:p>
        </w:tc>
        <w:tc>
          <w:tcPr>
            <w:tcW w:w="3060" w:type="dxa"/>
            <w:vAlign w:val="bottom"/>
          </w:tcPr>
          <w:p>
            <w:pPr>
              <w:spacing w:after="0"/>
              <w:rPr>
                <w:sz w:val="17"/>
                <w:szCs w:val="17"/>
                <w:color w:val="auto"/>
              </w:rPr>
            </w:pPr>
          </w:p>
        </w:tc>
      </w:tr>
      <w:tr>
        <w:trPr>
          <w:trHeight w:val="203"/>
        </w:trPr>
        <w:tc>
          <w:tcPr>
            <w:tcW w:w="484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New York, New York 10019</w:t>
            </w:r>
          </w:p>
        </w:tc>
        <w:tc>
          <w:tcPr>
            <w:tcW w:w="3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8"/>
          <w:szCs w:val="18"/>
          <w:color w:val="auto"/>
        </w:rPr>
        <w:t>LISTING AGENT</w:t>
      </w:r>
    </w:p>
    <w:p>
      <w:pPr>
        <w:jc w:val="center"/>
        <w:ind w:right="2439"/>
        <w:spacing w:after="0" w:line="238" w:lineRule="auto"/>
        <w:rPr>
          <w:sz w:val="20"/>
          <w:szCs w:val="20"/>
          <w:color w:val="auto"/>
        </w:rPr>
      </w:pPr>
      <w:r>
        <w:rPr>
          <w:rFonts w:ascii="Courier New" w:cs="Courier New" w:eastAsia="Courier New" w:hAnsi="Courier New"/>
          <w:sz w:val="18"/>
          <w:szCs w:val="18"/>
          <w:color w:val="auto"/>
        </w:rPr>
        <w:t>Deutsche Bank Luxembourg S.A.</w:t>
      </w:r>
    </w:p>
    <w:p>
      <w:pPr>
        <w:jc w:val="center"/>
        <w:ind w:right="2439"/>
        <w:spacing w:after="0" w:line="238" w:lineRule="auto"/>
        <w:rPr>
          <w:sz w:val="20"/>
          <w:szCs w:val="20"/>
          <w:color w:val="auto"/>
        </w:rPr>
      </w:pPr>
      <w:r>
        <w:rPr>
          <w:rFonts w:ascii="Courier New" w:cs="Courier New" w:eastAsia="Courier New" w:hAnsi="Courier New"/>
          <w:sz w:val="18"/>
          <w:szCs w:val="18"/>
          <w:color w:val="auto"/>
        </w:rPr>
        <w:t>2 Boulevard Konrad Adenauer</w:t>
      </w:r>
    </w:p>
    <w:p>
      <w:pPr>
        <w:jc w:val="center"/>
        <w:ind w:right="2439"/>
        <w:spacing w:after="0"/>
        <w:rPr>
          <w:sz w:val="20"/>
          <w:szCs w:val="20"/>
          <w:color w:val="auto"/>
        </w:rPr>
      </w:pPr>
      <w:r>
        <w:rPr>
          <w:rFonts w:ascii="Courier New" w:cs="Courier New" w:eastAsia="Courier New" w:hAnsi="Courier New"/>
          <w:sz w:val="18"/>
          <w:szCs w:val="18"/>
          <w:color w:val="auto"/>
        </w:rPr>
        <w:t>L-1115 Luxembourg</w:t>
      </w:r>
    </w:p>
    <w:p>
      <w:pPr>
        <w:spacing w:after="0" w:line="20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8"/>
          <w:szCs w:val="18"/>
          <w:color w:val="auto"/>
        </w:rPr>
        <w:t>INDEPENDENT ACCOUNTANTS TO HONEYWELL</w:t>
      </w:r>
    </w:p>
    <w:p>
      <w:pPr>
        <w:jc w:val="center"/>
        <w:ind w:right="2339"/>
        <w:spacing w:after="0" w:line="238" w:lineRule="auto"/>
        <w:rPr>
          <w:sz w:val="20"/>
          <w:szCs w:val="20"/>
          <w:color w:val="auto"/>
        </w:rPr>
      </w:pPr>
      <w:r>
        <w:rPr>
          <w:rFonts w:ascii="Courier New" w:cs="Courier New" w:eastAsia="Courier New" w:hAnsi="Courier New"/>
          <w:sz w:val="18"/>
          <w:szCs w:val="18"/>
          <w:color w:val="auto"/>
        </w:rPr>
        <w:t>PricewaterhouseCoopers LLP</w:t>
      </w:r>
    </w:p>
    <w:p>
      <w:pPr>
        <w:jc w:val="center"/>
        <w:ind w:right="2339"/>
        <w:spacing w:after="0" w:line="238" w:lineRule="auto"/>
        <w:rPr>
          <w:sz w:val="20"/>
          <w:szCs w:val="20"/>
          <w:color w:val="auto"/>
        </w:rPr>
      </w:pPr>
      <w:r>
        <w:rPr>
          <w:rFonts w:ascii="Courier New" w:cs="Courier New" w:eastAsia="Courier New" w:hAnsi="Courier New"/>
          <w:sz w:val="18"/>
          <w:szCs w:val="18"/>
          <w:color w:val="auto"/>
        </w:rPr>
        <w:t>400 Campus Drive</w:t>
      </w:r>
    </w:p>
    <w:p>
      <w:pPr>
        <w:jc w:val="center"/>
        <w:ind w:right="2339"/>
        <w:spacing w:after="0"/>
        <w:rPr>
          <w:sz w:val="20"/>
          <w:szCs w:val="20"/>
          <w:color w:val="auto"/>
        </w:rPr>
      </w:pPr>
      <w:r>
        <w:rPr>
          <w:rFonts w:ascii="Courier New" w:cs="Courier New" w:eastAsia="Courier New" w:hAnsi="Courier New"/>
          <w:sz w:val="18"/>
          <w:szCs w:val="18"/>
          <w:color w:val="auto"/>
        </w:rPr>
        <w:t>Florham Park, New Jersey 07932</w:t>
      </w:r>
    </w:p>
    <w:p>
      <w:pPr>
        <w:sectPr>
          <w:pgSz w:w="11900" w:h="16838" w:orient="portrait"/>
          <w:cols w:equalWidth="0" w:num="1">
            <w:col w:w="9499"/>
          </w:cols>
          <w:pgMar w:left="960" w:top="7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$1,000,000,000</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HONEYWELL INTERNATIONAL INC.</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7.50% NOTES DUE 2010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PROSPECTUS SUPPLEMENT</w:t>
      </w:r>
    </w:p>
    <w:p>
      <w:pPr>
        <w:jc w:val="center"/>
        <w:ind w:right="1799"/>
        <w:spacing w:after="0" w:line="238" w:lineRule="auto"/>
        <w:rPr>
          <w:sz w:val="20"/>
          <w:szCs w:val="20"/>
          <w:color w:val="auto"/>
        </w:rPr>
      </w:pPr>
      <w:r>
        <w:rPr>
          <w:rFonts w:ascii="Courier New" w:cs="Courier New" w:eastAsia="Courier New" w:hAnsi="Courier New"/>
          <w:sz w:val="18"/>
          <w:szCs w:val="18"/>
          <w:color w:val="auto"/>
        </w:rPr>
        <w:t>FEBRUARY 24, 2000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SALOMON SMITH BARNEY</w:t>
      </w:r>
    </w:p>
    <w:p>
      <w:pPr>
        <w:ind w:left="3280"/>
        <w:spacing w:after="0" w:line="238" w:lineRule="auto"/>
        <w:rPr>
          <w:sz w:val="20"/>
          <w:szCs w:val="20"/>
          <w:color w:val="auto"/>
        </w:rPr>
      </w:pPr>
      <w:r>
        <w:rPr>
          <w:rFonts w:ascii="Courier New" w:cs="Courier New" w:eastAsia="Courier New" w:hAnsi="Courier New"/>
          <w:sz w:val="18"/>
          <w:szCs w:val="18"/>
          <w:color w:val="auto"/>
        </w:rPr>
        <w:t>J.P. MORGAN &amp; CO.</w:t>
      </w:r>
    </w:p>
    <w:p>
      <w:pPr>
        <w:ind w:left="2640"/>
        <w:spacing w:after="0" w:line="238" w:lineRule="auto"/>
        <w:rPr>
          <w:sz w:val="20"/>
          <w:szCs w:val="20"/>
          <w:color w:val="auto"/>
        </w:rPr>
      </w:pPr>
      <w:r>
        <w:rPr>
          <w:rFonts w:ascii="Courier New" w:cs="Courier New" w:eastAsia="Courier New" w:hAnsi="Courier New"/>
          <w:sz w:val="18"/>
          <w:szCs w:val="18"/>
          <w:color w:val="auto"/>
        </w:rPr>
        <w:t>BANC OF AMERICA SECURITIES LLC</w:t>
      </w:r>
    </w:p>
    <w:p>
      <w:pPr>
        <w:ind w:left="3380"/>
        <w:spacing w:after="0"/>
        <w:rPr>
          <w:sz w:val="20"/>
          <w:szCs w:val="20"/>
          <w:color w:val="auto"/>
        </w:rPr>
      </w:pPr>
      <w:r>
        <w:rPr>
          <w:rFonts w:ascii="Courier New" w:cs="Courier New" w:eastAsia="Courier New" w:hAnsi="Courier New"/>
          <w:sz w:val="18"/>
          <w:szCs w:val="18"/>
          <w:color w:val="auto"/>
        </w:rPr>
        <w:t>BARCLAYS CAPITAL</w:t>
      </w:r>
    </w:p>
    <w:p>
      <w:pPr>
        <w:ind w:left="3060"/>
        <w:spacing w:after="0" w:line="237" w:lineRule="auto"/>
        <w:rPr>
          <w:sz w:val="20"/>
          <w:szCs w:val="20"/>
          <w:color w:val="auto"/>
        </w:rPr>
      </w:pPr>
      <w:r>
        <w:rPr>
          <w:rFonts w:ascii="Courier New" w:cs="Courier New" w:eastAsia="Courier New" w:hAnsi="Courier New"/>
          <w:sz w:val="18"/>
          <w:szCs w:val="18"/>
          <w:color w:val="auto"/>
        </w:rPr>
        <w:t>CHASE SECURITIES INC.</w:t>
      </w:r>
    </w:p>
    <w:p>
      <w:pPr>
        <w:ind w:left="2860"/>
        <w:spacing w:after="0" w:line="238" w:lineRule="auto"/>
        <w:rPr>
          <w:sz w:val="20"/>
          <w:szCs w:val="20"/>
          <w:color w:val="auto"/>
        </w:rPr>
      </w:pPr>
      <w:r>
        <w:rPr>
          <w:rFonts w:ascii="Courier New" w:cs="Courier New" w:eastAsia="Courier New" w:hAnsi="Courier New"/>
          <w:sz w:val="18"/>
          <w:szCs w:val="18"/>
          <w:color w:val="auto"/>
        </w:rPr>
        <w:t>DEUTSCHE BANC ALEX. BROWN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STATEMENT OF DIFFERENCES</w:t>
      </w:r>
    </w:p>
    <w:p>
      <w:pPr>
        <w:spacing w:after="0" w:line="207"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The trademark symbol shall be expressed as.......................... 'TM' The registered trademark symbol shall be expressed as............... 'r'</w:t>
      </w:r>
    </w:p>
    <w:sectPr>
      <w:pgSz w:w="11900" w:h="16838" w:orient="portrait"/>
      <w:cols w:equalWidth="0" w:num="1">
        <w:col w:w="10139"/>
      </w:cols>
      <w:pgMar w:left="32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6"/>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lvl w:ilvl="1">
      <w:lvlJc w:val="left"/>
      <w:lvlText w:val="--"/>
      <w:numFmt w:val="bullet"/>
      <w:start w:val="1"/>
    </w:lvl>
  </w:abstractNum>
  <w:abstractNum w:abstractNumId="6">
    <w:nsid w:val="7545E146"/>
    <w:multiLevelType w:val="hybridMultilevel"/>
    <w:lvl w:ilvl="0">
      <w:lvlJc w:val="left"/>
      <w:lvlText w:val="(%1)"/>
      <w:numFmt w:val="decimal"/>
      <w:start w:val="97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2020-10-05T23:32:32Z</dcterms:created>
  <dcterms:modified xsi:type="dcterms:W3CDTF">2020-10-05T23:32:32Z</dcterms:modified>
</cp:coreProperties>
</file>