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color w:val="auto"/>
        </w:rPr>
        <w:t>UNITED STATES</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PURSUANT TO SECTION 13 OR 15(D) OF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 June 15, 2026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earliest event reported)</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HONEYWELL INTERNATIONAL INC.</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004" w:right="339" w:bottom="1440" w:gutter="0" w:footer="0" w:header="0"/>
        </w:sectPr>
      </w:pPr>
    </w:p>
    <w:p>
      <w:pPr>
        <w:spacing w:after="0" w:line="248" w:lineRule="exact"/>
        <w:rPr>
          <w:sz w:val="24"/>
          <w:szCs w:val="24"/>
          <w:color w:val="auto"/>
        </w:rPr>
      </w:pPr>
    </w:p>
    <w:p>
      <w:pPr>
        <w:ind w:left="1540"/>
        <w:spacing w:after="0"/>
        <w:rPr>
          <w:sz w:val="20"/>
          <w:szCs w:val="20"/>
          <w:color w:val="auto"/>
        </w:rPr>
      </w:pPr>
      <w:r>
        <w:rPr>
          <w:rFonts w:ascii="Arial" w:cs="Arial" w:eastAsia="Arial" w:hAnsi="Arial"/>
          <w:sz w:val="18"/>
          <w:szCs w:val="18"/>
          <w:color w:val="auto"/>
        </w:rPr>
        <w:t>Delaware</w:t>
      </w:r>
    </w:p>
    <w:p>
      <w:pPr>
        <w:spacing w:after="0" w:line="9" w:lineRule="exact"/>
        <w:rPr>
          <w:sz w:val="24"/>
          <w:szCs w:val="24"/>
          <w:color w:val="auto"/>
        </w:rPr>
      </w:pPr>
    </w:p>
    <w:p>
      <w:pPr>
        <w:ind w:left="800"/>
        <w:spacing w:after="0"/>
        <w:rPr>
          <w:sz w:val="20"/>
          <w:szCs w:val="20"/>
          <w:color w:val="auto"/>
        </w:rPr>
      </w:pPr>
      <w:r>
        <w:rPr>
          <w:rFonts w:ascii="Arial" w:cs="Arial" w:eastAsia="Arial" w:hAnsi="Arial"/>
          <w:sz w:val="18"/>
          <w:szCs w:val="18"/>
          <w:color w:val="auto"/>
        </w:rPr>
        <w:t>(State or other jurisdiction of</w:t>
      </w:r>
    </w:p>
    <w:p>
      <w:pPr>
        <w:ind w:left="138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jc w:val="center"/>
        <w:ind w:right="720"/>
        <w:spacing w:after="0"/>
        <w:rPr>
          <w:sz w:val="20"/>
          <w:szCs w:val="20"/>
          <w:color w:val="auto"/>
        </w:rPr>
      </w:pPr>
      <w:r>
        <w:rPr>
          <w:rFonts w:ascii="Arial" w:cs="Arial" w:eastAsia="Arial" w:hAnsi="Arial"/>
          <w:sz w:val="18"/>
          <w:szCs w:val="18"/>
          <w:color w:val="auto"/>
        </w:rPr>
        <w:t>1-8974</w:t>
      </w:r>
    </w:p>
    <w:p>
      <w:pPr>
        <w:spacing w:after="0" w:line="32" w:lineRule="exact"/>
        <w:rPr>
          <w:sz w:val="24"/>
          <w:szCs w:val="24"/>
          <w:color w:val="auto"/>
        </w:rPr>
      </w:pPr>
    </w:p>
    <w:p>
      <w:pPr>
        <w:jc w:val="center"/>
        <w:ind w:right="720"/>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22-2640650</w:t>
      </w:r>
    </w:p>
    <w:p>
      <w:pPr>
        <w:spacing w:after="0" w:line="21" w:lineRule="exact"/>
        <w:rPr>
          <w:sz w:val="24"/>
          <w:szCs w:val="24"/>
          <w:color w:val="auto"/>
        </w:rPr>
      </w:pPr>
    </w:p>
    <w:p>
      <w:pPr>
        <w:jc w:val="center"/>
        <w:ind w:right="680"/>
        <w:spacing w:after="0"/>
        <w:rPr>
          <w:sz w:val="20"/>
          <w:szCs w:val="20"/>
          <w:color w:val="auto"/>
        </w:rPr>
      </w:pPr>
      <w:r>
        <w:rPr>
          <w:rFonts w:ascii="Arial" w:cs="Arial" w:eastAsia="Arial" w:hAnsi="Arial"/>
          <w:sz w:val="17"/>
          <w:szCs w:val="17"/>
          <w:color w:val="auto"/>
        </w:rPr>
        <w:t>(I.R.S. Employer Identification</w:t>
      </w:r>
    </w:p>
    <w:p>
      <w:pPr>
        <w:jc w:val="center"/>
        <w:ind w:right="680"/>
        <w:spacing w:after="0"/>
        <w:rPr>
          <w:sz w:val="20"/>
          <w:szCs w:val="20"/>
          <w:color w:val="auto"/>
        </w:rPr>
      </w:pPr>
      <w:r>
        <w:rPr>
          <w:rFonts w:ascii="Arial" w:cs="Arial" w:eastAsia="Arial" w:hAnsi="Arial"/>
          <w:sz w:val="18"/>
          <w:szCs w:val="18"/>
          <w:color w:val="auto"/>
        </w:rPr>
        <w:t>Number)</w:t>
      </w:r>
    </w:p>
    <w:p>
      <w:pPr>
        <w:spacing w:after="0" w:line="200" w:lineRule="exact"/>
        <w:rPr>
          <w:sz w:val="24"/>
          <w:szCs w:val="24"/>
          <w:color w:val="auto"/>
        </w:rPr>
      </w:pPr>
    </w:p>
    <w:p>
      <w:pPr>
        <w:sectPr>
          <w:pgSz w:w="11900" w:h="16838" w:orient="portrait"/>
          <w:cols w:equalWidth="0" w:num="3">
            <w:col w:w="3880" w:space="720"/>
            <w:col w:w="2860" w:space="720"/>
            <w:col w:w="3060"/>
          </w:cols>
          <w:pgMar w:left="320" w:top="1004" w:right="339" w:bottom="1440" w:gutter="0" w:footer="0" w:header="0"/>
          <w:type w:val="continuous"/>
        </w:sectPr>
      </w:pPr>
    </w:p>
    <w:p>
      <w:pPr>
        <w:spacing w:after="0" w:line="1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855 S. MINT STREET, CHARLOTTE, NC</w:t>
      </w:r>
      <w:r>
        <w:rPr>
          <w:rFonts w:ascii="Arial" w:cs="Arial" w:eastAsia="Arial" w:hAnsi="Arial"/>
          <w:sz w:val="18"/>
          <w:szCs w:val="18"/>
          <w:color w:val="FFFFFF"/>
        </w:rPr>
        <w:t>..................................................</w:t>
      </w:r>
      <w:r>
        <w:rPr>
          <w:rFonts w:ascii="Arial" w:cs="Arial" w:eastAsia="Arial" w:hAnsi="Arial"/>
          <w:sz w:val="18"/>
          <w:szCs w:val="18"/>
          <w:color w:val="auto"/>
        </w:rPr>
        <w:t>28202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FFFFFF"/>
        </w:rPr>
        <w:t>......</w:t>
      </w:r>
      <w:r>
        <w:rPr>
          <w:rFonts w:ascii="Arial" w:cs="Arial" w:eastAsia="Arial" w:hAnsi="Arial"/>
          <w:sz w:val="17"/>
          <w:szCs w:val="17"/>
          <w:color w:val="000000"/>
        </w:rPr>
        <w:t>(Address of principal executive offices)</w:t>
      </w:r>
      <w:r>
        <w:rPr>
          <w:rFonts w:ascii="Arial" w:cs="Arial" w:eastAsia="Arial" w:hAnsi="Arial"/>
          <w:sz w:val="17"/>
          <w:szCs w:val="17"/>
          <w:color w:val="FFFFFF"/>
        </w:rPr>
        <w:t>.................................................</w:t>
      </w:r>
      <w:r>
        <w:rPr>
          <w:rFonts w:ascii="Arial" w:cs="Arial" w:eastAsia="Arial" w:hAnsi="Arial"/>
          <w:sz w:val="17"/>
          <w:szCs w:val="17"/>
          <w:color w:val="000000"/>
        </w:rPr>
        <w:t>(Zip Code)</w:t>
      </w:r>
    </w:p>
    <w:p>
      <w:pPr>
        <w:sectPr>
          <w:pgSz w:w="11900" w:h="16838" w:orient="portrait"/>
          <w:cols w:equalWidth="0" w:num="1">
            <w:col w:w="11240"/>
          </w:cols>
          <w:pgMar w:left="320" w:top="1004" w:right="339" w:bottom="1440" w:gutter="0" w:footer="0" w:header="0"/>
          <w:type w:val="continuous"/>
        </w:sectPr>
      </w:pPr>
    </w:p>
    <w:p>
      <w:pPr>
        <w:spacing w:after="0" w:line="24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 (704) 627-6200</w:t>
      </w:r>
    </w:p>
    <w:p>
      <w:pPr>
        <w:spacing w:after="0" w:line="252"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0"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4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Title of each class</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Trading</w:t>
            </w:r>
          </w:p>
        </w:tc>
        <w:tc>
          <w:tcPr>
            <w:tcW w:w="5280" w:type="dxa"/>
            <w:vAlign w:val="bottom"/>
            <w:vMerge w:val="restart"/>
          </w:tcPr>
          <w:p>
            <w:pPr>
              <w:jc w:val="center"/>
              <w:spacing w:after="0"/>
              <w:rPr>
                <w:sz w:val="20"/>
                <w:szCs w:val="20"/>
                <w:color w:val="auto"/>
              </w:rPr>
            </w:pPr>
            <w:r>
              <w:rPr>
                <w:rFonts w:ascii="Arial" w:cs="Arial" w:eastAsia="Arial" w:hAnsi="Arial"/>
                <w:sz w:val="18"/>
                <w:szCs w:val="18"/>
                <w:color w:val="auto"/>
                <w:w w:val="99"/>
              </w:rPr>
              <w:t>Name of each exchange on which registered</w:t>
            </w:r>
          </w:p>
        </w:tc>
        <w:tc>
          <w:tcPr>
            <w:tcW w:w="0" w:type="dxa"/>
            <w:vAlign w:val="bottom"/>
          </w:tcPr>
          <w:p>
            <w:pPr>
              <w:spacing w:after="0"/>
              <w:rPr>
                <w:sz w:val="1"/>
                <w:szCs w:val="1"/>
                <w:color w:val="auto"/>
              </w:rPr>
            </w:pPr>
          </w:p>
        </w:tc>
      </w:tr>
      <w:tr>
        <w:trPr>
          <w:trHeight w:val="243"/>
        </w:trPr>
        <w:tc>
          <w:tcPr>
            <w:tcW w:w="4460" w:type="dxa"/>
            <w:vAlign w:val="bottom"/>
            <w:gridSpan w:val="2"/>
            <w:vMerge w:val="continue"/>
          </w:tcPr>
          <w:p>
            <w:pPr>
              <w:spacing w:after="0"/>
              <w:rPr>
                <w:sz w:val="21"/>
                <w:szCs w:val="21"/>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Symbol(s)</w:t>
            </w:r>
          </w:p>
        </w:tc>
        <w:tc>
          <w:tcPr>
            <w:tcW w:w="5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$1 per share</w:t>
            </w:r>
          </w:p>
        </w:tc>
        <w:tc>
          <w:tcPr>
            <w:tcW w:w="100" w:type="dxa"/>
            <w:vAlign w:val="bottom"/>
          </w:tcPr>
          <w:p>
            <w:pPr>
              <w:spacing w:after="0"/>
              <w:rPr>
                <w:sz w:val="18"/>
                <w:szCs w:val="18"/>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HON</w:t>
            </w:r>
          </w:p>
        </w:tc>
        <w:tc>
          <w:tcPr>
            <w:tcW w:w="120" w:type="dxa"/>
            <w:vAlign w:val="bottom"/>
          </w:tcPr>
          <w:p>
            <w:pPr>
              <w:spacing w:after="0"/>
              <w:rPr>
                <w:sz w:val="18"/>
                <w:szCs w:val="18"/>
                <w:color w:val="auto"/>
              </w:rPr>
            </w:pPr>
          </w:p>
        </w:tc>
        <w:tc>
          <w:tcPr>
            <w:tcW w:w="5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230"/>
        </w:trPr>
        <w:tc>
          <w:tcPr>
            <w:tcW w:w="4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3.375% Senior Notes due 2030</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HON 30</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229"/>
        </w:trPr>
        <w:tc>
          <w:tcPr>
            <w:tcW w:w="4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0.750% Senior Notes due 2032</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HON 32</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230"/>
        </w:trPr>
        <w:tc>
          <w:tcPr>
            <w:tcW w:w="4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3.750% Senior Notes due 2032</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HON 32A</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230"/>
        </w:trPr>
        <w:tc>
          <w:tcPr>
            <w:tcW w:w="4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4.125% Senior Notes due 2034</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HON 34</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239"/>
        </w:trPr>
        <w:tc>
          <w:tcPr>
            <w:tcW w:w="4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3.750% Senior Notes due 2036</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HON 36</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bl>
    <w:p>
      <w:pPr>
        <w:spacing w:after="0" w:line="288"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82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681990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type w:val="continuous"/>
        </w:sectPr>
      </w:pPr>
    </w:p>
    <w:bookmarkStart w:id="1" w:name="page2"/>
    <w:bookmarkEnd w:id="1"/>
    <w:p>
      <w:pPr>
        <w:ind w:right="800"/>
        <w:spacing w:after="0" w:line="281"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77"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8"/>
          <w:szCs w:val="18"/>
          <w:color w:val="auto"/>
        </w:rPr>
        <w:t>On June 13, 2026, each of Messrs. Craig Arnold, William Ayer and D. Scott Davis and Ms. Deborah Flint notified the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of Honeywell International Inc. (the “</w:t>
      </w:r>
      <w:r>
        <w:rPr>
          <w:rFonts w:ascii="Arial" w:cs="Arial" w:eastAsia="Arial" w:hAnsi="Arial"/>
          <w:sz w:val="18"/>
          <w:szCs w:val="18"/>
          <w:u w:val="single" w:color="auto"/>
          <w:color w:val="auto"/>
        </w:rPr>
        <w:t>Company</w:t>
      </w:r>
      <w:r>
        <w:rPr>
          <w:rFonts w:ascii="Arial" w:cs="Arial" w:eastAsia="Arial" w:hAnsi="Arial"/>
          <w:sz w:val="18"/>
          <w:szCs w:val="18"/>
          <w:color w:val="auto"/>
        </w:rPr>
        <w:t>”) that, in connection with the anticipated spin-off of the Company’s Aerospace Technologies business into an independent, publicly traded company (the “</w:t>
      </w:r>
      <w:r>
        <w:rPr>
          <w:rFonts w:ascii="Arial" w:cs="Arial" w:eastAsia="Arial" w:hAnsi="Arial"/>
          <w:sz w:val="18"/>
          <w:szCs w:val="18"/>
          <w:u w:val="single" w:color="auto"/>
          <w:color w:val="auto"/>
        </w:rPr>
        <w:t>Spin</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Off</w:t>
      </w:r>
      <w:r>
        <w:rPr>
          <w:rFonts w:ascii="Arial" w:cs="Arial" w:eastAsia="Arial" w:hAnsi="Arial"/>
          <w:sz w:val="18"/>
          <w:szCs w:val="18"/>
          <w:color w:val="auto"/>
        </w:rPr>
        <w:t>”), he/she will be resigning from the Board, effective as of immediately prior to and conditioned upon the consummation of the Spin-Off. Each of Messrs. Arnold’s, Ayer’s and Davis’s and Ms. Flint’s decision to resign from the Board follows the earlier announcement that he/she is expected to join the Board of Directors of Honeywell Aerospace Inc. (“</w:t>
      </w:r>
      <w:r>
        <w:rPr>
          <w:rFonts w:ascii="Arial" w:cs="Arial" w:eastAsia="Arial" w:hAnsi="Arial"/>
          <w:sz w:val="18"/>
          <w:szCs w:val="18"/>
          <w:u w:val="single" w:color="auto"/>
          <w:color w:val="auto"/>
        </w:rPr>
        <w:t>Honeywell Aerospace</w:t>
      </w:r>
      <w:r>
        <w:rPr>
          <w:rFonts w:ascii="Arial" w:cs="Arial" w:eastAsia="Arial" w:hAnsi="Arial"/>
          <w:sz w:val="18"/>
          <w:szCs w:val="18"/>
          <w:color w:val="auto"/>
        </w:rPr>
        <w:t>”), currently a wholly owned subsidiary of the Company, and is not the result of any disagreement relating to the Company’s operations, policies, or practices. Prior to the consummation of the Spin-Off, each of Messrs. Arnold, Ayer and Davis and Ms. Flint will continue to serve on the Board. On June 13, 2026, Ms. Jillian Evanko notified the Board that she resigned from the Board, effective immediately, due to developments relating to her other professional commitments and activities. Ms. Evanko’s decision to resign from the Board is not the result of any disagreement relating to the Company’s operations, policies or practices. The Company thanks Messrs. Arnold, Ayer and Davis and Mses. Evanko and Flint for their Board service.</w:t>
      </w:r>
    </w:p>
    <w:p>
      <w:pPr>
        <w:spacing w:after="0" w:line="2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239" w:lineRule="exact"/>
        <w:rPr>
          <w:sz w:val="20"/>
          <w:szCs w:val="20"/>
          <w:color w:val="auto"/>
        </w:rPr>
      </w:pPr>
    </w:p>
    <w:p>
      <w:pPr>
        <w:jc w:val="both"/>
        <w:ind w:right="140" w:firstLine="648"/>
        <w:spacing w:after="0" w:line="253" w:lineRule="auto"/>
        <w:rPr>
          <w:sz w:val="20"/>
          <w:szCs w:val="20"/>
          <w:color w:val="auto"/>
        </w:rPr>
      </w:pPr>
      <w:r>
        <w:rPr>
          <w:rFonts w:ascii="Arial" w:cs="Arial" w:eastAsia="Arial" w:hAnsi="Arial"/>
          <w:sz w:val="18"/>
          <w:szCs w:val="18"/>
          <w:color w:val="auto"/>
        </w:rPr>
        <w:t>On June 15, 2026, the Company issued a press release announcing, among other things, that the Board has approved the Spin-Off and declared the Distribution (as defined below). A copy of the press release is attached hereto as Exhibit 99.1 and is incorporated into this Item 7.01 by reference.</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contained in Item 7.01 of this Current Report on Form 8-K, including Exhibit 99.1 attached hereto, is being furnished</w:t>
      </w:r>
    </w:p>
    <w:p>
      <w:pPr>
        <w:spacing w:after="0" w:line="14" w:lineRule="exact"/>
        <w:rPr>
          <w:sz w:val="20"/>
          <w:szCs w:val="20"/>
          <w:color w:val="auto"/>
        </w:rPr>
      </w:pPr>
    </w:p>
    <w:p>
      <w:pPr>
        <w:ind w:right="420"/>
        <w:spacing w:after="0"/>
        <w:rPr>
          <w:sz w:val="20"/>
          <w:szCs w:val="20"/>
          <w:color w:val="auto"/>
        </w:rPr>
      </w:pPr>
      <w:r>
        <w:rPr>
          <w:rFonts w:ascii="Arial" w:cs="Arial" w:eastAsia="Arial" w:hAnsi="Arial"/>
          <w:sz w:val="17"/>
          <w:szCs w:val="17"/>
          <w:color w:val="auto"/>
        </w:rPr>
        <w:t>and shall not be deemed “filed” for purposes of Section 18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or otherwise subject to the liabilities of Section 18, and shall not be deemed to be incorporated by reference into any filing made under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of 1933, as amended, or the Exchange Act, except as otherwise expressly stated in such filing.</w:t>
      </w:r>
    </w:p>
    <w:p>
      <w:pPr>
        <w:spacing w:after="0" w:line="2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7"/>
          <w:szCs w:val="17"/>
          <w:b w:val="1"/>
          <w:bCs w:val="1"/>
          <w:color w:val="auto"/>
        </w:rPr>
        <w:t>Other Events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June 15, 2026, the Company announced that the Board has approved the Spin-Off and declared a pro rata distribution (the</w:t>
      </w:r>
    </w:p>
    <w:p>
      <w:pPr>
        <w:spacing w:after="0" w:line="14"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Distribution</w:t>
      </w:r>
      <w:r>
        <w:rPr>
          <w:rFonts w:ascii="Arial" w:cs="Arial" w:eastAsia="Arial" w:hAnsi="Arial"/>
          <w:sz w:val="17"/>
          <w:szCs w:val="17"/>
          <w:color w:val="auto"/>
        </w:rPr>
        <w:t>”) of all of the issued and outstanding shares of Honeywell Aerospace common stock to the holders of Company common stock as of the close of business on June 15, 2026 (the “</w:t>
      </w:r>
      <w:r>
        <w:rPr>
          <w:rFonts w:ascii="Arial" w:cs="Arial" w:eastAsia="Arial" w:hAnsi="Arial"/>
          <w:sz w:val="17"/>
          <w:szCs w:val="17"/>
          <w:u w:val="single" w:color="auto"/>
          <w:color w:val="auto"/>
        </w:rPr>
        <w:t>Record Date</w:t>
      </w:r>
      <w:r>
        <w:rPr>
          <w:rFonts w:ascii="Arial" w:cs="Arial" w:eastAsia="Arial" w:hAnsi="Arial"/>
          <w:sz w:val="17"/>
          <w:szCs w:val="17"/>
          <w:color w:val="auto"/>
        </w:rPr>
        <w:t>”). The Distribution will be effective as of 12:01 a.m. (New York City time) on</w:t>
      </w:r>
    </w:p>
    <w:p>
      <w:pPr>
        <w:spacing w:after="0" w:line="1"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June 29, 2026 (the “</w:t>
      </w:r>
      <w:r>
        <w:rPr>
          <w:rFonts w:ascii="Arial" w:cs="Arial" w:eastAsia="Arial" w:hAnsi="Arial"/>
          <w:sz w:val="18"/>
          <w:szCs w:val="18"/>
          <w:u w:val="single" w:color="auto"/>
          <w:color w:val="auto"/>
        </w:rPr>
        <w:t>Distribution Date</w:t>
      </w:r>
      <w:r>
        <w:rPr>
          <w:rFonts w:ascii="Arial" w:cs="Arial" w:eastAsia="Arial" w:hAnsi="Arial"/>
          <w:sz w:val="18"/>
          <w:szCs w:val="18"/>
          <w:color w:val="auto"/>
        </w:rPr>
        <w:t>”). On the Distribution Date, holders of Company common stock will receive one share of Honeywell Aerospace common stock for every two shares of Company common stock they held as of the close of business on the Record Date. Such holders of record of Company common stock will receive cash in lieu of any fractional shares of Honeywell Aerospace common stock that they would have received after application of such distribution ratio.</w:t>
      </w:r>
    </w:p>
    <w:p>
      <w:pPr>
        <w:spacing w:after="0" w:line="207" w:lineRule="exact"/>
        <w:rPr>
          <w:sz w:val="20"/>
          <w:szCs w:val="20"/>
          <w:color w:val="auto"/>
        </w:rPr>
      </w:pPr>
    </w:p>
    <w:p>
      <w:pPr>
        <w:ind w:right="860" w:firstLine="648"/>
        <w:spacing w:after="0" w:line="253" w:lineRule="auto"/>
        <w:rPr>
          <w:sz w:val="20"/>
          <w:szCs w:val="20"/>
          <w:color w:val="auto"/>
        </w:rPr>
      </w:pPr>
      <w:r>
        <w:rPr>
          <w:rFonts w:ascii="Arial" w:cs="Arial" w:eastAsia="Arial" w:hAnsi="Arial"/>
          <w:sz w:val="18"/>
          <w:szCs w:val="18"/>
          <w:color w:val="auto"/>
        </w:rPr>
        <w:t>Completion of the Distribution is conditioned upon the satisfaction or waiver of certain conditions, as set forth in the form of Separation and Distribution Agreement filed with the U.S.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as part of Honeywell Aerospace’s Registration Statement on Form 10, which was declared effective by the SEC on June 11, 2026.</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About Forward-Looking Statements</w:t>
      </w:r>
    </w:p>
    <w:p>
      <w:pPr>
        <w:spacing w:after="0" w:line="225" w:lineRule="exact"/>
        <w:rPr>
          <w:sz w:val="20"/>
          <w:szCs w:val="20"/>
          <w:color w:val="auto"/>
        </w:rPr>
      </w:pPr>
    </w:p>
    <w:p>
      <w:pPr>
        <w:ind w:right="180" w:firstLine="648"/>
        <w:spacing w:after="0" w:line="237" w:lineRule="auto"/>
        <w:rPr>
          <w:sz w:val="20"/>
          <w:szCs w:val="20"/>
          <w:color w:val="auto"/>
        </w:rPr>
      </w:pPr>
      <w:r>
        <w:rPr>
          <w:rFonts w:ascii="Arial" w:cs="Arial" w:eastAsia="Arial" w:hAnsi="Arial"/>
          <w:sz w:val="18"/>
          <w:szCs w:val="18"/>
          <w:color w:val="auto"/>
        </w:rPr>
        <w:t>Certain statements in this Current Report on Form 8-K are forward-looking statements within the meaning of Section 21E of the Exchange Act. Forward-looking statements are those that address activities, events, or developments that management intends, expects, projects, believes, or anticipates will or may occur in the future. They are based on management’s assumptions and assessments in light of past experience and trends, current economic and industry conditions, expected future developments, and other relevant factors, many of which are difficult to predict and outside of the Company’s control. They are not guarantees of future performance, and actual results, developments and business decisions may differ significantly from those envisaged by the Company’s forward-looking statements. The Company does not undertake to update or revise any of the Company’s forward-looking statements, except as required by applicable securities law. The Company’s forward-looking statements are also subject to material risks and uncertainties, including ongoing</w:t>
      </w:r>
    </w:p>
    <w:p>
      <w:pPr>
        <w:spacing w:after="0" w:line="3"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macroeconomic and geopolitical risks, such as changes in or application of trade and tax laws and policies, including the impacts of tariffs and other trade barriers and restrictions, lower GDP growth or recession in the U.S. or globally, supply chain disruptions, capital markets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volatility, inflation, and certain regional conflicts, that can affect the Company’s performance in both the near-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ind w:right="20"/>
        <w:spacing w:after="0" w:line="252" w:lineRule="auto"/>
        <w:rPr>
          <w:sz w:val="20"/>
          <w:szCs w:val="20"/>
          <w:color w:val="auto"/>
        </w:rPr>
      </w:pPr>
      <w:r>
        <w:rPr>
          <w:rFonts w:ascii="Arial" w:cs="Arial" w:eastAsia="Arial" w:hAnsi="Arial"/>
          <w:sz w:val="17"/>
          <w:szCs w:val="17"/>
          <w:color w:val="auto"/>
        </w:rPr>
        <w:t>long-term. In addition, no assurance can be given that any plan, initiative, projection, goal, commitment, expectation, or prospect set forth in this Current Report on Form 8-K can or will be achieved. Some of the important factors that could cause the Company’s actual results to differ materially from those projected in any such forward-looking statements include, but are not limited to: (i) the ability of the Company to effect the Spin-Off described above and to meet the conditions related thereto; (ii) the possibility that the Spin-Off will not be completed within the anticipated time period or at all; (iii) the possibility that the Spin-Off will not achieve its intended benefits; (iv) the impact of the Spin-Off on the Company’s businesses and the risk that the Spin-Off may be more difficult, time-consuming or costly than expected, including the impact</w:t>
      </w:r>
    </w:p>
    <w:p>
      <w:pPr>
        <w:spacing w:after="0" w:line="2"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on the Company’s resources, systems, procedures and controls, diversion of management’s attention and the impact and possible disruption of existing relationships with regulators, customers, suppliers, employees and other business counterparties; (v) the possibility of disruption,</w:t>
      </w:r>
    </w:p>
    <w:p>
      <w:pPr>
        <w:spacing w:after="0" w:line="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including disputes, litigation or unanticipated costs, in connection with the Spin-Off; (vi) the uncertainty of the expected financial performance of the Company or Honeywell Aerospace following completion of the Spin-Off; (vii) negative effects of the announcement or pendency of the Spin-Off on the market price of the Company’s securities and/or on the financial performance of the Company; (viii) the ability to achieve anticipated capital structures in connection with the Spin-Off, including the future availability of credit and factors that may affect such availability; (ix) the ability to achieve anticipated tax treatments in connection with the Spin-Off and future, if any, divestitures, mergers, acquisitions and other portfolio changes and the impact of changes in relevant tax and other laws; and (xii) the failure to realize expected benefits and effectively manage and achieve anticipated synergies and operational efficiencies in connection with the Spin-Off and completed and future, if any, divestitures, mergers, acquisitions, and other portfolio management, productivity and infrastructure actions. These forward-looking statements should be considered in light of the information included in this Current Report on Form 8 -K and the Company’s Annual Report on Form 10-K and other filings with the SEC. Any forward-looking plans described herein are not final and may be modified or abandoned at any time.</w:t>
      </w:r>
    </w:p>
    <w:p>
      <w:pPr>
        <w:spacing w:after="0" w:line="22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report:</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Exhibit #</w:t>
            </w:r>
          </w:p>
        </w:tc>
        <w:tc>
          <w:tcPr>
            <w:tcW w:w="14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c>
          <w:tcPr>
            <w:tcW w:w="640" w:type="dxa"/>
            <w:vAlign w:val="bottom"/>
          </w:tcPr>
          <w:p>
            <w:pPr>
              <w:spacing w:after="0"/>
              <w:rPr>
                <w:sz w:val="21"/>
                <w:szCs w:val="21"/>
                <w:color w:val="auto"/>
              </w:rPr>
            </w:pPr>
          </w:p>
        </w:tc>
      </w:tr>
      <w:tr>
        <w:trPr>
          <w:trHeight w:val="197"/>
        </w:trPr>
        <w:tc>
          <w:tcPr>
            <w:tcW w:w="1460" w:type="dxa"/>
            <w:vAlign w:val="bottom"/>
          </w:tcPr>
          <w:p>
            <w:pPr>
              <w:jc w:val="right"/>
              <w:spacing w:after="0" w:line="197" w:lineRule="exact"/>
              <w:rPr>
                <w:sz w:val="20"/>
                <w:szCs w:val="20"/>
                <w:color w:val="auto"/>
              </w:rPr>
            </w:pPr>
            <w:r>
              <w:rPr>
                <w:rFonts w:ascii="Arial" w:cs="Arial" w:eastAsia="Arial" w:hAnsi="Arial"/>
                <w:sz w:val="18"/>
                <w:szCs w:val="18"/>
                <w:color w:val="auto"/>
              </w:rPr>
              <w:t>99.1</w:t>
            </w: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20" w:type="dxa"/>
            <w:vAlign w:val="bottom"/>
            <w:tcBorders>
              <w:bottom w:val="single" w:sz="8" w:color="0000FF"/>
            </w:tcBorders>
          </w:tcPr>
          <w:p>
            <w:pPr>
              <w:spacing w:after="0" w:line="197" w:lineRule="exact"/>
              <w:rPr>
                <w:sz w:val="20"/>
                <w:szCs w:val="20"/>
                <w:color w:val="auto"/>
              </w:rPr>
            </w:pPr>
            <w:r>
              <w:rPr>
                <w:rFonts w:ascii="Arial" w:cs="Arial" w:eastAsia="Arial" w:hAnsi="Arial"/>
                <w:sz w:val="18"/>
                <w:szCs w:val="18"/>
                <w:color w:val="0000FF"/>
                <w:w w:val="99"/>
              </w:rPr>
              <w:t>Press release issued by Honeywell International Inc. on June 15, 2026</w:t>
            </w:r>
          </w:p>
        </w:tc>
        <w:tc>
          <w:tcPr>
            <w:tcW w:w="2720" w:type="dxa"/>
            <w:vAlign w:val="bottom"/>
            <w:gridSpan w:val="2"/>
          </w:tcPr>
          <w:p>
            <w:pPr>
              <w:spacing w:after="0"/>
              <w:rPr>
                <w:sz w:val="17"/>
                <w:szCs w:val="17"/>
                <w:color w:val="auto"/>
              </w:rPr>
            </w:pPr>
          </w:p>
        </w:tc>
      </w:tr>
      <w:tr>
        <w:trPr>
          <w:trHeight w:val="295"/>
        </w:trPr>
        <w:tc>
          <w:tcPr>
            <w:tcW w:w="1460" w:type="dxa"/>
            <w:vAlign w:val="bottom"/>
          </w:tcPr>
          <w:p>
            <w:pPr>
              <w:jc w:val="right"/>
              <w:spacing w:after="0"/>
              <w:rPr>
                <w:sz w:val="20"/>
                <w:szCs w:val="20"/>
                <w:color w:val="auto"/>
              </w:rPr>
            </w:pPr>
            <w:r>
              <w:rPr>
                <w:rFonts w:ascii="Arial" w:cs="Arial" w:eastAsia="Arial" w:hAnsi="Arial"/>
                <w:sz w:val="18"/>
                <w:szCs w:val="18"/>
                <w:color w:val="auto"/>
              </w:rPr>
              <w:t>104</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960"/>
        </w:trPr>
        <w:tc>
          <w:tcPr>
            <w:tcW w:w="14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47" w:lineRule="exact"/>
        <w:rPr>
          <w:sz w:val="20"/>
          <w:szCs w:val="20"/>
          <w:color w:val="auto"/>
        </w:rPr>
      </w:pPr>
    </w:p>
    <w:p>
      <w:pPr>
        <w:ind w:left="280"/>
        <w:spacing w:after="0"/>
        <w:tabs>
          <w:tab w:leader="none" w:pos="5380" w:val="left"/>
        </w:tabs>
        <w:rPr>
          <w:sz w:val="20"/>
          <w:szCs w:val="20"/>
          <w:color w:val="auto"/>
        </w:rPr>
      </w:pPr>
      <w:r>
        <w:rPr>
          <w:rFonts w:ascii="Arial" w:cs="Arial" w:eastAsia="Arial" w:hAnsi="Arial"/>
          <w:sz w:val="18"/>
          <w:szCs w:val="18"/>
          <w:color w:val="auto"/>
        </w:rPr>
        <w:t>Date: June 15, 2026</w:t>
      </w:r>
      <w:r>
        <w:rPr>
          <w:sz w:val="20"/>
          <w:szCs w:val="20"/>
          <w:color w:val="auto"/>
        </w:rPr>
        <w:tab/>
      </w:r>
      <w:r>
        <w:rPr>
          <w:rFonts w:ascii="Arial" w:cs="Arial" w:eastAsia="Arial" w:hAnsi="Arial"/>
          <w:sz w:val="17"/>
          <w:szCs w:val="17"/>
          <w:color w:val="auto"/>
        </w:rPr>
        <w:t>HONEYWELL INTERNATIONAL INC.</w:t>
      </w:r>
    </w:p>
    <w:p>
      <w:pPr>
        <w:spacing w:after="0" w:line="30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Su Ping Lu</w:t>
      </w:r>
    </w:p>
    <w:p>
      <w:pPr>
        <w:spacing w:after="0" w:line="5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Su Ping Lu</w:t>
      </w:r>
    </w:p>
    <w:p>
      <w:pPr>
        <w:spacing w:after="0" w:line="5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Senior Vice President, General Counsel and Corporate Secretary</w:t>
      </w:r>
    </w:p>
    <w:p>
      <w:pPr>
        <w:sectPr>
          <w:pgSz w:w="11900" w:h="16838" w:orient="portrait"/>
          <w:cols w:equalWidth="0" w:num="1">
            <w:col w:w="11080"/>
          </w:cols>
          <w:pgMar w:left="320" w:top="1133" w:right="4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1757045" cy="351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704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900" w:type="dxa"/>
            <w:vAlign w:val="bottom"/>
            <w:gridSpan w:val="3"/>
          </w:tcPr>
          <w:p>
            <w:pPr>
              <w:spacing w:after="0"/>
              <w:rPr>
                <w:sz w:val="20"/>
                <w:szCs w:val="20"/>
                <w:color w:val="auto"/>
              </w:rPr>
            </w:pPr>
            <w:r>
              <w:rPr>
                <w:rFonts w:ascii="Arial" w:cs="Arial" w:eastAsia="Arial" w:hAnsi="Arial"/>
                <w:sz w:val="18"/>
                <w:szCs w:val="18"/>
                <w:color w:val="auto"/>
              </w:rPr>
              <w:t>Honeywell Contacts:</w:t>
            </w:r>
          </w:p>
        </w:tc>
        <w:tc>
          <w:tcPr>
            <w:tcW w:w="25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858"/>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Media</w:t>
            </w:r>
          </w:p>
        </w:tc>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Investor Relations</w:t>
            </w:r>
          </w:p>
        </w:tc>
      </w:tr>
      <w:tr>
        <w:trPr>
          <w:trHeight w:val="438"/>
        </w:trPr>
        <w:tc>
          <w:tcPr>
            <w:tcW w:w="3900" w:type="dxa"/>
            <w:vAlign w:val="bottom"/>
            <w:gridSpan w:val="3"/>
          </w:tcPr>
          <w:p>
            <w:pPr>
              <w:spacing w:after="0"/>
              <w:rPr>
                <w:sz w:val="20"/>
                <w:szCs w:val="20"/>
                <w:color w:val="auto"/>
              </w:rPr>
            </w:pPr>
            <w:r>
              <w:rPr>
                <w:rFonts w:ascii="Arial" w:cs="Arial" w:eastAsia="Arial" w:hAnsi="Arial"/>
                <w:sz w:val="18"/>
                <w:szCs w:val="18"/>
                <w:color w:val="auto"/>
              </w:rPr>
              <w:t>Stacey Jones</w:t>
            </w:r>
          </w:p>
        </w:tc>
        <w:tc>
          <w:tcPr>
            <w:tcW w:w="3200" w:type="dxa"/>
            <w:vAlign w:val="bottom"/>
            <w:gridSpan w:val="2"/>
          </w:tcPr>
          <w:p>
            <w:pPr>
              <w:spacing w:after="0"/>
              <w:rPr>
                <w:sz w:val="20"/>
                <w:szCs w:val="20"/>
                <w:color w:val="auto"/>
              </w:rPr>
            </w:pPr>
            <w:r>
              <w:rPr>
                <w:rFonts w:ascii="Arial" w:cs="Arial" w:eastAsia="Arial" w:hAnsi="Arial"/>
                <w:sz w:val="18"/>
                <w:szCs w:val="18"/>
                <w:color w:val="auto"/>
              </w:rPr>
              <w:t>Mark Macaluso</w:t>
            </w:r>
          </w:p>
        </w:tc>
      </w:tr>
      <w:tr>
        <w:trPr>
          <w:trHeight w:val="445"/>
        </w:trPr>
        <w:tc>
          <w:tcPr>
            <w:tcW w:w="2360" w:type="dxa"/>
            <w:vAlign w:val="bottom"/>
          </w:tcPr>
          <w:p>
            <w:pPr>
              <w:spacing w:after="0"/>
              <w:rPr>
                <w:sz w:val="20"/>
                <w:szCs w:val="20"/>
                <w:color w:val="auto"/>
              </w:rPr>
            </w:pPr>
            <w:r>
              <w:rPr>
                <w:rFonts w:ascii="Arial" w:cs="Arial" w:eastAsia="Arial" w:hAnsi="Arial"/>
                <w:sz w:val="18"/>
                <w:szCs w:val="18"/>
                <w:color w:val="auto"/>
              </w:rPr>
              <w:t>(980) 378-6258</w:t>
            </w: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(704) 627-6118</w:t>
            </w:r>
          </w:p>
        </w:tc>
        <w:tc>
          <w:tcPr>
            <w:tcW w:w="620" w:type="dxa"/>
            <w:vAlign w:val="bottom"/>
          </w:tcPr>
          <w:p>
            <w:pPr>
              <w:spacing w:after="0"/>
              <w:rPr>
                <w:sz w:val="24"/>
                <w:szCs w:val="24"/>
                <w:color w:val="auto"/>
              </w:rPr>
            </w:pPr>
          </w:p>
        </w:tc>
      </w:tr>
      <w:tr>
        <w:trPr>
          <w:trHeight w:val="401"/>
        </w:trPr>
        <w:tc>
          <w:tcPr>
            <w:tcW w:w="3900" w:type="dxa"/>
            <w:vAlign w:val="bottom"/>
            <w:gridSpan w:val="3"/>
          </w:tcPr>
          <w:p>
            <w:pPr>
              <w:spacing w:after="0"/>
              <w:rPr>
                <w:sz w:val="20"/>
                <w:szCs w:val="20"/>
                <w:color w:val="auto"/>
              </w:rPr>
            </w:pPr>
            <w:r>
              <w:rPr>
                <w:rFonts w:ascii="Arial" w:cs="Arial" w:eastAsia="Arial" w:hAnsi="Arial"/>
                <w:sz w:val="18"/>
                <w:szCs w:val="18"/>
                <w:color w:val="auto"/>
              </w:rPr>
              <w:t>stacey.jones@honeywell.com</w:t>
            </w:r>
          </w:p>
        </w:tc>
        <w:tc>
          <w:tcPr>
            <w:tcW w:w="3200" w:type="dxa"/>
            <w:vAlign w:val="bottom"/>
            <w:gridSpan w:val="2"/>
          </w:tcPr>
          <w:p>
            <w:pPr>
              <w:spacing w:after="0"/>
              <w:rPr>
                <w:sz w:val="20"/>
                <w:szCs w:val="20"/>
                <w:color w:val="auto"/>
              </w:rPr>
            </w:pPr>
            <w:r>
              <w:rPr>
                <w:rFonts w:ascii="Arial" w:cs="Arial" w:eastAsia="Arial" w:hAnsi="Arial"/>
                <w:sz w:val="18"/>
                <w:szCs w:val="18"/>
                <w:color w:val="auto"/>
              </w:rPr>
              <w:t>Mark.Macaluso@honeywell.com</w:t>
            </w:r>
          </w:p>
        </w:tc>
      </w:tr>
      <w:tr>
        <w:trPr>
          <w:trHeight w:val="20"/>
        </w:trPr>
        <w:tc>
          <w:tcPr>
            <w:tcW w:w="2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605"/>
        </w:trPr>
        <w:tc>
          <w:tcPr>
            <w:tcW w:w="3900" w:type="dxa"/>
            <w:vAlign w:val="bottom"/>
            <w:gridSpan w:val="3"/>
          </w:tcPr>
          <w:p>
            <w:pPr>
              <w:spacing w:after="0"/>
              <w:rPr>
                <w:sz w:val="20"/>
                <w:szCs w:val="20"/>
                <w:color w:val="auto"/>
              </w:rPr>
            </w:pPr>
            <w:r>
              <w:rPr>
                <w:rFonts w:ascii="Arial" w:cs="Arial" w:eastAsia="Arial" w:hAnsi="Arial"/>
                <w:sz w:val="18"/>
                <w:szCs w:val="18"/>
                <w:color w:val="auto"/>
              </w:rPr>
              <w:t>Honeywell Aerospace Contacts:</w:t>
            </w:r>
          </w:p>
        </w:tc>
        <w:tc>
          <w:tcPr>
            <w:tcW w:w="25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575"/>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Media</w:t>
            </w:r>
          </w:p>
        </w:tc>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Investor Relations</w:t>
            </w:r>
          </w:p>
        </w:tc>
      </w:tr>
      <w:tr>
        <w:trPr>
          <w:trHeight w:val="438"/>
        </w:trPr>
        <w:tc>
          <w:tcPr>
            <w:tcW w:w="3900" w:type="dxa"/>
            <w:vAlign w:val="bottom"/>
            <w:gridSpan w:val="3"/>
          </w:tcPr>
          <w:p>
            <w:pPr>
              <w:spacing w:after="0"/>
              <w:rPr>
                <w:sz w:val="20"/>
                <w:szCs w:val="20"/>
                <w:color w:val="auto"/>
              </w:rPr>
            </w:pPr>
            <w:r>
              <w:rPr>
                <w:rFonts w:ascii="Arial" w:cs="Arial" w:eastAsia="Arial" w:hAnsi="Arial"/>
                <w:sz w:val="18"/>
                <w:szCs w:val="18"/>
                <w:color w:val="auto"/>
              </w:rPr>
              <w:t>Brian Grace</w:t>
            </w:r>
          </w:p>
        </w:tc>
        <w:tc>
          <w:tcPr>
            <w:tcW w:w="3200" w:type="dxa"/>
            <w:vAlign w:val="bottom"/>
            <w:gridSpan w:val="2"/>
          </w:tcPr>
          <w:p>
            <w:pPr>
              <w:spacing w:after="0"/>
              <w:rPr>
                <w:sz w:val="20"/>
                <w:szCs w:val="20"/>
                <w:color w:val="auto"/>
              </w:rPr>
            </w:pPr>
            <w:r>
              <w:rPr>
                <w:rFonts w:ascii="Arial" w:cs="Arial" w:eastAsia="Arial" w:hAnsi="Arial"/>
                <w:sz w:val="18"/>
                <w:szCs w:val="18"/>
                <w:color w:val="auto"/>
              </w:rPr>
              <w:t>Sean Meakim</w:t>
            </w:r>
          </w:p>
        </w:tc>
      </w:tr>
      <w:tr>
        <w:trPr>
          <w:trHeight w:val="445"/>
        </w:trPr>
        <w:tc>
          <w:tcPr>
            <w:tcW w:w="2360" w:type="dxa"/>
            <w:vAlign w:val="bottom"/>
          </w:tcPr>
          <w:p>
            <w:pPr>
              <w:spacing w:after="0"/>
              <w:rPr>
                <w:sz w:val="20"/>
                <w:szCs w:val="20"/>
                <w:color w:val="auto"/>
              </w:rPr>
            </w:pPr>
            <w:r>
              <w:rPr>
                <w:rFonts w:ascii="Arial" w:cs="Arial" w:eastAsia="Arial" w:hAnsi="Arial"/>
                <w:sz w:val="18"/>
                <w:szCs w:val="18"/>
                <w:color w:val="auto"/>
              </w:rPr>
              <w:t>(602) 897-0205</w:t>
            </w: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(704) 627-6200</w:t>
            </w:r>
          </w:p>
        </w:tc>
        <w:tc>
          <w:tcPr>
            <w:tcW w:w="620" w:type="dxa"/>
            <w:vAlign w:val="bottom"/>
          </w:tcPr>
          <w:p>
            <w:pPr>
              <w:spacing w:after="0"/>
              <w:rPr>
                <w:sz w:val="24"/>
                <w:szCs w:val="24"/>
                <w:color w:val="auto"/>
              </w:rPr>
            </w:pPr>
          </w:p>
        </w:tc>
      </w:tr>
      <w:tr>
        <w:trPr>
          <w:trHeight w:val="401"/>
        </w:trPr>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Brian.Grace@HoneywellAerospace.us</w:t>
            </w:r>
          </w:p>
        </w:tc>
        <w:tc>
          <w:tcPr>
            <w:tcW w:w="820" w:type="dxa"/>
            <w:vAlign w:val="bottom"/>
          </w:tcPr>
          <w:p>
            <w:pPr>
              <w:spacing w:after="0"/>
              <w:rPr>
                <w:sz w:val="24"/>
                <w:szCs w:val="24"/>
                <w:color w:val="auto"/>
              </w:rPr>
            </w:pPr>
          </w:p>
        </w:tc>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Sean.Meakim@HoneywellAerospace.us</w:t>
            </w: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12529"/>
        </w:rPr>
        <w:t>HONEYWELL BOARD OF DIRECTORS APPROVES SPIN-OFF OF</w:t>
      </w:r>
    </w:p>
    <w:p>
      <w:pPr>
        <w:jc w:val="center"/>
        <w:spacing w:after="0"/>
        <w:rPr>
          <w:sz w:val="20"/>
          <w:szCs w:val="20"/>
          <w:color w:val="auto"/>
        </w:rPr>
      </w:pPr>
      <w:r>
        <w:rPr>
          <w:rFonts w:ascii="Arial" w:cs="Arial" w:eastAsia="Arial" w:hAnsi="Arial"/>
          <w:sz w:val="22"/>
          <w:szCs w:val="22"/>
          <w:b w:val="1"/>
          <w:bCs w:val="1"/>
          <w:color w:val="212529"/>
        </w:rPr>
        <w:t>HONEYWELL AEROSPACE</w:t>
      </w:r>
    </w:p>
    <w:p>
      <w:pPr>
        <w:spacing w:after="0" w:line="20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Spin-off distribution is expected to occur on June 29, 2026</w:t>
      </w:r>
    </w:p>
    <w:p>
      <w:pPr>
        <w:spacing w:after="0" w:line="25" w:lineRule="exact"/>
        <w:rPr>
          <w:rFonts w:ascii="Arial" w:cs="Arial" w:eastAsia="Arial" w:hAnsi="Arial"/>
          <w:sz w:val="18"/>
          <w:szCs w:val="18"/>
          <w:i w:val="1"/>
          <w:iCs w:val="1"/>
          <w:color w:val="auto"/>
        </w:rPr>
      </w:pPr>
    </w:p>
    <w:p>
      <w:pPr>
        <w:ind w:left="660" w:hanging="328"/>
        <w:spacing w:after="0"/>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Honeywell Aerospace will be a leading global tier-1 aerospace and defense supplier of mission critical systems and technologies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Honeywell Technologies will be a global leader of the industrial world's transition from automation to autonomy</w:t>
      </w:r>
    </w:p>
    <w:p>
      <w:pPr>
        <w:spacing w:after="0" w:line="288" w:lineRule="exact"/>
        <w:rPr>
          <w:sz w:val="20"/>
          <w:szCs w:val="20"/>
          <w:color w:val="auto"/>
        </w:rPr>
      </w:pPr>
    </w:p>
    <w:p>
      <w:pPr>
        <w:ind w:right="60"/>
        <w:spacing w:after="0" w:line="377" w:lineRule="auto"/>
        <w:rPr>
          <w:sz w:val="20"/>
          <w:szCs w:val="20"/>
          <w:color w:val="auto"/>
        </w:rPr>
      </w:pPr>
      <w:r>
        <w:rPr>
          <w:rFonts w:ascii="Arial" w:cs="Arial" w:eastAsia="Arial" w:hAnsi="Arial"/>
          <w:sz w:val="18"/>
          <w:szCs w:val="18"/>
          <w:color w:val="auto"/>
        </w:rPr>
        <w:t>CHARLOTTE, N.C., June 15, 2026 -- Honeywell (</w:t>
      </w:r>
      <w:r>
        <w:rPr>
          <w:rFonts w:ascii="Arial" w:cs="Arial" w:eastAsia="Arial" w:hAnsi="Arial"/>
          <w:sz w:val="18"/>
          <w:szCs w:val="18"/>
          <w:b w:val="1"/>
          <w:bCs w:val="1"/>
          <w:color w:val="auto"/>
        </w:rPr>
        <w:t>NASDAQ: HON</w:t>
      </w:r>
      <w:r>
        <w:rPr>
          <w:rFonts w:ascii="Arial" w:cs="Arial" w:eastAsia="Arial" w:hAnsi="Arial"/>
          <w:sz w:val="18"/>
          <w:szCs w:val="18"/>
          <w:color w:val="auto"/>
        </w:rPr>
        <w:t>) today announced that its Board of Directors has formally approved the planned spin-off of Honeywell Aerospace. This approval represents a significant milestone in the separation process, which remains on track for completion on June 29, 2026. Following the completion of the spin-off, the remaining pure-play automation company will be known as Honeywell Technologies.</w:t>
      </w:r>
    </w:p>
    <w:p>
      <w:pPr>
        <w:spacing w:after="0" w:line="198" w:lineRule="exact"/>
        <w:rPr>
          <w:sz w:val="20"/>
          <w:szCs w:val="20"/>
          <w:color w:val="auto"/>
        </w:rPr>
      </w:pPr>
    </w:p>
    <w:p>
      <w:pPr>
        <w:spacing w:after="0" w:line="370" w:lineRule="auto"/>
        <w:rPr>
          <w:sz w:val="20"/>
          <w:szCs w:val="20"/>
          <w:color w:val="auto"/>
        </w:rPr>
      </w:pPr>
      <w:r>
        <w:rPr>
          <w:rFonts w:ascii="Arial" w:cs="Arial" w:eastAsia="Arial" w:hAnsi="Arial"/>
          <w:sz w:val="18"/>
          <w:szCs w:val="18"/>
          <w:color w:val="auto"/>
        </w:rPr>
        <w:t>At 12:01 a.m. New York City time on June 29, 2026 (the “Distribution Date”), Honeywell will distribute all of the issued and outstanding shares of Honeywell Aerospace common stock pro rata to Honeywell shareowners of record on June 15, 2026 (the “Record Date”), on the basis of one share of Honeywell Aerospace common stock for every two shares of Honeywell common stock held as of the close of business on the Record Date. The distribution is subject to the satisfaction or waiver of certain conditions, as set forth in the form of Separation and Distribution Agreement filed with the U.S. Securities and Exchange Commission (“SEC”) as part of Honeywell Aerospace’s registration statement on Form 10, which was declared effective by the SEC on June 11, 2026.</w:t>
      </w:r>
    </w:p>
    <w:p>
      <w:pPr>
        <w:spacing w:after="0" w:line="205" w:lineRule="exact"/>
        <w:rPr>
          <w:sz w:val="20"/>
          <w:szCs w:val="20"/>
          <w:color w:val="auto"/>
        </w:rPr>
      </w:pPr>
    </w:p>
    <w:p>
      <w:pPr>
        <w:ind w:right="60"/>
        <w:spacing w:after="0" w:line="377" w:lineRule="auto"/>
        <w:rPr>
          <w:sz w:val="20"/>
          <w:szCs w:val="20"/>
          <w:color w:val="auto"/>
        </w:rPr>
      </w:pPr>
      <w:r>
        <w:rPr>
          <w:rFonts w:ascii="Arial" w:cs="Arial" w:eastAsia="Arial" w:hAnsi="Arial"/>
          <w:sz w:val="18"/>
          <w:szCs w:val="18"/>
          <w:color w:val="auto"/>
        </w:rPr>
        <w:t>“Today’s announcement clears the path to establishing two independent industry leaders in Honeywell Aerospace and Honeywell Technologies and also reflects our significant portfolio transformation over the past three years,” said Vimal Kapur, Chairman and CEO of Honeywell. “With clear strategies and growth drivers that build on Honeywell’s century-long legacy, we are confident that both companies will be well-positioned to maximize long-term value for customers, employees and shareowners.”</w:t>
      </w:r>
    </w:p>
    <w:p>
      <w:pPr>
        <w:sectPr>
          <w:pgSz w:w="11900" w:h="16838" w:orient="portrait"/>
          <w:cols w:equalWidth="0" w:num="1">
            <w:col w:w="11240"/>
          </w:cols>
          <w:pgMar w:left="320" w:top="1120"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Page 1 of 3</w:t>
      </w:r>
    </w:p>
    <w:p>
      <w:pPr>
        <w:sectPr>
          <w:pgSz w:w="11900" w:h="16838" w:orient="portrait"/>
          <w:cols w:equalWidth="0" w:num="1">
            <w:col w:w="11240"/>
          </w:cols>
          <w:pgMar w:left="320" w:top="1120" w:right="339" w:bottom="1440" w:gutter="0" w:footer="0" w:header="0"/>
          <w:type w:val="continuous"/>
        </w:sectPr>
      </w:pPr>
    </w:p>
    <w:bookmarkStart w:id="5" w:name="page6"/>
    <w:bookmarkEnd w:id="5"/>
    <w:p>
      <w:pPr>
        <w:jc w:val="both"/>
        <w:ind w:right="380"/>
        <w:spacing w:after="0" w:line="377" w:lineRule="auto"/>
        <w:rPr>
          <w:sz w:val="20"/>
          <w:szCs w:val="20"/>
          <w:color w:val="auto"/>
        </w:rPr>
      </w:pPr>
      <w:r>
        <w:rPr>
          <w:rFonts w:ascii="Arial" w:cs="Arial" w:eastAsia="Arial" w:hAnsi="Arial"/>
          <w:sz w:val="18"/>
          <w:szCs w:val="18"/>
          <w:color w:val="auto"/>
        </w:rPr>
        <w:t>Honeywell Aerospace common stock is expected to begin trading on the Nasdaq Stock Market LLC (“Nasdaq”) under the ticker symbol “HONAV” on a “when-issued” basis on or about June 15, 2026. Honeywell Aerospace common stock is expected to begin “regular-way” trading on Nasdaq under the ticker symbol “HONA” on June 29, 2026. Following the separation, Honeywell Technologies will continue to trade on the Nasdaq under the ticker “HON.”</w:t>
      </w:r>
    </w:p>
    <w:p>
      <w:pPr>
        <w:spacing w:after="0" w:line="198" w:lineRule="exact"/>
        <w:rPr>
          <w:sz w:val="20"/>
          <w:szCs w:val="20"/>
          <w:color w:val="auto"/>
        </w:rPr>
      </w:pPr>
    </w:p>
    <w:p>
      <w:pPr>
        <w:ind w:right="60"/>
        <w:spacing w:after="0" w:line="373" w:lineRule="auto"/>
        <w:rPr>
          <w:sz w:val="20"/>
          <w:szCs w:val="20"/>
          <w:color w:val="auto"/>
        </w:rPr>
      </w:pPr>
      <w:r>
        <w:rPr>
          <w:rFonts w:ascii="Arial" w:cs="Arial" w:eastAsia="Arial" w:hAnsi="Arial"/>
          <w:sz w:val="18"/>
          <w:szCs w:val="18"/>
          <w:color w:val="auto"/>
        </w:rPr>
        <w:t>Beginning on or about June 15, 2026 and continuing through June 26, 2026, it is expected that there will be two markets in Honeywell common stock on Nasdaq: a “regular-way” market under Honeywell’s current ticker symbol “HON”, in which Honeywell shares will trade with the right to receive shares of Honeywell Aerospace common stock on the Distribution Date, and an “ex distribution” market under the ticker symbol “HONIV”, in which Honeywell shares will trade without the right to receive shares of Honeywell Aerospace common stock on the Distribution Date.</w:t>
      </w:r>
    </w:p>
    <w:p>
      <w:pPr>
        <w:spacing w:after="0" w:line="201" w:lineRule="exact"/>
        <w:rPr>
          <w:sz w:val="20"/>
          <w:szCs w:val="20"/>
          <w:color w:val="auto"/>
        </w:rPr>
      </w:pPr>
    </w:p>
    <w:p>
      <w:pPr>
        <w:ind w:right="60"/>
        <w:spacing w:after="0" w:line="378" w:lineRule="auto"/>
        <w:rPr>
          <w:sz w:val="20"/>
          <w:szCs w:val="20"/>
          <w:color w:val="auto"/>
        </w:rPr>
      </w:pPr>
      <w:r>
        <w:rPr>
          <w:rFonts w:ascii="Arial" w:cs="Arial" w:eastAsia="Arial" w:hAnsi="Arial"/>
          <w:sz w:val="18"/>
          <w:szCs w:val="18"/>
          <w:color w:val="auto"/>
        </w:rPr>
        <w:t xml:space="preserve">As previously announced, a </w:t>
      </w:r>
      <w:r>
        <w:rPr>
          <w:rFonts w:ascii="Arial" w:cs="Arial" w:eastAsia="Arial" w:hAnsi="Arial"/>
          <w:sz w:val="18"/>
          <w:szCs w:val="18"/>
          <w:u w:val="single" w:color="auto"/>
          <w:color w:val="auto"/>
        </w:rPr>
        <w:t>1-for-2 reverse stock split</w:t>
      </w:r>
      <w:r>
        <w:rPr>
          <w:rFonts w:ascii="Arial" w:cs="Arial" w:eastAsia="Arial" w:hAnsi="Arial"/>
          <w:sz w:val="18"/>
          <w:szCs w:val="18"/>
          <w:color w:val="auto"/>
        </w:rPr>
        <w:t xml:space="preserve"> of Honeywell Technologies common stock will immediately follow the spin-off along with a proportionate reduction in the Company’s number of authorized shares of common stock, subject to and contingent on the completion of the Honeywell Aerospace spin-off.</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Honeywell</w:t>
      </w:r>
    </w:p>
    <w:p>
      <w:pPr>
        <w:spacing w:after="0" w:line="25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Honeywell is an integrated operating company serving a broad range of industries and geographies around the world, with a portfolio that is underpinned by our Honeywell Accelerator operating system and Honeywell Forge platform. As a trusted partner, we help organizations solve the world's toughest, most complex challenges, providing actionable solutions and innovations for aerospace, building automation, industrial automation, process automation, and process technology that help make the world smarter and safer as well as more sustainable.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52"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 xml:space="preserve">Honeywell uses our Investor Relations website, </w:t>
      </w:r>
      <w:r>
        <w:rPr>
          <w:rFonts w:ascii="Arial" w:cs="Arial" w:eastAsia="Arial" w:hAnsi="Arial"/>
          <w:sz w:val="17"/>
          <w:szCs w:val="17"/>
          <w:u w:val="single" w:color="auto"/>
          <w:color w:val="auto"/>
        </w:rPr>
        <w:t>www.honeywell.com/investor</w:t>
      </w:r>
      <w:r>
        <w:rPr>
          <w:rFonts w:ascii="Arial" w:cs="Arial" w:eastAsia="Arial" w:hAnsi="Arial"/>
          <w:sz w:val="17"/>
          <w:szCs w:val="17"/>
          <w:color w:val="auto"/>
        </w:rPr>
        <w:t>, as a means of disclosing information which may be of interest or material to our investors and for complying with disclosure obligations under Regulation FD. Accordingly, investors should monitor our Investor Relations website, in addition to following our press releases, SEC filings, public conference calls, webcasts, and social media.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Certain statements in this release are forward-looking statements within the meaning of Section 21E of the Securities Exchange Act of 1934, as amended. Forward-looking statements are those that address activities, events, or developments that management intends, expects, projects, believes, or anticipates will or may occur in the future. They are based on management's assumptions and assessments in light of past experience and trends, current economic and industry conditions, expected future developments, and other relevant factors, many of which are difficult to predict and outside of our control. They are not guarantees of future performance, and actual results, developments and business decisions may differ significantly from those envisaged by our forward-looking statements. We do not undertake to update or revise any of our forward-looking statements, except as required by applicable securities law. Our forward-looking statements are also subject to material risks and uncertainties, including ongoing macroeconomic and geopolitical risks, such as changes in or application of trade and tax laws and policies, including the impacts of tariffs and other trade barriers and restrictions, lower GDP growth or recession in the U.S. or globally, supply chain disruptions, capital markets volatility, inflation, and certain regional conflicts, that can affect our performance in both the near- and long-term. In addition, no assurance can be given that any plan, initiative, projection, goal, commitment, expectation, or prospect set forth in this release can or will be achieved. Some of the important factors that could cause Honeywell’s actual results to differ materially from those projected in any such forward-looking statements include, but are not limited to: (i) the ability of Honeywell to effect the spin-off transaction described above and to meet the conditions related thereto; (ii) the possibility that the spin-off</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color w:val="auto"/>
        </w:rPr>
        <w:t>Page 2 of 3</w:t>
      </w:r>
    </w:p>
    <w:p>
      <w:pPr>
        <w:sectPr>
          <w:pgSz w:w="11900" w:h="16838" w:orient="portrait"/>
          <w:cols w:equalWidth="0" w:num="1">
            <w:col w:w="11200"/>
          </w:cols>
          <w:pgMar w:left="320" w:top="944" w:right="379" w:bottom="1440" w:gutter="0" w:footer="0" w:header="0"/>
        </w:sectPr>
      </w:pPr>
    </w:p>
    <w:bookmarkStart w:id="6" w:name="page7"/>
    <w:bookmarkEnd w:id="6"/>
    <w:p>
      <w:pPr>
        <w:spacing w:after="0" w:line="252" w:lineRule="auto"/>
        <w:rPr>
          <w:sz w:val="20"/>
          <w:szCs w:val="20"/>
          <w:color w:val="auto"/>
        </w:rPr>
      </w:pPr>
      <w:r>
        <w:rPr>
          <w:rFonts w:ascii="Arial" w:cs="Arial" w:eastAsia="Arial" w:hAnsi="Arial"/>
          <w:sz w:val="18"/>
          <w:szCs w:val="18"/>
          <w:color w:val="auto"/>
        </w:rPr>
        <w:t>transaction will not be completed within the anticipated time period or at all; (iii) the possibility that the spin-off transaction will not achieve its intended benefits; (iv) the impact of the spin-off transaction on Honeywell’s businesses and the risk that the spin-off transaction may be more difficult, time-consuming or costly than expected, including the impact on Honeywell’s resources, systems, procedures and controls, diversion of management's attention and the impact and possible disruption of existing relationships with regulators, customers, suppliers, employees and other business counterparties; (v) the possibility of disruption, including disputes, litigation or unanticipated costs, in connection with the spin-off transaction; (vi) the uncertainty of the expected financial performance of Honeywell or Honeywell Aerospace following completion of the spin-off transaction; (vii) negative effects of the announcement or pendency of the spin-off transaction on the market price of Honeywell’s securities and/or on the financial performance of Honeywell; (viii) the ability to achieve anticipated capital structures in connection with the spin-off transaction, including the future availability of credit and factors that may affect such availability; (ix) the ability to achieve anticipated tax treatments in connection with the spin -off transaction and future, if any, divestitures, mergers, acquisitions and other portfolio changes and the impact of changes in relevant tax and other laws; (x) the failure to realize expected benefits and effectively manage and achieve anticipated synergies and operational efficiencies in connection with the spin-off transaction and completed and future, if any, divestitures, mergers, acquisitions, and other portfolio management, productivity and infrastructure actions; and (xi) the possibility that the reverse stock split and authorized share reduction will not be completed within the anticipated time period or at all, including due to a failure of the spin-off transaction to occur. These forward-looking statements should be considered in light of the information included in this release, our Form 10-K and other filings with the SEC. Any forward-looking plans described herein are not final and may be modified or abandoned at any time.</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Page 3 of 3</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2026-06-15T06:06:53Z</dcterms:created>
  <dcterms:modified xsi:type="dcterms:W3CDTF">2026-06-15T06:06:53Z</dcterms:modified>
</cp:coreProperties>
</file>