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0" w:space="0" w:color="000000"/>
        </w:pBdr>
        <w:jc w:val="center"/>
        <w:rPr/>
      </w:pPr>
      <w:r>
        <w:rPr/>
      </w:r>
      <w:bookmarkStart w:id="0" w:name="c44492_10k.htm"/>
      <w:bookmarkStart w:id="1" w:name="ksc44492_10k"/>
      <w:bookmarkStart w:id="2" w:name="c44492_10k.htm"/>
      <w:bookmarkStart w:id="3" w:name="ksc44492_10k"/>
      <w:bookmarkEnd w:id="2"/>
      <w:bookmarkEnd w:id="3"/>
    </w:p>
    <w:p>
      <w:pPr>
        <w:pStyle w:val="HorizontalLine"/>
        <w:pBdr>
          <w:bottom w:val="single" w:sz="20" w:space="0" w:color="000000"/>
        </w:pBdr>
        <w:jc w:val="center"/>
        <w:rPr/>
      </w:pPr>
      <w:r>
        <w:rPr/>
      </w:r>
    </w:p>
    <w:p>
      <w:pPr>
        <w:pStyle w:val="TextBody"/>
        <w:jc w:val="center"/>
        <w:rPr>
          <w:rFonts w:ascii="Arial" w:hAnsi="Arial"/>
        </w:rPr>
      </w:pPr>
      <w:r>
        <w:rPr>
          <w:rFonts w:ascii="Arial" w:hAnsi="Arial"/>
        </w:rPr>
        <w:t>UNITED STATES</w:t>
        <w:br/>
        <w:t>SECURITIES AND EXCHANGE COMMISSION</w:t>
        <w:br/>
        <w:t>WASHINGTON, D.C. 20549</w:t>
      </w:r>
    </w:p>
    <w:p>
      <w:pPr>
        <w:pStyle w:val="TextBody"/>
        <w:jc w:val="center"/>
        <w:rPr>
          <w:rFonts w:ascii="Arial" w:hAnsi="Arial"/>
          <w:b/>
        </w:rPr>
      </w:pPr>
      <w:r>
        <w:rPr>
          <w:rFonts w:ascii="Arial" w:hAnsi="Arial"/>
          <w:b/>
        </w:rPr>
        <w:t>Form 10-K</w:t>
      </w:r>
    </w:p>
    <w:p>
      <w:pPr>
        <w:pStyle w:val="TextBody"/>
        <w:jc w:val="center"/>
        <w:rPr/>
      </w:pPr>
      <w:r>
        <w:rPr>
          <w:rFonts w:ascii="Wingdings 2" w:hAnsi="Wingdings 2"/>
        </w:rPr>
        <w:t>S</w:t>
      </w:r>
      <w:r>
        <w:rPr/>
        <w:t> </w:t>
      </w:r>
      <w:r>
        <w:rPr>
          <w:rFonts w:ascii="Arial" w:hAnsi="Arial"/>
        </w:rPr>
        <w:t>ANNUAL REPORT PURSUANT TO SECTION 13 OR 15(d)</w:t>
        <w:br/>
        <w:t>OF THE SECURITIES EXCHANGE ACT OF 1934</w:t>
      </w:r>
    </w:p>
    <w:p>
      <w:pPr>
        <w:pStyle w:val="TextBody"/>
        <w:jc w:val="center"/>
        <w:rPr/>
      </w:pPr>
      <w:r>
        <w:rPr>
          <w:rFonts w:ascii="Arial" w:hAnsi="Arial"/>
        </w:rPr>
        <w:t xml:space="preserve">For the fiscal year ended </w:t>
      </w:r>
      <w:r>
        <w:rPr>
          <w:rFonts w:ascii="Arial" w:hAnsi="Arial"/>
          <w:u w:val="single"/>
        </w:rPr>
        <w:t>December 31, 2006</w:t>
      </w:r>
    </w:p>
    <w:p>
      <w:pPr>
        <w:pStyle w:val="TextBody"/>
        <w:jc w:val="center"/>
        <w:rPr>
          <w:rFonts w:ascii="Arial" w:hAnsi="Arial"/>
        </w:rPr>
      </w:pPr>
      <w:r>
        <w:rPr>
          <w:rFonts w:ascii="Arial" w:hAnsi="Arial"/>
        </w:rPr>
        <w:t>OR</w:t>
      </w:r>
    </w:p>
    <w:p>
      <w:pPr>
        <w:pStyle w:val="TextBody"/>
        <w:jc w:val="center"/>
        <w:rPr/>
      </w:pPr>
      <w:r>
        <w:rPr>
          <w:rFonts w:ascii="Wingdings 2" w:hAnsi="Wingdings 2"/>
        </w:rPr>
        <w:t>£</w:t>
      </w:r>
      <w:r>
        <w:rPr/>
        <w:t> </w:t>
      </w:r>
      <w:r>
        <w:rPr>
          <w:rFonts w:ascii="Arial" w:hAnsi="Arial"/>
        </w:rPr>
        <w:t>TRANSITION REPORT PURSUANT TO SECTION 13 OR 15(d)</w:t>
        <w:br/>
        <w:t>OF THE SECURITIES EXCHANGE ACT OF 1934</w:t>
      </w:r>
    </w:p>
    <w:p>
      <w:pPr>
        <w:pStyle w:val="TextBody"/>
        <w:jc w:val="center"/>
        <w:rPr>
          <w:rFonts w:ascii="Arial" w:hAnsi="Arial"/>
        </w:rPr>
      </w:pPr>
      <w:r>
        <w:rPr>
          <w:rFonts w:ascii="Arial" w:hAnsi="Arial"/>
        </w:rPr>
        <w:t>For the transition period from        to       </w:t>
      </w:r>
    </w:p>
    <w:p>
      <w:pPr>
        <w:pStyle w:val="TextBody"/>
        <w:jc w:val="center"/>
        <w:rPr/>
      </w:pPr>
      <w:r>
        <w:rPr>
          <w:rFonts w:ascii="Arial" w:hAnsi="Arial"/>
        </w:rPr>
        <w:t xml:space="preserve">Commission file number </w:t>
      </w:r>
      <w:r>
        <w:rPr>
          <w:rFonts w:ascii="Arial" w:hAnsi="Arial"/>
          <w:u w:val="single"/>
        </w:rPr>
        <w:t>1-8974</w:t>
      </w:r>
    </w:p>
    <w:p>
      <w:pPr>
        <w:pStyle w:val="TextBody"/>
        <w:jc w:val="center"/>
        <w:rPr/>
      </w:pPr>
      <w:r>
        <w:rPr>
          <w:rFonts w:ascii="Arial" w:hAnsi="Arial"/>
          <w:b/>
          <w:sz w:val="14"/>
        </w:rPr>
        <w:t>Honeywell International Inc.</w:t>
        <w:br/>
      </w:r>
      <w:r>
        <w:rPr>
          <w:rFonts w:ascii="Arial" w:hAnsi="Arial"/>
        </w:rPr>
        <w:t>(Exact name of registrant as specified in its charter)</w:t>
      </w:r>
    </w:p>
    <w:tbl>
      <w:tblPr>
        <w:tblW w:w="5000" w:type="pct"/>
        <w:jc w:val="left"/>
        <w:tblInd w:w="0" w:type="dxa"/>
        <w:tblCellMar>
          <w:top w:w="0" w:type="dxa"/>
          <w:left w:w="0" w:type="dxa"/>
          <w:bottom w:w="0" w:type="dxa"/>
          <w:right w:w="0" w:type="dxa"/>
        </w:tblCellMar>
      </w:tblPr>
      <w:tblGrid>
        <w:gridCol w:w="5305"/>
        <w:gridCol w:w="2476"/>
        <w:gridCol w:w="2424"/>
      </w:tblGrid>
      <w:tr>
        <w:trPr/>
        <w:tc>
          <w:tcPr>
            <w:tcW w:w="5305" w:type="dxa"/>
            <w:tcBorders/>
            <w:shd w:fill="FFFFFF" w:val="clear"/>
            <w:vAlign w:val="bottom"/>
          </w:tcPr>
          <w:p>
            <w:pPr>
              <w:pStyle w:val="TableContents"/>
              <w:spacing w:before="0" w:after="283"/>
              <w:jc w:val="center"/>
              <w:rPr>
                <w:rFonts w:ascii="Arial" w:hAnsi="Arial"/>
              </w:rPr>
            </w:pPr>
            <w:r>
              <w:rPr>
                <w:rFonts w:ascii="Arial" w:hAnsi="Arial"/>
              </w:rPr>
              <w:t>DELAWARE</w:t>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TableContents"/>
              <w:spacing w:before="0" w:after="283"/>
              <w:jc w:val="center"/>
              <w:rPr>
                <w:rFonts w:ascii="Arial" w:hAnsi="Arial"/>
              </w:rPr>
            </w:pPr>
            <w:r>
              <w:rPr>
                <w:rFonts w:ascii="Arial" w:hAnsi="Arial"/>
              </w:rPr>
              <w:t>22-2640650</w:t>
            </w:r>
          </w:p>
        </w:tc>
      </w:tr>
      <w:tr>
        <w:trPr/>
        <w:tc>
          <w:tcPr>
            <w:tcW w:w="5305" w:type="dxa"/>
            <w:tcBorders/>
            <w:shd w:fill="FFFFFF" w:val="clear"/>
            <w:vAlign w:val="bottom"/>
          </w:tcPr>
          <w:p>
            <w:pPr>
              <w:pStyle w:val="HorizontalLine"/>
              <w:pBdr>
                <w:bottom w:val="single" w:sz="20" w:space="0" w:color="000000"/>
              </w:pBdr>
              <w:spacing w:before="0" w:after="283"/>
              <w:rPr/>
            </w:pPr>
            <w:r>
              <w:rPr/>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HorizontalLine"/>
              <w:pBdr>
                <w:bottom w:val="single" w:sz="6" w:space="0" w:color="000000"/>
              </w:pBdr>
              <w:spacing w:before="0" w:after="283"/>
              <w:rPr/>
            </w:pPr>
            <w:r>
              <w:rPr/>
            </w:r>
          </w:p>
        </w:tc>
      </w:tr>
      <w:tr>
        <w:trPr/>
        <w:tc>
          <w:tcPr>
            <w:tcW w:w="5305" w:type="dxa"/>
            <w:tcBorders/>
            <w:shd w:fill="FFFFFF" w:val="clear"/>
            <w:vAlign w:val="bottom"/>
          </w:tcPr>
          <w:p>
            <w:pPr>
              <w:pStyle w:val="TableContents"/>
              <w:spacing w:before="0" w:after="283"/>
              <w:jc w:val="center"/>
              <w:rPr>
                <w:rFonts w:ascii="Arial" w:hAnsi="Arial"/>
              </w:rPr>
            </w:pPr>
            <w:r>
              <w:rPr>
                <w:rFonts w:ascii="Arial" w:hAnsi="Arial"/>
              </w:rPr>
              <w:t>(State or other jurisdiction of</w:t>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TableContents"/>
              <w:spacing w:before="0" w:after="283"/>
              <w:jc w:val="center"/>
              <w:rPr>
                <w:rFonts w:ascii="Arial" w:hAnsi="Arial"/>
              </w:rPr>
            </w:pPr>
            <w:r>
              <w:rPr>
                <w:rFonts w:ascii="Arial" w:hAnsi="Arial"/>
              </w:rPr>
              <w:t>(I.R.S. Employer</w:t>
            </w:r>
          </w:p>
        </w:tc>
      </w:tr>
      <w:tr>
        <w:trPr/>
        <w:tc>
          <w:tcPr>
            <w:tcW w:w="5305" w:type="dxa"/>
            <w:tcBorders/>
            <w:shd w:fill="FFFFFF" w:val="clear"/>
            <w:vAlign w:val="bottom"/>
          </w:tcPr>
          <w:p>
            <w:pPr>
              <w:pStyle w:val="TableContents"/>
              <w:spacing w:before="0" w:after="283"/>
              <w:jc w:val="center"/>
              <w:rPr>
                <w:rFonts w:ascii="Arial" w:hAnsi="Arial"/>
              </w:rPr>
            </w:pPr>
            <w:r>
              <w:rPr>
                <w:rFonts w:ascii="Arial" w:hAnsi="Arial"/>
              </w:rPr>
              <w:t>incorporation or organization)</w:t>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TableContents"/>
              <w:spacing w:before="0" w:after="283"/>
              <w:jc w:val="center"/>
              <w:rPr>
                <w:rFonts w:ascii="Arial" w:hAnsi="Arial"/>
              </w:rPr>
            </w:pPr>
            <w:r>
              <w:rPr>
                <w:rFonts w:ascii="Arial" w:hAnsi="Arial"/>
              </w:rPr>
              <w:t>Identification No.)</w:t>
            </w:r>
          </w:p>
        </w:tc>
      </w:tr>
      <w:tr>
        <w:trPr/>
        <w:tc>
          <w:tcPr>
            <w:tcW w:w="5305" w:type="dxa"/>
            <w:tcBorders/>
            <w:shd w:fill="FFFFFF" w:val="clear"/>
            <w:vAlign w:val="bottom"/>
          </w:tcPr>
          <w:p>
            <w:pPr>
              <w:pStyle w:val="TableContents"/>
              <w:spacing w:before="0" w:after="283"/>
              <w:jc w:val="center"/>
              <w:rPr>
                <w:rFonts w:ascii="Arial" w:hAnsi="Arial"/>
              </w:rPr>
            </w:pPr>
            <w:r>
              <w:rPr>
                <w:rFonts w:ascii="Arial" w:hAnsi="Arial"/>
              </w:rPr>
              <w:t>101 Columbia Road</w:t>
              <w:br/>
              <w:t>Morris Township, New Jersey</w:t>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TableContents"/>
              <w:spacing w:before="0" w:after="283"/>
              <w:jc w:val="center"/>
              <w:rPr>
                <w:rFonts w:ascii="Arial" w:hAnsi="Arial"/>
              </w:rPr>
            </w:pPr>
            <w:r>
              <w:rPr>
                <w:rFonts w:ascii="Arial" w:hAnsi="Arial"/>
              </w:rPr>
              <w:t>07962</w:t>
            </w:r>
          </w:p>
        </w:tc>
      </w:tr>
      <w:tr>
        <w:trPr/>
        <w:tc>
          <w:tcPr>
            <w:tcW w:w="5305" w:type="dxa"/>
            <w:tcBorders/>
            <w:shd w:fill="FFFFFF" w:val="clear"/>
            <w:vAlign w:val="bottom"/>
          </w:tcPr>
          <w:p>
            <w:pPr>
              <w:pStyle w:val="HorizontalLine"/>
              <w:pBdr>
                <w:bottom w:val="single" w:sz="20" w:space="0" w:color="000000"/>
              </w:pBdr>
              <w:spacing w:before="0" w:after="283"/>
              <w:rPr/>
            </w:pPr>
            <w:r>
              <w:rPr/>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HorizontalLine"/>
              <w:pBdr>
                <w:bottom w:val="single" w:sz="6" w:space="0" w:color="000000"/>
              </w:pBdr>
              <w:spacing w:before="0" w:after="283"/>
              <w:rPr/>
            </w:pPr>
            <w:r>
              <w:rPr/>
            </w:r>
          </w:p>
        </w:tc>
      </w:tr>
      <w:tr>
        <w:trPr/>
        <w:tc>
          <w:tcPr>
            <w:tcW w:w="5305" w:type="dxa"/>
            <w:tcBorders/>
            <w:shd w:fill="FFFFFF" w:val="clear"/>
            <w:vAlign w:val="bottom"/>
          </w:tcPr>
          <w:p>
            <w:pPr>
              <w:pStyle w:val="TableContents"/>
              <w:spacing w:before="0" w:after="283"/>
              <w:jc w:val="center"/>
              <w:rPr>
                <w:rFonts w:ascii="Arial" w:hAnsi="Arial"/>
              </w:rPr>
            </w:pPr>
            <w:r>
              <w:rPr>
                <w:rFonts w:ascii="Arial" w:hAnsi="Arial"/>
              </w:rPr>
              <w:t>(Address of principal executive offices)</w:t>
            </w:r>
          </w:p>
        </w:tc>
        <w:tc>
          <w:tcPr>
            <w:tcW w:w="2476" w:type="dxa"/>
            <w:tcBorders/>
            <w:shd w:fill="FFFFFF" w:val="clear"/>
            <w:vAlign w:val="bottom"/>
          </w:tcPr>
          <w:p>
            <w:pPr>
              <w:pStyle w:val="TableContents"/>
              <w:spacing w:before="0" w:after="283"/>
              <w:jc w:val="center"/>
              <w:rPr/>
            </w:pPr>
            <w:r>
              <w:rPr/>
              <w:t>                                </w:t>
            </w:r>
          </w:p>
        </w:tc>
        <w:tc>
          <w:tcPr>
            <w:tcW w:w="2424" w:type="dxa"/>
            <w:tcBorders/>
            <w:shd w:fill="FFFFFF" w:val="clear"/>
            <w:vAlign w:val="bottom"/>
          </w:tcPr>
          <w:p>
            <w:pPr>
              <w:pStyle w:val="TableContents"/>
              <w:spacing w:before="0" w:after="283"/>
              <w:jc w:val="center"/>
              <w:rPr>
                <w:rFonts w:ascii="Arial" w:hAnsi="Arial"/>
              </w:rPr>
            </w:pPr>
            <w:r>
              <w:rPr>
                <w:rFonts w:ascii="Arial" w:hAnsi="Arial"/>
              </w:rPr>
              <w:t>(Zip Code)</w:t>
            </w:r>
          </w:p>
        </w:tc>
      </w:tr>
    </w:tbl>
    <w:p>
      <w:pPr>
        <w:pStyle w:val="TextBody"/>
        <w:jc w:val="left"/>
        <w:rPr/>
      </w:pPr>
      <w:r>
        <w:rPr>
          <w:rFonts w:ascii="Arial" w:hAnsi="Arial"/>
        </w:rPr>
        <w:t xml:space="preserve">Registrant's telephone number, including area code </w:t>
      </w:r>
      <w:r>
        <w:rPr>
          <w:rFonts w:ascii="Arial" w:hAnsi="Arial"/>
          <w:u w:val="single"/>
        </w:rPr>
        <w:t>(973)455-2000</w:t>
      </w:r>
      <w:r>
        <w:rPr>
          <w:rFonts w:ascii="Arial" w:hAnsi="Arial"/>
        </w:rPr>
        <w:br/>
        <w:t>Securities registered pursuant to Section 12(b) of the Act:</w:t>
      </w:r>
    </w:p>
    <w:tbl>
      <w:tblPr>
        <w:tblW w:w="5000" w:type="pct"/>
        <w:jc w:val="left"/>
        <w:tblInd w:w="0" w:type="dxa"/>
        <w:tblCellMar>
          <w:top w:w="0" w:type="dxa"/>
          <w:left w:w="0" w:type="dxa"/>
          <w:bottom w:w="0" w:type="dxa"/>
          <w:right w:w="0" w:type="dxa"/>
        </w:tblCellMar>
      </w:tblPr>
      <w:tblGrid>
        <w:gridCol w:w="4513"/>
        <w:gridCol w:w="2039"/>
        <w:gridCol w:w="3653"/>
      </w:tblGrid>
      <w:tr>
        <w:trPr/>
        <w:tc>
          <w:tcPr>
            <w:tcW w:w="4513" w:type="dxa"/>
            <w:tcBorders/>
            <w:shd w:fill="FFFFFF" w:val="clear"/>
            <w:vAlign w:val="bottom"/>
          </w:tcPr>
          <w:p>
            <w:pPr>
              <w:pStyle w:val="TableContents"/>
              <w:spacing w:before="0" w:after="283"/>
              <w:rPr>
                <w:sz w:val="4"/>
                <w:szCs w:val="4"/>
              </w:rPr>
            </w:pPr>
            <w:r>
              <w:rPr>
                <w:sz w:val="4"/>
                <w:szCs w:val="4"/>
              </w:rPr>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TableContents"/>
              <w:spacing w:before="0" w:after="283"/>
              <w:jc w:val="center"/>
              <w:rPr>
                <w:rFonts w:ascii="Arial" w:hAnsi="Arial"/>
              </w:rPr>
            </w:pPr>
            <w:r>
              <w:rPr>
                <w:rFonts w:ascii="Arial" w:hAnsi="Arial"/>
              </w:rPr>
              <w:t>Name of Each Exchange</w:t>
            </w:r>
          </w:p>
        </w:tc>
      </w:tr>
      <w:tr>
        <w:trPr/>
        <w:tc>
          <w:tcPr>
            <w:tcW w:w="4513" w:type="dxa"/>
            <w:tcBorders/>
            <w:shd w:fill="FFFFFF" w:val="clear"/>
            <w:vAlign w:val="bottom"/>
          </w:tcPr>
          <w:p>
            <w:pPr>
              <w:pStyle w:val="TableContents"/>
              <w:spacing w:before="0" w:after="283"/>
              <w:jc w:val="center"/>
              <w:rPr>
                <w:rFonts w:ascii="Arial" w:hAnsi="Arial"/>
              </w:rPr>
            </w:pPr>
            <w:r>
              <w:rPr>
                <w:rFonts w:ascii="Arial" w:hAnsi="Arial"/>
              </w:rPr>
              <w:t>Title of Each Class</w:t>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TableContents"/>
              <w:spacing w:before="0" w:after="283"/>
              <w:jc w:val="center"/>
              <w:rPr>
                <w:rFonts w:ascii="Arial" w:hAnsi="Arial"/>
              </w:rPr>
            </w:pPr>
            <w:r>
              <w:rPr>
                <w:rFonts w:ascii="Arial" w:hAnsi="Arial"/>
              </w:rPr>
              <w:t>on Which Registered</w:t>
            </w:r>
          </w:p>
        </w:tc>
      </w:tr>
      <w:tr>
        <w:trPr/>
        <w:tc>
          <w:tcPr>
            <w:tcW w:w="4513" w:type="dxa"/>
            <w:tcBorders/>
            <w:shd w:fill="FFFFFF" w:val="clear"/>
            <w:vAlign w:val="bottom"/>
          </w:tcPr>
          <w:p>
            <w:pPr>
              <w:pStyle w:val="HorizontalLine"/>
              <w:pBdr>
                <w:bottom w:val="single" w:sz="20" w:space="0" w:color="000000"/>
              </w:pBdr>
              <w:spacing w:before="0" w:after="283"/>
              <w:rPr/>
            </w:pPr>
            <w:r>
              <w:rPr/>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HorizontalLine"/>
              <w:pBdr>
                <w:bottom w:val="single" w:sz="6" w:space="0" w:color="000000"/>
              </w:pBdr>
              <w:spacing w:before="0" w:after="283"/>
              <w:rPr/>
            </w:pPr>
            <w:r>
              <w:rPr/>
            </w:r>
          </w:p>
        </w:tc>
      </w:tr>
      <w:tr>
        <w:trPr/>
        <w:tc>
          <w:tcPr>
            <w:tcW w:w="4513" w:type="dxa"/>
            <w:tcBorders/>
            <w:shd w:fill="FFFFFF" w:val="clear"/>
            <w:vAlign w:val="bottom"/>
          </w:tcPr>
          <w:p>
            <w:pPr>
              <w:pStyle w:val="TableContents"/>
              <w:spacing w:before="0" w:after="283"/>
              <w:jc w:val="left"/>
              <w:rPr>
                <w:rFonts w:ascii="Arial" w:hAnsi="Arial"/>
              </w:rPr>
            </w:pPr>
            <w:r>
              <w:rPr>
                <w:rFonts w:ascii="Arial" w:hAnsi="Arial"/>
              </w:rPr>
              <w:t>Common Stock, par value $1 per share*</w:t>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TableContents"/>
              <w:spacing w:before="0" w:after="283"/>
              <w:jc w:val="center"/>
              <w:rPr>
                <w:rFonts w:ascii="Arial" w:hAnsi="Arial"/>
              </w:rPr>
            </w:pPr>
            <w:r>
              <w:rPr>
                <w:rFonts w:ascii="Arial" w:hAnsi="Arial"/>
              </w:rPr>
              <w:t>New York Stock Exchange</w:t>
            </w:r>
          </w:p>
        </w:tc>
      </w:tr>
      <w:tr>
        <w:trPr/>
        <w:tc>
          <w:tcPr>
            <w:tcW w:w="4513" w:type="dxa"/>
            <w:tcBorders/>
            <w:shd w:fill="FFFFFF" w:val="clear"/>
            <w:vAlign w:val="bottom"/>
          </w:tcPr>
          <w:p>
            <w:pPr>
              <w:pStyle w:val="TableContents"/>
              <w:spacing w:before="0" w:after="283"/>
              <w:rPr>
                <w:sz w:val="4"/>
                <w:szCs w:val="4"/>
              </w:rPr>
            </w:pPr>
            <w:r>
              <w:rPr>
                <w:sz w:val="4"/>
                <w:szCs w:val="4"/>
              </w:rPr>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TableContents"/>
              <w:spacing w:before="0" w:after="283"/>
              <w:jc w:val="center"/>
              <w:rPr/>
            </w:pPr>
            <w:r>
              <w:rPr/>
              <w:t>      </w:t>
            </w:r>
            <w:r>
              <w:rPr>
                <w:rFonts w:ascii="Arial" w:hAnsi="Arial"/>
              </w:rPr>
              <w:t>Chicago Stock Exchange      </w:t>
            </w:r>
          </w:p>
        </w:tc>
      </w:tr>
      <w:tr>
        <w:trPr/>
        <w:tc>
          <w:tcPr>
            <w:tcW w:w="4513" w:type="dxa"/>
            <w:tcBorders/>
            <w:shd w:fill="FFFFFF" w:val="clear"/>
            <w:vAlign w:val="bottom"/>
          </w:tcPr>
          <w:p>
            <w:pPr>
              <w:pStyle w:val="TableContents"/>
              <w:spacing w:before="0" w:after="283"/>
              <w:jc w:val="left"/>
              <w:rPr>
                <w:rFonts w:ascii="Arial" w:hAnsi="Arial"/>
              </w:rPr>
            </w:pPr>
            <w:r>
              <w:rPr>
                <w:rFonts w:ascii="Arial" w:hAnsi="Arial"/>
              </w:rPr>
              <w:t>Zero Coupon Serial Bonds due 2009</w:t>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TableContents"/>
              <w:spacing w:before="0" w:after="283"/>
              <w:jc w:val="center"/>
              <w:rPr>
                <w:rFonts w:ascii="Arial" w:hAnsi="Arial"/>
              </w:rPr>
            </w:pPr>
            <w:r>
              <w:rPr>
                <w:rFonts w:ascii="Arial" w:hAnsi="Arial"/>
              </w:rPr>
              <w:t>New York Stock Exchange</w:t>
            </w:r>
          </w:p>
        </w:tc>
      </w:tr>
      <w:tr>
        <w:trPr/>
        <w:tc>
          <w:tcPr>
            <w:tcW w:w="4513" w:type="dxa"/>
            <w:tcBorders/>
            <w:shd w:fill="FFFFFF" w:val="clear"/>
            <w:vAlign w:val="bottom"/>
          </w:tcPr>
          <w:p>
            <w:pPr>
              <w:pStyle w:val="TableContents"/>
              <w:spacing w:before="0" w:after="283"/>
              <w:jc w:val="left"/>
              <w:rPr/>
            </w:pPr>
            <w:r>
              <w:rPr>
                <w:rFonts w:ascii="Arial" w:hAnsi="Arial"/>
              </w:rPr>
              <w:t>9</w:t>
            </w:r>
            <w:r>
              <w:rPr>
                <w:rFonts w:ascii="Arial" w:hAnsi="Arial"/>
                <w:position w:val="5"/>
                <w:sz w:val="11"/>
                <w:sz w:val="14"/>
              </w:rPr>
              <w:t>1</w:t>
            </w:r>
            <w:r>
              <w:rPr/>
              <w:t>⁄</w:t>
            </w:r>
            <w:r>
              <w:rPr>
                <w:rFonts w:ascii="Arial" w:hAnsi="Arial"/>
                <w:sz w:val="14"/>
              </w:rPr>
              <w:t>2</w:t>
            </w:r>
            <w:r>
              <w:rPr>
                <w:rFonts w:ascii="Arial" w:hAnsi="Arial"/>
              </w:rPr>
              <w:t>% Debentures due June 1, 2016</w:t>
            </w:r>
          </w:p>
        </w:tc>
        <w:tc>
          <w:tcPr>
            <w:tcW w:w="2039" w:type="dxa"/>
            <w:tcBorders/>
            <w:shd w:fill="FFFFFF" w:val="clear"/>
            <w:vAlign w:val="bottom"/>
          </w:tcPr>
          <w:p>
            <w:pPr>
              <w:pStyle w:val="TableContents"/>
              <w:spacing w:before="0" w:after="283"/>
              <w:jc w:val="center"/>
              <w:rPr/>
            </w:pPr>
            <w:r>
              <w:rPr/>
              <w:t>                                </w:t>
            </w:r>
          </w:p>
        </w:tc>
        <w:tc>
          <w:tcPr>
            <w:tcW w:w="3653" w:type="dxa"/>
            <w:tcBorders/>
            <w:shd w:fill="FFFFFF" w:val="clear"/>
            <w:vAlign w:val="bottom"/>
          </w:tcPr>
          <w:p>
            <w:pPr>
              <w:pStyle w:val="TableContents"/>
              <w:spacing w:before="0" w:after="283"/>
              <w:jc w:val="center"/>
              <w:rPr>
                <w:rFonts w:ascii="Arial" w:hAnsi="Arial"/>
              </w:rPr>
            </w:pPr>
            <w:r>
              <w:rPr>
                <w:rFonts w:ascii="Arial" w:hAnsi="Arial"/>
              </w:rPr>
              <w:t>New York Stock Exchange</w:t>
            </w:r>
          </w:p>
        </w:tc>
      </w:tr>
    </w:tbl>
    <w:p>
      <w:pPr>
        <w:pStyle w:val="HorizontalLine"/>
        <w:pBdr>
          <w:bottom w:val="single" w:sz="20" w:space="0" w:color="000000"/>
        </w:pBdr>
        <w:jc w:val="left"/>
        <w:rPr/>
      </w:pPr>
      <w:r>
        <w:rPr/>
      </w:r>
    </w:p>
    <w:p>
      <w:pPr>
        <w:pStyle w:val="TextBody"/>
        <w:jc w:val="left"/>
        <w:rPr>
          <w:rFonts w:ascii="Arial" w:hAnsi="Arial"/>
        </w:rPr>
      </w:pPr>
      <w:r>
        <w:rPr>
          <w:rFonts w:ascii="Arial" w:hAnsi="Arial"/>
        </w:rPr>
        <w:t>* The common stock is also listed for trading on the London Stock Exchange.</w:t>
      </w:r>
    </w:p>
    <w:p>
      <w:pPr>
        <w:pStyle w:val="TextBody"/>
        <w:jc w:val="left"/>
        <w:rPr>
          <w:rFonts w:ascii="Arial" w:hAnsi="Arial"/>
        </w:rPr>
      </w:pPr>
      <w:r>
        <w:rPr>
          <w:rFonts w:ascii="Arial" w:hAnsi="Arial"/>
        </w:rPr>
        <w:t>Securities registered pursuant to Section 12(g) of the Act:   None</w:t>
      </w:r>
    </w:p>
    <w:p>
      <w:pPr>
        <w:pStyle w:val="TextBody"/>
        <w:jc w:val="left"/>
        <w:rPr/>
      </w:pPr>
      <w:r>
        <w:rPr>
          <w:rFonts w:ascii="Arial" w:hAnsi="Arial"/>
        </w:rPr>
        <w:t xml:space="preserve">Indicate by check mark if the Registrant is a well-known seasoned issuer, as defined in Rule 405 of the Securities Act. Yes </w:t>
      </w:r>
      <w:r>
        <w:rPr>
          <w:rFonts w:ascii="Arial" w:hAnsi="Arial"/>
          <w:u w:val="single"/>
        </w:rPr>
        <w:t>X</w:t>
      </w:r>
      <w:r>
        <w:rPr/>
        <w:t xml:space="preserve"> </w:t>
      </w:r>
      <w:r>
        <w:rPr>
          <w:rFonts w:ascii="Arial" w:hAnsi="Arial"/>
        </w:rPr>
        <w:t xml:space="preserve">No </w:t>
      </w:r>
      <w:r>
        <w:rPr>
          <w:u w:val="single"/>
        </w:rPr>
        <w:t>  </w:t>
      </w:r>
    </w:p>
    <w:p>
      <w:pPr>
        <w:pStyle w:val="TextBody"/>
        <w:jc w:val="left"/>
        <w:rPr/>
      </w:pPr>
      <w:r>
        <w:rPr>
          <w:rFonts w:ascii="Arial" w:hAnsi="Arial"/>
        </w:rPr>
        <w:t xml:space="preserve">Indicate by check mark if the Registrant is not required to file reports pursuant to Section 13 or Section 15(d) of the Exchange Act. Yes </w:t>
      </w:r>
      <w:r>
        <w:rPr>
          <w:u w:val="single"/>
        </w:rPr>
        <w:t>  </w:t>
      </w:r>
      <w:r>
        <w:rPr/>
        <w:t xml:space="preserve"> </w:t>
      </w:r>
      <w:r>
        <w:rPr>
          <w:rFonts w:ascii="Arial" w:hAnsi="Arial"/>
        </w:rPr>
        <w:t xml:space="preserve">No </w:t>
      </w:r>
      <w:r>
        <w:rPr>
          <w:rFonts w:ascii="Arial" w:hAnsi="Arial"/>
          <w:u w:val="single"/>
        </w:rPr>
        <w:t>X</w:t>
      </w:r>
    </w:p>
    <w:p>
      <w:pPr>
        <w:pStyle w:val="TextBody"/>
        <w:jc w:val="left"/>
        <w:rPr/>
      </w:pPr>
      <w:r>
        <w:rPr>
          <w:rFonts w:ascii="Arial" w:hAnsi="Arial"/>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hAnsi="Arial"/>
          <w:u w:val="single"/>
        </w:rPr>
        <w:t>X</w:t>
      </w:r>
      <w:r>
        <w:rPr/>
        <w:t xml:space="preserve"> </w:t>
      </w:r>
      <w:r>
        <w:rPr>
          <w:rFonts w:ascii="Arial" w:hAnsi="Arial"/>
        </w:rPr>
        <w:t xml:space="preserve">No </w:t>
      </w:r>
      <w:r>
        <w:rPr>
          <w:u w:val="single"/>
        </w:rPr>
        <w:t>  </w:t>
      </w:r>
    </w:p>
    <w:p>
      <w:pPr>
        <w:pStyle w:val="TextBody"/>
        <w:jc w:val="left"/>
        <w:rPr/>
      </w:pPr>
      <w:r>
        <w:rPr>
          <w:rFonts w:ascii="Arial" w:hAnsi="Arial"/>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2" w:hAnsi="Wingdings 2"/>
        </w:rPr>
        <w:t>S</w:t>
      </w:r>
    </w:p>
    <w:p>
      <w:pPr>
        <w:pStyle w:val="TextBody"/>
        <w:jc w:val="left"/>
        <w:rPr>
          <w:rFonts w:ascii="Arial" w:hAnsi="Arial"/>
        </w:rPr>
      </w:pPr>
      <w:r>
        <w:rPr>
          <w:rFonts w:ascii="Arial" w:hAnsi="Arial"/>
        </w:rPr>
        <w:t>Indicate by check mark whether the Registrant is a large accelerated filer, an accelerated filer, or a non-accelerated filer. See definition of “accelerated filer and large accelerated filer” in Rule 12b-2 of the Exchange Act. (Check One):</w:t>
      </w:r>
    </w:p>
    <w:p>
      <w:pPr>
        <w:pStyle w:val="TextBody"/>
        <w:jc w:val="left"/>
        <w:rPr/>
      </w:pPr>
      <w:r>
        <w:rPr>
          <w:rFonts w:ascii="Arial" w:hAnsi="Arial"/>
        </w:rPr>
        <w:t xml:space="preserve">Large accelerated filer </w:t>
      </w:r>
      <w:r>
        <w:rPr>
          <w:rFonts w:ascii="Wingdings 2" w:hAnsi="Wingdings 2"/>
        </w:rPr>
        <w:t>S</w:t>
      </w:r>
      <w:r>
        <w:rPr/>
        <w:t>      </w:t>
      </w:r>
      <w:r>
        <w:rPr>
          <w:rFonts w:ascii="Arial" w:hAnsi="Arial"/>
        </w:rPr>
        <w:t xml:space="preserve">Accelerated filer </w:t>
      </w:r>
      <w:r>
        <w:rPr>
          <w:rFonts w:ascii="Wingdings 2" w:hAnsi="Wingdings 2"/>
        </w:rPr>
        <w:t>£</w:t>
      </w:r>
      <w:r>
        <w:rPr/>
        <w:t>      </w:t>
      </w:r>
      <w:r>
        <w:rPr>
          <w:rFonts w:ascii="Arial" w:hAnsi="Arial"/>
        </w:rPr>
        <w:t xml:space="preserve">Non-accelerated filer </w:t>
      </w:r>
      <w:r>
        <w:rPr>
          <w:rFonts w:ascii="Wingdings 2" w:hAnsi="Wingdings 2"/>
        </w:rPr>
        <w:t>£</w:t>
      </w:r>
    </w:p>
    <w:p>
      <w:pPr>
        <w:pStyle w:val="TextBody"/>
        <w:jc w:val="left"/>
        <w:rPr/>
      </w:pPr>
      <w:r>
        <w:rPr>
          <w:rFonts w:ascii="Arial" w:hAnsi="Arial"/>
        </w:rPr>
        <w:t xml:space="preserve">Indicate by check mark whether the Registrant is a shell company (as defined in Rule 12b-2 of the Act). Yes </w:t>
      </w:r>
      <w:r>
        <w:rPr>
          <w:u w:val="single"/>
        </w:rPr>
        <w:t>  </w:t>
      </w:r>
      <w:r>
        <w:rPr/>
        <w:t xml:space="preserve"> </w:t>
      </w:r>
      <w:r>
        <w:rPr>
          <w:rFonts w:ascii="Arial" w:hAnsi="Arial"/>
        </w:rPr>
        <w:t>No </w:t>
      </w:r>
      <w:r>
        <w:rPr>
          <w:rFonts w:ascii="Arial" w:hAnsi="Arial"/>
          <w:u w:val="single"/>
        </w:rPr>
        <w:t>X</w:t>
      </w:r>
    </w:p>
    <w:p>
      <w:pPr>
        <w:pStyle w:val="TextBody"/>
        <w:jc w:val="left"/>
        <w:rPr>
          <w:rFonts w:ascii="Arial" w:hAnsi="Arial"/>
        </w:rPr>
      </w:pPr>
      <w:r>
        <w:rPr>
          <w:rFonts w:ascii="Arial" w:hAnsi="Arial"/>
        </w:rPr>
        <w:t>The aggregate market value of the voting stock held by nonaffiliates of the Registrant was approximately $33.0 billion at June 30, 2006.</w:t>
      </w:r>
    </w:p>
    <w:p>
      <w:pPr>
        <w:pStyle w:val="TextBody"/>
        <w:jc w:val="left"/>
        <w:rPr>
          <w:rFonts w:ascii="Arial" w:hAnsi="Arial"/>
        </w:rPr>
      </w:pPr>
      <w:r>
        <w:rPr>
          <w:rFonts w:ascii="Arial" w:hAnsi="Arial"/>
        </w:rPr>
        <w:t>There were 799,927,635 shares of Common Stock outstanding at January 31, 2007.</w:t>
      </w:r>
    </w:p>
    <w:p>
      <w:pPr>
        <w:pStyle w:val="TextBody"/>
        <w:jc w:val="center"/>
        <w:rPr>
          <w:rFonts w:ascii="Arial" w:hAnsi="Arial"/>
          <w:u w:val="single"/>
        </w:rPr>
      </w:pPr>
      <w:r>
        <w:rPr>
          <w:rFonts w:ascii="Arial" w:hAnsi="Arial"/>
          <w:u w:val="single"/>
        </w:rPr>
        <w:t>Documents Incorporated by Reference</w:t>
      </w:r>
    </w:p>
    <w:p>
      <w:pPr>
        <w:pStyle w:val="TextBody"/>
        <w:jc w:val="left"/>
        <w:rPr>
          <w:rFonts w:ascii="Arial" w:hAnsi="Arial"/>
        </w:rPr>
      </w:pPr>
      <w:r>
        <w:rPr>
          <w:rFonts w:ascii="Arial" w:hAnsi="Arial"/>
        </w:rPr>
        <w:t>Part III: Proxy Statement for Annual Meeting of Shareowners to be held April 23, 2007.</w:t>
      </w:r>
    </w:p>
    <w:p>
      <w:pPr>
        <w:pStyle w:val="HorizontalLine"/>
        <w:pBdr>
          <w:bottom w:val="single" w:sz="20" w:space="0" w:color="000000"/>
        </w:pBdr>
        <w:jc w:val="center"/>
        <w:rPr/>
      </w:pPr>
      <w:r>
        <w:rPr/>
      </w:r>
    </w:p>
    <w:p>
      <w:pPr>
        <w:pStyle w:val="HorizontalLine"/>
        <w:pBdr>
          <w:bottom w:val="single" w:sz="20" w:space="0" w:color="000000"/>
        </w:pBdr>
        <w:jc w:val="center"/>
        <w:rPr/>
      </w:pPr>
      <w:r>
        <w:rPr/>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TABLE OF CONTENTS</w:t>
      </w:r>
    </w:p>
    <w:tbl>
      <w:tblPr>
        <w:tblW w:w="5000" w:type="pct"/>
        <w:jc w:val="left"/>
        <w:tblInd w:w="0" w:type="dxa"/>
        <w:tblCellMar>
          <w:top w:w="0" w:type="dxa"/>
          <w:left w:w="0" w:type="dxa"/>
          <w:bottom w:w="0" w:type="dxa"/>
          <w:right w:w="0" w:type="dxa"/>
        </w:tblCellMar>
      </w:tblPr>
      <w:tblGrid>
        <w:gridCol w:w="1174"/>
        <w:gridCol w:w="240"/>
        <w:gridCol w:w="500"/>
        <w:gridCol w:w="240"/>
        <w:gridCol w:w="7205"/>
        <w:gridCol w:w="240"/>
        <w:gridCol w:w="66"/>
        <w:gridCol w:w="471"/>
        <w:gridCol w:w="69"/>
      </w:tblGrid>
      <w:tr>
        <w:trPr/>
        <w:tc>
          <w:tcPr>
            <w:tcW w:w="11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left"/>
              <w:rPr/>
            </w:pPr>
            <w:r>
              <w:rPr/>
              <w:t>    </w:t>
            </w:r>
          </w:p>
        </w:tc>
        <w:tc>
          <w:tcPr>
            <w:tcW w:w="500" w:type="dxa"/>
            <w:tcBorders/>
            <w:shd w:fill="FFFFFF" w:val="clear"/>
            <w:vAlign w:val="bottom"/>
          </w:tcPr>
          <w:p>
            <w:pPr>
              <w:pStyle w:val="TableContents"/>
              <w:spacing w:before="0" w:after="0"/>
              <w:jc w:val="left"/>
              <w:rPr>
                <w:rFonts w:ascii="Arial" w:hAnsi="Arial"/>
                <w:b/>
              </w:rPr>
            </w:pPr>
            <w:r>
              <w:rPr>
                <w:rFonts w:ascii="Arial" w:hAnsi="Arial"/>
                <w:b/>
              </w:rPr>
              <w:t>Item</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720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6" w:type="dxa"/>
            <w:gridSpan w:val="3"/>
            <w:tcBorders/>
            <w:shd w:fill="FFFFFF" w:val="clear"/>
            <w:vAlign w:val="bottom"/>
          </w:tcPr>
          <w:p>
            <w:pPr>
              <w:pStyle w:val="TableContents"/>
              <w:spacing w:before="0" w:after="0"/>
              <w:jc w:val="center"/>
              <w:rPr>
                <w:rFonts w:ascii="Arial" w:hAnsi="Arial"/>
                <w:b/>
              </w:rPr>
            </w:pPr>
            <w:r>
              <w:rPr>
                <w:rFonts w:ascii="Arial" w:hAnsi="Arial"/>
                <w:b/>
              </w:rPr>
              <w:t>Page</w:t>
            </w:r>
          </w:p>
          <w:p>
            <w:pPr>
              <w:pStyle w:val="HorizontalLine"/>
              <w:pBdr>
                <w:bottom w:val="single" w:sz="6" w:space="0" w:color="000000"/>
              </w:pBdr>
              <w:spacing w:before="0" w:after="283"/>
              <w:rPr/>
            </w:pPr>
            <w:r>
              <w:rPr/>
            </w:r>
          </w:p>
        </w:tc>
      </w:tr>
      <w:tr>
        <w:trPr/>
        <w:tc>
          <w:tcPr>
            <w:tcW w:w="1174" w:type="dxa"/>
            <w:tcBorders/>
            <w:shd w:fill="FFFFFF" w:val="clear"/>
          </w:tcPr>
          <w:p>
            <w:pPr>
              <w:pStyle w:val="TableContents"/>
              <w:spacing w:before="0" w:after="283"/>
              <w:jc w:val="left"/>
              <w:rPr>
                <w:rFonts w:ascii="Arial" w:hAnsi="Arial"/>
              </w:rPr>
            </w:pPr>
            <w:hyperlink w:anchor="Business">
              <w:r>
                <w:rPr>
                  <w:rStyle w:val="InternetLink"/>
                  <w:rFonts w:ascii="Arial" w:hAnsi="Arial"/>
                </w:rPr>
                <w:t>Part I.</w:t>
              </w:r>
            </w:hyperlink>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rFonts w:ascii="Arial" w:hAnsi="Arial"/>
              </w:rPr>
            </w:pPr>
            <w:r>
              <w:rPr>
                <w:rFonts w:ascii="Arial" w:hAnsi="Arial"/>
              </w:rPr>
              <w:t>Business</w:t>
            </w:r>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1A.</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Risk">
              <w:r>
                <w:rPr>
                  <w:rStyle w:val="InternetLink"/>
                  <w:rFonts w:ascii="Arial" w:hAnsi="Arial"/>
                </w:rPr>
                <w:t>Risk Factors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10</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1B.</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Unresolved">
              <w:r>
                <w:rPr>
                  <w:rStyle w:val="InternetLink"/>
                  <w:rFonts w:ascii="Arial" w:hAnsi="Arial"/>
                </w:rPr>
                <w:t>Unresolved Staff Comments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14</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2.</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Properties">
              <w:r>
                <w:rPr>
                  <w:rStyle w:val="InternetLink"/>
                  <w:rFonts w:ascii="Arial" w:hAnsi="Arial"/>
                </w:rPr>
                <w:t>Properties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14</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3.</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Legal">
              <w:r>
                <w:rPr>
                  <w:rStyle w:val="InternetLink"/>
                  <w:rFonts w:ascii="Arial" w:hAnsi="Arial"/>
                </w:rPr>
                <w:t>Legal Proceedings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15</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4.</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Submission">
              <w:r>
                <w:rPr>
                  <w:rStyle w:val="InternetLink"/>
                  <w:rFonts w:ascii="Arial" w:hAnsi="Arial"/>
                </w:rPr>
                <w:t>Submission of Matters to a Vote of Security Holders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16</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7945" w:type="dxa"/>
            <w:gridSpan w:val="3"/>
            <w:tcBorders/>
            <w:shd w:fill="FFFFFF" w:val="clear"/>
          </w:tcPr>
          <w:p>
            <w:pPr>
              <w:pStyle w:val="TableContents"/>
              <w:spacing w:before="0" w:after="283"/>
              <w:jc w:val="left"/>
              <w:rPr/>
            </w:pPr>
            <w:r>
              <w:rPr/>
              <w:t> </w:t>
            </w:r>
            <w:hyperlink w:anchor="Executive">
              <w:r>
                <w:rPr>
                  <w:rStyle w:val="InternetLink"/>
                  <w:rFonts w:ascii="Arial" w:hAnsi="Arial"/>
                </w:rPr>
                <w:t>Executive Officers of the Registrant</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17</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jc w:val="left"/>
              <w:rPr>
                <w:rFonts w:ascii="Arial" w:hAnsi="Arial"/>
              </w:rPr>
            </w:pPr>
            <w:hyperlink w:anchor="Market">
              <w:r>
                <w:rPr>
                  <w:rStyle w:val="InternetLink"/>
                  <w:rFonts w:ascii="Arial" w:hAnsi="Arial"/>
                </w:rPr>
                <w:t>Part II.</w:t>
              </w:r>
            </w:hyperlink>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5.</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rFonts w:ascii="Arial" w:hAnsi="Arial"/>
              </w:rPr>
            </w:pPr>
            <w:r>
              <w:rPr>
                <w:rFonts w:ascii="Arial" w:hAnsi="Arial"/>
              </w:rPr>
              <w:t>Market for Registrant's Common Equity, Related Stockholder Matters and Issuer</w:t>
              <w:br/>
              <w:t>Purchases of Equity Securities</w:t>
            </w:r>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18</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6.</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Selected">
              <w:r>
                <w:rPr>
                  <w:rStyle w:val="InternetLink"/>
                  <w:rFonts w:ascii="Arial" w:hAnsi="Arial"/>
                </w:rPr>
                <w:t>Selected Financial Data</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20</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7.</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Management">
              <w:r>
                <w:rPr>
                  <w:rStyle w:val="InternetLink"/>
                  <w:rFonts w:ascii="Arial" w:hAnsi="Arial"/>
                </w:rPr>
                <w:t>Management's Discussion and Analysis of Financial Condition and Results of Operations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20</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7A.</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Quantitative">
              <w:r>
                <w:rPr>
                  <w:rStyle w:val="InternetLink"/>
                  <w:rFonts w:ascii="Arial" w:hAnsi="Arial"/>
                </w:rPr>
                <w:t>Quantitative and Qualitative Disclosures About Market Risk</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44</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8.</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Financial">
              <w:r>
                <w:rPr>
                  <w:rStyle w:val="InternetLink"/>
                  <w:rFonts w:ascii="Arial" w:hAnsi="Arial"/>
                </w:rPr>
                <w:t>Financial Statements and Supplementary Data</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45</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9.</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Changes">
              <w:r>
                <w:rPr>
                  <w:rStyle w:val="InternetLink"/>
                  <w:rFonts w:ascii="Arial" w:hAnsi="Arial"/>
                </w:rPr>
                <w:t>Changes in and Disagreements with Accountants on Accounting and Financial Disclosure</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98</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9A.</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Controls">
              <w:r>
                <w:rPr>
                  <w:rStyle w:val="InternetLink"/>
                  <w:rFonts w:ascii="Arial" w:hAnsi="Arial"/>
                </w:rPr>
                <w:t>Controls and Procedures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98</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9B.</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Other Information">
              <w:r>
                <w:rPr>
                  <w:rStyle w:val="InternetLink"/>
                  <w:rFonts w:ascii="Arial" w:hAnsi="Arial"/>
                </w:rPr>
                <w:t>Other Information</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99</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jc w:val="left"/>
              <w:rPr>
                <w:rFonts w:ascii="Arial" w:hAnsi="Arial"/>
              </w:rPr>
            </w:pPr>
            <w:hyperlink w:anchor="Directors">
              <w:r>
                <w:rPr>
                  <w:rStyle w:val="InternetLink"/>
                  <w:rFonts w:ascii="Arial" w:hAnsi="Arial"/>
                </w:rPr>
                <w:t>Part III.</w:t>
              </w:r>
            </w:hyperlink>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10.</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rFonts w:ascii="Arial" w:hAnsi="Arial"/>
              </w:rPr>
            </w:pPr>
            <w:r>
              <w:rPr>
                <w:rFonts w:ascii="Arial" w:hAnsi="Arial"/>
              </w:rPr>
              <w:t>Directors and Executive Officers of the Registrant</w:t>
            </w:r>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99</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11.</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ExecutiveCompensation">
              <w:r>
                <w:rPr>
                  <w:rStyle w:val="InternetLink"/>
                  <w:rFonts w:ascii="Arial" w:hAnsi="Arial"/>
                </w:rPr>
                <w:t>Executive Compensation</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99</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12.</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Security">
              <w:r>
                <w:rPr>
                  <w:rStyle w:val="InternetLink"/>
                  <w:rFonts w:ascii="Arial" w:hAnsi="Arial"/>
                </w:rPr>
                <w:t>Security Ownership of Certain Beneficial Owners and Management and Related Stockholder Matters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99</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13.</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Certain">
              <w:r>
                <w:rPr>
                  <w:rStyle w:val="InternetLink"/>
                  <w:rFonts w:ascii="Arial" w:hAnsi="Arial"/>
                </w:rPr>
                <w:t>Certain Relationships and Related Transactions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99</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rPr>
                <w:sz w:val="4"/>
                <w:szCs w:val="4"/>
              </w:rPr>
            </w:pPr>
            <w:r>
              <w:rPr>
                <w:sz w:val="4"/>
                <w:szCs w:val="4"/>
              </w:rPr>
            </w:r>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14.</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pPr>
            <w:hyperlink w:anchor="Principal">
              <w:r>
                <w:rPr>
                  <w:rStyle w:val="InternetLink"/>
                  <w:rFonts w:ascii="Arial" w:hAnsi="Arial"/>
                </w:rPr>
                <w:t>Principal Accounting Fees and Services</w:t>
              </w:r>
            </w:hyperlink>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99</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jc w:val="left"/>
              <w:rPr>
                <w:rFonts w:ascii="Arial" w:hAnsi="Arial"/>
              </w:rPr>
            </w:pPr>
            <w:hyperlink w:anchor="Exhibits">
              <w:r>
                <w:rPr>
                  <w:rStyle w:val="InternetLink"/>
                  <w:rFonts w:ascii="Arial" w:hAnsi="Arial"/>
                </w:rPr>
                <w:t>Part IV.</w:t>
              </w:r>
            </w:hyperlink>
          </w:p>
        </w:tc>
        <w:tc>
          <w:tcPr>
            <w:tcW w:w="240" w:type="dxa"/>
            <w:tcBorders/>
            <w:shd w:fill="FFFFFF" w:val="clear"/>
          </w:tcPr>
          <w:p>
            <w:pPr>
              <w:pStyle w:val="TableContents"/>
              <w:spacing w:before="0" w:after="283"/>
              <w:jc w:val="right"/>
              <w:rPr/>
            </w:pPr>
            <w:r>
              <w:rPr/>
              <w:t>    </w:t>
            </w:r>
          </w:p>
        </w:tc>
        <w:tc>
          <w:tcPr>
            <w:tcW w:w="500" w:type="dxa"/>
            <w:tcBorders/>
            <w:shd w:fill="FFFFFF" w:val="clear"/>
          </w:tcPr>
          <w:p>
            <w:pPr>
              <w:pStyle w:val="TableContents"/>
              <w:spacing w:before="0" w:after="283"/>
              <w:jc w:val="right"/>
              <w:rPr>
                <w:rFonts w:ascii="Arial" w:hAnsi="Arial"/>
              </w:rPr>
            </w:pPr>
            <w:r>
              <w:rPr>
                <w:rFonts w:ascii="Arial" w:hAnsi="Arial"/>
              </w:rPr>
              <w:t>15.</w:t>
            </w:r>
          </w:p>
        </w:tc>
        <w:tc>
          <w:tcPr>
            <w:tcW w:w="240" w:type="dxa"/>
            <w:tcBorders/>
            <w:shd w:fill="FFFFFF" w:val="clear"/>
          </w:tcPr>
          <w:p>
            <w:pPr>
              <w:pStyle w:val="TableContents"/>
              <w:spacing w:before="0" w:after="283"/>
              <w:jc w:val="left"/>
              <w:rPr/>
            </w:pPr>
            <w:r>
              <w:rPr/>
              <w:t>    </w:t>
            </w:r>
          </w:p>
        </w:tc>
        <w:tc>
          <w:tcPr>
            <w:tcW w:w="7205" w:type="dxa"/>
            <w:tcBorders/>
            <w:shd w:fill="FFFFFF" w:val="clear"/>
          </w:tcPr>
          <w:p>
            <w:pPr>
              <w:pStyle w:val="TableContents"/>
              <w:spacing w:before="0" w:after="283"/>
              <w:jc w:val="left"/>
              <w:rPr>
                <w:rFonts w:ascii="Arial" w:hAnsi="Arial"/>
              </w:rPr>
            </w:pPr>
            <w:r>
              <w:rPr>
                <w:rFonts w:ascii="Arial" w:hAnsi="Arial"/>
              </w:rPr>
              <w:t>Exhibits and Financial Statement Schedules</w:t>
            </w:r>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100</w:t>
            </w:r>
          </w:p>
        </w:tc>
        <w:tc>
          <w:tcPr>
            <w:tcW w:w="69" w:type="dxa"/>
            <w:tcBorders/>
            <w:shd w:fill="FFFFFF" w:val="clear"/>
            <w:vAlign w:val="center"/>
          </w:tcPr>
          <w:p>
            <w:pPr>
              <w:pStyle w:val="TableContents"/>
              <w:spacing w:before="0" w:after="283"/>
              <w:rPr/>
            </w:pPr>
            <w:r>
              <w:rPr/>
              <w:t> </w:t>
            </w:r>
          </w:p>
        </w:tc>
      </w:tr>
      <w:tr>
        <w:trPr/>
        <w:tc>
          <w:tcPr>
            <w:tcW w:w="1174" w:type="dxa"/>
            <w:tcBorders/>
            <w:shd w:fill="FFFFFF" w:val="clear"/>
          </w:tcPr>
          <w:p>
            <w:pPr>
              <w:pStyle w:val="TableContents"/>
              <w:spacing w:before="0" w:after="283"/>
              <w:jc w:val="left"/>
              <w:rPr/>
            </w:pPr>
            <w:r>
              <w:rPr/>
              <w:br/>
            </w:r>
            <w:hyperlink w:anchor="Signatures">
              <w:r>
                <w:rPr>
                  <w:rStyle w:val="InternetLink"/>
                  <w:rFonts w:ascii="Arial" w:hAnsi="Arial"/>
                </w:rPr>
                <w:t>Signatures</w:t>
              </w:r>
            </w:hyperlink>
          </w:p>
        </w:tc>
        <w:tc>
          <w:tcPr>
            <w:tcW w:w="240" w:type="dxa"/>
            <w:tcBorders/>
            <w:shd w:fill="FFFFFF" w:val="clear"/>
            <w:vAlign w:val="center"/>
          </w:tcPr>
          <w:p>
            <w:pPr>
              <w:pStyle w:val="TableContents"/>
              <w:spacing w:before="0" w:after="283"/>
              <w:rPr/>
            </w:pPr>
            <w:r>
              <w:rPr/>
              <w:t> </w:t>
            </w:r>
          </w:p>
        </w:tc>
        <w:tc>
          <w:tcPr>
            <w:tcW w:w="50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720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6" w:type="dxa"/>
            <w:tcBorders/>
            <w:shd w:fill="FFFFFF" w:val="clear"/>
            <w:vAlign w:val="center"/>
          </w:tcPr>
          <w:p>
            <w:pPr>
              <w:pStyle w:val="TableContents"/>
              <w:spacing w:before="0" w:after="283"/>
              <w:rPr/>
            </w:pPr>
            <w:r>
              <w:rPr/>
              <w:t> </w:t>
            </w:r>
          </w:p>
        </w:tc>
        <w:tc>
          <w:tcPr>
            <w:tcW w:w="471" w:type="dxa"/>
            <w:tcBorders/>
            <w:shd w:fill="FFFFFF" w:val="clear"/>
            <w:vAlign w:val="bottom"/>
          </w:tcPr>
          <w:p>
            <w:pPr>
              <w:pStyle w:val="TableContents"/>
              <w:spacing w:before="0" w:after="283"/>
              <w:jc w:val="right"/>
              <w:rPr>
                <w:rFonts w:ascii="Arial" w:hAnsi="Arial"/>
              </w:rPr>
            </w:pPr>
            <w:r>
              <w:rPr>
                <w:rFonts w:ascii="Arial" w:hAnsi="Arial"/>
              </w:rPr>
              <w:t>101</w:t>
            </w:r>
          </w:p>
        </w:tc>
        <w:tc>
          <w:tcPr>
            <w:tcW w:w="69" w:type="dxa"/>
            <w:tcBorders/>
            <w:shd w:fill="FFFFFF" w:val="clear"/>
            <w:vAlign w:val="center"/>
          </w:tcPr>
          <w:p>
            <w:pPr>
              <w:pStyle w:val="TableContents"/>
              <w:spacing w:before="0" w:after="283"/>
              <w:rPr/>
            </w:pPr>
            <w:r>
              <w:rPr/>
              <w:t> </w:t>
            </w:r>
          </w:p>
        </w:tc>
      </w:tr>
    </w:tbl>
    <w:p>
      <w:pPr>
        <w:pStyle w:val="HorizontalLine"/>
        <w:pBdr>
          <w:bottom w:val="single" w:sz="20" w:space="0" w:color="000000"/>
        </w:pBdr>
        <w:rPr/>
      </w:pPr>
      <w:r>
        <w:rPr/>
      </w:r>
      <w:r>
        <w:br w:type="page"/>
      </w:r>
    </w:p>
    <w:p>
      <w:pPr>
        <w:pStyle w:val="TextBody"/>
        <w:jc w:val="center"/>
        <w:rPr>
          <w:rFonts w:ascii="Arial" w:hAnsi="Arial"/>
          <w:b/>
        </w:rPr>
      </w:pPr>
      <w:bookmarkStart w:id="4" w:name="Business"/>
      <w:bookmarkEnd w:id="4"/>
      <w:r>
        <w:rPr>
          <w:rFonts w:ascii="Arial" w:hAnsi="Arial"/>
          <w:b/>
        </w:rPr>
        <w:t>PART I.</w:t>
      </w:r>
    </w:p>
    <w:p>
      <w:pPr>
        <w:pStyle w:val="TextBody"/>
        <w:jc w:val="left"/>
        <w:rPr>
          <w:rFonts w:ascii="Arial" w:hAnsi="Arial"/>
          <w:b/>
        </w:rPr>
      </w:pPr>
      <w:r>
        <w:rPr>
          <w:rFonts w:ascii="Arial" w:hAnsi="Arial"/>
          <w:b/>
        </w:rPr>
        <w:t>Item 1. Business</w:t>
      </w:r>
    </w:p>
    <w:p>
      <w:pPr>
        <w:pStyle w:val="TextBody"/>
        <w:jc w:val="left"/>
        <w:rPr/>
      </w:pPr>
      <w:r>
        <w:rPr/>
        <w:t>      </w:t>
      </w:r>
      <w:r>
        <w:rPr>
          <w:rFonts w:ascii="Arial" w:hAnsi="Arial"/>
        </w:rPr>
        <w:t>Honeywell International Inc. (Honeywell) is a diversified technology and manufacturing company, serving customers worldwide with aerospace products and services, control, sensing and security technologies for buildings, homes and industry, turbochargers, automotive products, specialty chemicals, electronic and advanced materials, and process technology for refining and petrochemicals. Honeywell was incorporated in Delaware in 1985.</w:t>
      </w:r>
    </w:p>
    <w:p>
      <w:pPr>
        <w:pStyle w:val="TextBody"/>
        <w:jc w:val="left"/>
        <w:rPr/>
      </w:pPr>
      <w:r>
        <w:rPr/>
        <w:t>      </w:t>
      </w:r>
      <w:r>
        <w:rPr>
          <w:rFonts w:ascii="Arial" w:hAnsi="Arial"/>
        </w:rPr>
        <w:t>We maintain an internet website at http://www.honeywell.com. Our Annual Report on Form 10-K, Quarterly Reports on Form 10-Q, Current Reports on Form 8-K and any amendments to those reports, are available free of charge on our website under the heading “Investor Relations” (see “SEC Filings &amp; Reports”) immediately after they are filed with, or furnished to, the Securities and Exchange Commission (SEC). In addition, in this Form 10-K, the Company incorporates by reference certain information from parts of its proxy statement for the 2007 Annual Meeting of Stockholders, which we expect to file with the SEC on or about March 12, 2007, and which will also be available free of charge at our website.</w:t>
      </w:r>
    </w:p>
    <w:p>
      <w:pPr>
        <w:pStyle w:val="TextBody"/>
        <w:jc w:val="left"/>
        <w:rPr/>
      </w:pPr>
      <w:r>
        <w:rPr/>
        <w:t>      </w:t>
      </w:r>
      <w:r>
        <w:rPr>
          <w:rFonts w:ascii="Arial" w:hAnsi="Arial"/>
        </w:rPr>
        <w:t>Information relating to corporate governance at Honeywell, including Honeywell's Code of Business Conduct, Corporate Governance Guidelines and Charters of the Committees of the Board of Directors are also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w:t>
      </w:r>
    </w:p>
    <w:p>
      <w:pPr>
        <w:pStyle w:val="TextBody"/>
        <w:jc w:val="left"/>
        <w:rPr/>
      </w:pPr>
      <w:r>
        <w:rPr/>
        <w:t>      </w:t>
      </w:r>
      <w:r>
        <w:rPr>
          <w:rFonts w:ascii="Arial" w:hAnsi="Arial"/>
        </w:rPr>
        <w:t>The certifications of our Chief Executive Officer and Chief Financial Officer pursuant to Section 302 and Section 906 of the Sarbanes-Oxley Act of 2002 about the disclosure contained in this Annual Report on Form 10-K are included as Exhibits 31.1, 31.2, 32.1 and 32.2 to this Annual Report and are available free of charge on our website under the heading “Investor Relations” (see “SEC Filings &amp; Reports”). Our Chief Executive Officer certified to the New York Stock Exchange (NYSE) on May 23, 2006, pursuant to Section 303A.12 of the NYSE's listing standards, that he was not aware of any violation by Honeywell of the NYSE's corporate governance listing standards as of that date.</w:t>
      </w:r>
    </w:p>
    <w:p>
      <w:pPr>
        <w:pStyle w:val="TextBody"/>
        <w:jc w:val="left"/>
        <w:rPr>
          <w:rFonts w:ascii="Arial" w:hAnsi="Arial"/>
          <w:b/>
        </w:rPr>
      </w:pPr>
      <w:r>
        <w:rPr>
          <w:rFonts w:ascii="Arial" w:hAnsi="Arial"/>
          <w:b/>
        </w:rPr>
        <w:t>Major Businesses</w:t>
      </w:r>
    </w:p>
    <w:p>
      <w:pPr>
        <w:pStyle w:val="TextBody"/>
        <w:jc w:val="left"/>
        <w:rPr/>
      </w:pPr>
      <w:r>
        <w:rPr/>
        <w:t>      </w:t>
      </w:r>
      <w:r>
        <w:rPr>
          <w:rFonts w:ascii="Arial" w:hAnsi="Arial"/>
        </w:rPr>
        <w:t>We globally manage our business operations through four businesses that are reported as operating segments: Aerospace, Automation and Control Solutions, Specialty Materials and Transportation Systems. Financial information related to our operating segments is included in Note 23 of Notes to Financial Statements in “Item 8. Financial Statements and Supplementary Data.”</w:t>
      </w:r>
    </w:p>
    <w:p>
      <w:pPr>
        <w:pStyle w:val="TextBody"/>
        <w:jc w:val="left"/>
        <w:rPr/>
      </w:pPr>
      <w:r>
        <w:rPr/>
        <w:t>      </w:t>
      </w:r>
      <w:r>
        <w:rPr>
          <w:rFonts w:ascii="Arial" w:hAnsi="Arial"/>
        </w:rPr>
        <w:t>The major products/services, customers/uses and key competitors of each of our operating segments follows:</w:t>
      </w:r>
    </w:p>
    <w:tbl>
      <w:tblPr>
        <w:tblW w:w="5000" w:type="pct"/>
        <w:jc w:val="left"/>
        <w:tblInd w:w="0" w:type="dxa"/>
        <w:tblCellMar>
          <w:top w:w="0" w:type="dxa"/>
          <w:left w:w="0" w:type="dxa"/>
          <w:bottom w:w="0" w:type="dxa"/>
          <w:right w:w="0" w:type="dxa"/>
        </w:tblCellMar>
      </w:tblPr>
      <w:tblGrid>
        <w:gridCol w:w="2385"/>
        <w:gridCol w:w="360"/>
        <w:gridCol w:w="2054"/>
        <w:gridCol w:w="360"/>
        <w:gridCol w:w="2743"/>
        <w:gridCol w:w="360"/>
        <w:gridCol w:w="1943"/>
      </w:tblGrid>
      <w:tr>
        <w:trPr/>
        <w:tc>
          <w:tcPr>
            <w:tcW w:w="2385" w:type="dxa"/>
            <w:tcBorders/>
            <w:shd w:fill="FFFFFF" w:val="clear"/>
            <w:vAlign w:val="bottom"/>
          </w:tcPr>
          <w:p>
            <w:pPr>
              <w:pStyle w:val="TableContents"/>
              <w:spacing w:before="0" w:after="0"/>
              <w:jc w:val="left"/>
              <w:rPr>
                <w:rFonts w:ascii="Arial" w:hAnsi="Arial"/>
                <w:b/>
              </w:rPr>
            </w:pPr>
            <w:r>
              <w:rPr>
                <w:rFonts w:ascii="Arial" w:hAnsi="Arial"/>
                <w:b/>
              </w:rPr>
              <w:t>Product/Service Classes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054" w:type="dxa"/>
            <w:tcBorders/>
            <w:shd w:fill="FFFFFF" w:val="clear"/>
            <w:vAlign w:val="bottom"/>
          </w:tcPr>
          <w:p>
            <w:pPr>
              <w:pStyle w:val="TableContents"/>
              <w:spacing w:before="0" w:after="0"/>
              <w:jc w:val="left"/>
              <w:rPr>
                <w:rFonts w:ascii="Arial" w:hAnsi="Arial"/>
                <w:b/>
              </w:rPr>
            </w:pPr>
            <w:r>
              <w:rPr>
                <w:rFonts w:ascii="Arial" w:hAnsi="Arial"/>
                <w:b/>
              </w:rPr>
              <w:t>Major Products/Services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743" w:type="dxa"/>
            <w:tcBorders/>
            <w:shd w:fill="FFFFFF" w:val="clear"/>
            <w:vAlign w:val="bottom"/>
          </w:tcPr>
          <w:p>
            <w:pPr>
              <w:pStyle w:val="TableContents"/>
              <w:spacing w:before="0" w:after="0"/>
              <w:jc w:val="left"/>
              <w:rPr>
                <w:rFonts w:ascii="Arial" w:hAnsi="Arial"/>
                <w:b/>
              </w:rPr>
            </w:pPr>
            <w:r>
              <w:rPr>
                <w:rFonts w:ascii="Arial" w:hAnsi="Arial"/>
                <w:b/>
              </w:rPr>
              <w:t>Major Customers/Uses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943" w:type="dxa"/>
            <w:tcBorders/>
            <w:shd w:fill="FFFFFF" w:val="clear"/>
            <w:vAlign w:val="bottom"/>
          </w:tcPr>
          <w:p>
            <w:pPr>
              <w:pStyle w:val="TableContents"/>
              <w:spacing w:before="0" w:after="0"/>
              <w:jc w:val="left"/>
              <w:rPr>
                <w:rFonts w:ascii="Arial" w:hAnsi="Arial"/>
                <w:b/>
              </w:rPr>
            </w:pPr>
            <w:r>
              <w:rPr>
                <w:rFonts w:ascii="Arial" w:hAnsi="Arial"/>
                <w:b/>
              </w:rPr>
              <w:t>Key Competitors</w:t>
            </w:r>
          </w:p>
          <w:p>
            <w:pPr>
              <w:pStyle w:val="HorizontalLine"/>
              <w:pBdr>
                <w:bottom w:val="single" w:sz="6" w:space="0" w:color="000000"/>
              </w:pBdr>
              <w:spacing w:before="0" w:after="283"/>
              <w:rPr/>
            </w:pPr>
            <w:r>
              <w:rPr/>
            </w:r>
          </w:p>
        </w:tc>
      </w:tr>
      <w:tr>
        <w:trPr/>
        <w:tc>
          <w:tcPr>
            <w:tcW w:w="2385" w:type="dxa"/>
            <w:tcBorders/>
            <w:shd w:fill="FFFFFF" w:val="clear"/>
          </w:tcPr>
          <w:p>
            <w:pPr>
              <w:pStyle w:val="TableContents"/>
              <w:spacing w:before="0" w:after="283"/>
              <w:jc w:val="left"/>
              <w:rPr>
                <w:rFonts w:ascii="Arial" w:hAnsi="Arial"/>
                <w:b/>
              </w:rPr>
            </w:pPr>
            <w:r>
              <w:rPr>
                <w:rFonts w:ascii="Arial" w:hAnsi="Arial"/>
                <w:b/>
              </w:rPr>
              <w:t>Aerospace</w:t>
            </w:r>
          </w:p>
        </w:tc>
        <w:tc>
          <w:tcPr>
            <w:tcW w:w="360" w:type="dxa"/>
            <w:tcBorders/>
            <w:shd w:fill="FFFFFF" w:val="clear"/>
            <w:vAlign w:val="center"/>
          </w:tcPr>
          <w:p>
            <w:pPr>
              <w:pStyle w:val="TableContents"/>
              <w:spacing w:before="0" w:after="283"/>
              <w:rPr/>
            </w:pPr>
            <w:r>
              <w:rPr/>
              <w:t> </w:t>
            </w:r>
          </w:p>
        </w:tc>
        <w:tc>
          <w:tcPr>
            <w:tcW w:w="2054"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2743"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943" w:type="dxa"/>
            <w:tcBorders/>
            <w:shd w:fill="FFFFFF" w:val="clear"/>
            <w:vAlign w:val="center"/>
          </w:tcPr>
          <w:p>
            <w:pPr>
              <w:pStyle w:val="TableContents"/>
              <w:spacing w:before="0" w:after="283"/>
              <w:rPr/>
            </w:pPr>
            <w:r>
              <w:rPr/>
              <w:t> </w:t>
            </w:r>
          </w:p>
        </w:tc>
      </w:tr>
      <w:tr>
        <w:trPr/>
        <w:tc>
          <w:tcPr>
            <w:tcW w:w="2385" w:type="dxa"/>
            <w:tcBorders/>
            <w:shd w:fill="FFFFFF" w:val="clear"/>
          </w:tcPr>
          <w:p>
            <w:pPr>
              <w:pStyle w:val="TableContents"/>
              <w:spacing w:before="0" w:after="283"/>
              <w:jc w:val="left"/>
              <w:rPr>
                <w:rFonts w:ascii="Arial" w:hAnsi="Arial"/>
                <w:sz w:val="14"/>
              </w:rPr>
            </w:pPr>
            <w:r>
              <w:rPr>
                <w:rFonts w:ascii="Arial" w:hAnsi="Arial"/>
                <w:sz w:val="14"/>
              </w:rPr>
              <w:t>Turbine propulsion engines</w:t>
            </w:r>
          </w:p>
        </w:tc>
        <w:tc>
          <w:tcPr>
            <w:tcW w:w="360" w:type="dxa"/>
            <w:tcBorders/>
            <w:shd w:fill="FFFFFF" w:val="clear"/>
          </w:tcPr>
          <w:p>
            <w:pPr>
              <w:pStyle w:val="TableContents"/>
              <w:spacing w:before="0" w:after="283"/>
              <w:jc w:val="left"/>
              <w:rPr/>
            </w:pPr>
            <w:r>
              <w:rPr/>
              <w:t>      </w:t>
            </w:r>
          </w:p>
        </w:tc>
        <w:tc>
          <w:tcPr>
            <w:tcW w:w="2054" w:type="dxa"/>
            <w:tcBorders/>
            <w:shd w:fill="FFFFFF" w:val="clear"/>
          </w:tcPr>
          <w:p>
            <w:pPr>
              <w:pStyle w:val="TableContents"/>
              <w:spacing w:before="0" w:after="283"/>
              <w:jc w:val="left"/>
              <w:rPr/>
            </w:pPr>
            <w:r>
              <w:rPr>
                <w:rFonts w:ascii="Arial" w:hAnsi="Arial"/>
                <w:sz w:val="14"/>
              </w:rPr>
              <w:t>TFE731 turbofan</w:t>
            </w:r>
            <w:r>
              <w:rPr/>
              <w:br/>
            </w:r>
            <w:r>
              <w:rPr>
                <w:rFonts w:ascii="Arial" w:hAnsi="Arial"/>
                <w:sz w:val="14"/>
              </w:rPr>
              <w:t>TFE1042 turbofan</w:t>
            </w:r>
            <w:r>
              <w:rPr/>
              <w:br/>
            </w:r>
            <w:r>
              <w:rPr>
                <w:rFonts w:ascii="Arial" w:hAnsi="Arial"/>
                <w:sz w:val="14"/>
              </w:rPr>
              <w:t>ATF3 turbofan</w:t>
            </w:r>
            <w:r>
              <w:rPr/>
              <w:br/>
            </w:r>
            <w:r>
              <w:rPr>
                <w:rFonts w:ascii="Arial" w:hAnsi="Arial"/>
                <w:sz w:val="14"/>
              </w:rPr>
              <w:t>F124 turbofan</w:t>
            </w:r>
            <w:r>
              <w:rPr/>
              <w:br/>
            </w:r>
            <w:r>
              <w:rPr>
                <w:rFonts w:ascii="Arial" w:hAnsi="Arial"/>
                <w:sz w:val="14"/>
              </w:rPr>
              <w:t>ALF502 turbofan</w:t>
            </w:r>
            <w:r>
              <w:rPr/>
              <w:br/>
            </w:r>
            <w:r>
              <w:rPr>
                <w:rFonts w:ascii="Arial" w:hAnsi="Arial"/>
                <w:sz w:val="14"/>
              </w:rPr>
              <w:t>LF507 turbofan</w:t>
            </w:r>
            <w:r>
              <w:rPr/>
              <w:br/>
            </w:r>
            <w:r>
              <w:rPr>
                <w:rFonts w:ascii="Arial" w:hAnsi="Arial"/>
                <w:sz w:val="14"/>
              </w:rPr>
              <w:t>CFE738 turbofan</w:t>
            </w:r>
            <w:r>
              <w:rPr/>
              <w:br/>
            </w:r>
            <w:r>
              <w:rPr>
                <w:rFonts w:ascii="Arial" w:hAnsi="Arial"/>
                <w:sz w:val="14"/>
              </w:rPr>
              <w:t>HTF 7000 turbofan</w:t>
            </w:r>
            <w:r>
              <w:rPr/>
              <w:br/>
            </w:r>
            <w:r>
              <w:rPr>
                <w:rFonts w:ascii="Arial" w:hAnsi="Arial"/>
                <w:sz w:val="14"/>
              </w:rPr>
              <w:t>T53, T55 turboshaft</w:t>
            </w:r>
            <w:r>
              <w:rPr/>
              <w:br/>
            </w:r>
            <w:r>
              <w:rPr>
                <w:rFonts w:ascii="Arial" w:hAnsi="Arial"/>
                <w:sz w:val="14"/>
              </w:rPr>
              <w:t>T800 turboshaft</w:t>
            </w:r>
            <w:r>
              <w:rPr/>
              <w:br/>
            </w:r>
            <w:r>
              <w:rPr>
                <w:rFonts w:ascii="Arial" w:hAnsi="Arial"/>
                <w:sz w:val="14"/>
              </w:rPr>
              <w:t>TF40B/50A</w:t>
            </w:r>
            <w:r>
              <w:rPr/>
              <w:br/>
            </w:r>
            <w:r>
              <w:rPr>
                <w:rFonts w:ascii="Arial" w:hAnsi="Arial"/>
                <w:sz w:val="14"/>
              </w:rPr>
              <w:t>HTS9000</w:t>
            </w:r>
            <w:r>
              <w:rPr/>
              <w:br/>
            </w:r>
            <w:r>
              <w:rPr>
                <w:rFonts w:ascii="Arial" w:hAnsi="Arial"/>
                <w:sz w:val="14"/>
              </w:rPr>
              <w:t>LT101-650/750/850</w:t>
            </w:r>
            <w:r>
              <w:rPr/>
              <w:br/>
            </w:r>
            <w:r>
              <w:rPr>
                <w:rFonts w:ascii="Arial" w:hAnsi="Arial"/>
                <w:sz w:val="14"/>
              </w:rPr>
              <w:t>HTF5000</w:t>
            </w:r>
            <w:r>
              <w:rPr/>
              <w:br/>
            </w:r>
            <w:r>
              <w:rPr>
                <w:rFonts w:ascii="Arial" w:hAnsi="Arial"/>
                <w:sz w:val="14"/>
              </w:rPr>
              <w:t>AGT1500 turboshaft</w:t>
            </w:r>
            <w:r>
              <w:rPr/>
              <w:br/>
            </w:r>
            <w:r>
              <w:rPr>
                <w:rFonts w:ascii="Arial" w:hAnsi="Arial"/>
                <w:sz w:val="14"/>
              </w:rPr>
              <w:t>Repair, overhaul and spare parts</w:t>
            </w:r>
          </w:p>
        </w:tc>
        <w:tc>
          <w:tcPr>
            <w:tcW w:w="360" w:type="dxa"/>
            <w:tcBorders/>
            <w:shd w:fill="FFFFFF" w:val="clear"/>
          </w:tcPr>
          <w:p>
            <w:pPr>
              <w:pStyle w:val="TableContents"/>
              <w:spacing w:before="0" w:after="283"/>
              <w:jc w:val="left"/>
              <w:rPr/>
            </w:pPr>
            <w:r>
              <w:rPr/>
              <w:t>      </w:t>
            </w:r>
          </w:p>
        </w:tc>
        <w:tc>
          <w:tcPr>
            <w:tcW w:w="2743" w:type="dxa"/>
            <w:tcBorders/>
            <w:shd w:fill="FFFFFF" w:val="clear"/>
          </w:tcPr>
          <w:p>
            <w:pPr>
              <w:pStyle w:val="TableContents"/>
              <w:spacing w:before="0" w:after="283"/>
              <w:jc w:val="left"/>
              <w:rPr/>
            </w:pPr>
            <w:r>
              <w:rPr>
                <w:rFonts w:ascii="Arial" w:hAnsi="Arial"/>
                <w:sz w:val="14"/>
              </w:rPr>
              <w:t>Business, regional, general aviation and military trainer aircraft</w:t>
            </w:r>
            <w:r>
              <w:rPr/>
              <w:br/>
            </w:r>
            <w:r>
              <w:rPr>
                <w:rFonts w:ascii="Arial" w:hAnsi="Arial"/>
                <w:sz w:val="14"/>
              </w:rPr>
              <w:t>Commercial and military helicopters</w:t>
            </w:r>
            <w:r>
              <w:rPr/>
              <w:br/>
            </w:r>
            <w:r>
              <w:rPr>
                <w:rFonts w:ascii="Arial" w:hAnsi="Arial"/>
                <w:sz w:val="14"/>
              </w:rPr>
              <w:t>Military vehicles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United Technologies</w:t>
            </w:r>
            <w:r>
              <w:rPr/>
              <w:br/>
            </w:r>
            <w:r>
              <w:rPr>
                <w:rFonts w:ascii="Arial" w:hAnsi="Arial"/>
                <w:sz w:val="14"/>
              </w:rPr>
              <w:t>Rolls Royce/Allison</w:t>
            </w:r>
            <w:r>
              <w:rPr/>
              <w:br/>
            </w:r>
            <w:r>
              <w:rPr>
                <w:rFonts w:ascii="Arial" w:hAnsi="Arial"/>
                <w:sz w:val="14"/>
              </w:rPr>
              <w:t>Turbomeca</w:t>
            </w:r>
            <w:r>
              <w:rPr/>
              <w:br/>
            </w:r>
            <w:r>
              <w:rPr>
                <w:rFonts w:ascii="Arial" w:hAnsi="Arial"/>
                <w:sz w:val="14"/>
              </w:rPr>
              <w:t>Williams</w:t>
            </w:r>
          </w:p>
        </w:tc>
      </w:tr>
      <w:tr>
        <w:trPr/>
        <w:tc>
          <w:tcPr>
            <w:tcW w:w="10205" w:type="dxa"/>
            <w:gridSpan w:val="7"/>
            <w:tcBorders/>
            <w:shd w:fill="FFFFFF" w:val="clear"/>
          </w:tcPr>
          <w:p>
            <w:pPr>
              <w:pStyle w:val="HorizontalLine"/>
              <w:pBdr>
                <w:bottom w:val="single" w:sz="6" w:space="0" w:color="000000"/>
              </w:pBdr>
              <w:spacing w:before="0" w:after="283"/>
              <w:rPr/>
            </w:pPr>
            <w:r>
              <w:rPr/>
            </w:r>
          </w:p>
        </w:tc>
      </w:tr>
    </w:tbl>
    <w:p>
      <w:pPr>
        <w:pStyle w:val="TextBody"/>
        <w:jc w:val="center"/>
        <w:rPr>
          <w:rFonts w:ascii="Arial" w:hAnsi="Arial"/>
        </w:rPr>
      </w:pPr>
      <w:r>
        <w:rPr>
          <w:rFonts w:ascii="Arial" w:hAnsi="Arial"/>
        </w:rPr>
        <w:t>1</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2132"/>
        <w:gridCol w:w="360"/>
        <w:gridCol w:w="2898"/>
        <w:gridCol w:w="360"/>
        <w:gridCol w:w="2121"/>
        <w:gridCol w:w="360"/>
        <w:gridCol w:w="1974"/>
      </w:tblGrid>
      <w:tr>
        <w:trPr/>
        <w:tc>
          <w:tcPr>
            <w:tcW w:w="2132" w:type="dxa"/>
            <w:tcBorders/>
            <w:shd w:fill="FFFFFF" w:val="clear"/>
            <w:vAlign w:val="bottom"/>
          </w:tcPr>
          <w:p>
            <w:pPr>
              <w:pStyle w:val="TableContents"/>
              <w:pageBreakBefore/>
              <w:spacing w:before="0" w:after="0"/>
              <w:jc w:val="left"/>
              <w:rPr>
                <w:rFonts w:ascii="Arial" w:hAnsi="Arial"/>
                <w:b/>
              </w:rPr>
            </w:pPr>
            <w:r>
              <w:rPr>
                <w:rFonts w:ascii="Arial" w:hAnsi="Arial"/>
                <w:b/>
              </w:rPr>
              <w:t>Product/Service Classes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898" w:type="dxa"/>
            <w:tcBorders/>
            <w:shd w:fill="FFFFFF" w:val="clear"/>
            <w:vAlign w:val="bottom"/>
          </w:tcPr>
          <w:p>
            <w:pPr>
              <w:pStyle w:val="TableContents"/>
              <w:spacing w:before="0" w:after="0"/>
              <w:jc w:val="left"/>
              <w:rPr>
                <w:rFonts w:ascii="Arial" w:hAnsi="Arial"/>
                <w:b/>
              </w:rPr>
            </w:pPr>
            <w:r>
              <w:rPr>
                <w:rFonts w:ascii="Arial" w:hAnsi="Arial"/>
                <w:b/>
              </w:rPr>
              <w:t>Major Products/Services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121" w:type="dxa"/>
            <w:tcBorders/>
            <w:shd w:fill="FFFFFF" w:val="clear"/>
            <w:vAlign w:val="bottom"/>
          </w:tcPr>
          <w:p>
            <w:pPr>
              <w:pStyle w:val="TableContents"/>
              <w:spacing w:before="0" w:after="0"/>
              <w:jc w:val="left"/>
              <w:rPr>
                <w:rFonts w:ascii="Arial" w:hAnsi="Arial"/>
                <w:b/>
              </w:rPr>
            </w:pPr>
            <w:r>
              <w:rPr>
                <w:rFonts w:ascii="Arial" w:hAnsi="Arial"/>
                <w:b/>
              </w:rPr>
              <w:t>Major Customers/Uses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974" w:type="dxa"/>
            <w:tcBorders/>
            <w:shd w:fill="FFFFFF" w:val="clear"/>
            <w:vAlign w:val="bottom"/>
          </w:tcPr>
          <w:p>
            <w:pPr>
              <w:pStyle w:val="TableContents"/>
              <w:spacing w:before="0" w:after="0"/>
              <w:jc w:val="left"/>
              <w:rPr>
                <w:rFonts w:ascii="Arial" w:hAnsi="Arial"/>
                <w:b/>
              </w:rPr>
            </w:pPr>
            <w:r>
              <w:rPr>
                <w:rFonts w:ascii="Arial" w:hAnsi="Arial"/>
                <w:b/>
              </w:rPr>
              <w:t>Key Competitors</w:t>
            </w:r>
          </w:p>
          <w:p>
            <w:pPr>
              <w:pStyle w:val="HorizontalLine"/>
              <w:pBdr>
                <w:bottom w:val="single" w:sz="6" w:space="0" w:color="000000"/>
              </w:pBdr>
              <w:spacing w:before="0" w:after="283"/>
              <w:rPr/>
            </w:pPr>
            <w:r>
              <w:rPr/>
            </w:r>
          </w:p>
        </w:tc>
      </w:tr>
      <w:tr>
        <w:trPr/>
        <w:tc>
          <w:tcPr>
            <w:tcW w:w="2132" w:type="dxa"/>
            <w:tcBorders/>
            <w:shd w:fill="FFFFFF" w:val="clear"/>
          </w:tcPr>
          <w:p>
            <w:pPr>
              <w:pStyle w:val="TableContents"/>
              <w:spacing w:before="0" w:after="283"/>
              <w:jc w:val="left"/>
              <w:rPr>
                <w:rFonts w:ascii="Arial" w:hAnsi="Arial"/>
                <w:sz w:val="14"/>
              </w:rPr>
            </w:pPr>
            <w:r>
              <w:rPr>
                <w:rFonts w:ascii="Arial" w:hAnsi="Arial"/>
                <w:sz w:val="14"/>
              </w:rPr>
              <w:t>Auxiliary power units (APUs)</w:t>
            </w:r>
          </w:p>
        </w:tc>
        <w:tc>
          <w:tcPr>
            <w:tcW w:w="360" w:type="dxa"/>
            <w:tcBorders/>
            <w:shd w:fill="FFFFFF" w:val="clear"/>
          </w:tcPr>
          <w:p>
            <w:pPr>
              <w:pStyle w:val="TableContents"/>
              <w:spacing w:before="0" w:after="283"/>
              <w:jc w:val="left"/>
              <w:rPr/>
            </w:pPr>
            <w:r>
              <w:rPr/>
              <w:t>      </w:t>
            </w:r>
          </w:p>
        </w:tc>
        <w:tc>
          <w:tcPr>
            <w:tcW w:w="2898" w:type="dxa"/>
            <w:tcBorders/>
            <w:shd w:fill="FFFFFF" w:val="clear"/>
          </w:tcPr>
          <w:p>
            <w:pPr>
              <w:pStyle w:val="TableContents"/>
              <w:spacing w:before="0" w:after="283"/>
              <w:jc w:val="left"/>
              <w:rPr/>
            </w:pPr>
            <w:r>
              <w:rPr>
                <w:rFonts w:ascii="Arial" w:hAnsi="Arial"/>
                <w:sz w:val="14"/>
              </w:rPr>
              <w:t>Airborne auxiliary power units</w:t>
            </w:r>
            <w:r>
              <w:rPr/>
              <w:br/>
            </w:r>
            <w:r>
              <w:rPr>
                <w:rFonts w:ascii="Arial" w:hAnsi="Arial"/>
                <w:sz w:val="14"/>
              </w:rPr>
              <w:t>Jet fuel starters</w:t>
            </w:r>
            <w:r>
              <w:rPr/>
              <w:br/>
            </w:r>
            <w:r>
              <w:rPr>
                <w:rFonts w:ascii="Arial" w:hAnsi="Arial"/>
                <w:sz w:val="14"/>
              </w:rPr>
              <w:t>Secondary power systems</w:t>
            </w:r>
            <w:r>
              <w:rPr/>
              <w:br/>
            </w:r>
            <w:r>
              <w:rPr>
                <w:rFonts w:ascii="Arial" w:hAnsi="Arial"/>
                <w:sz w:val="14"/>
              </w:rPr>
              <w:t>Ground power units</w:t>
            </w:r>
            <w:r>
              <w:rPr/>
              <w:br/>
            </w:r>
            <w:r>
              <w:rPr>
                <w:rFonts w:ascii="Arial" w:hAnsi="Arial"/>
                <w:sz w:val="14"/>
              </w:rPr>
              <w:t>Repair, overhaul and spare parts</w:t>
            </w:r>
          </w:p>
        </w:tc>
        <w:tc>
          <w:tcPr>
            <w:tcW w:w="360" w:type="dxa"/>
            <w:tcBorders/>
            <w:shd w:fill="FFFFFF" w:val="clear"/>
          </w:tcPr>
          <w:p>
            <w:pPr>
              <w:pStyle w:val="TableContents"/>
              <w:spacing w:before="0" w:after="283"/>
              <w:jc w:val="left"/>
              <w:rPr/>
            </w:pPr>
            <w:r>
              <w:rPr/>
              <w:t>      </w:t>
            </w:r>
          </w:p>
        </w:tc>
        <w:tc>
          <w:tcPr>
            <w:tcW w:w="2121" w:type="dxa"/>
            <w:tcBorders/>
            <w:shd w:fill="FFFFFF" w:val="clear"/>
          </w:tcPr>
          <w:p>
            <w:pPr>
              <w:pStyle w:val="TableContents"/>
              <w:spacing w:before="0" w:after="283"/>
              <w:jc w:val="left"/>
              <w:rPr/>
            </w:pPr>
            <w:r>
              <w:rPr>
                <w:rFonts w:ascii="Arial" w:hAnsi="Arial"/>
                <w:sz w:val="14"/>
              </w:rPr>
              <w:t>Commercial, regional, business and military aircraft</w:t>
            </w:r>
            <w:r>
              <w:rPr/>
              <w:br/>
            </w:r>
            <w:r>
              <w:rPr>
                <w:rFonts w:ascii="Arial" w:hAnsi="Arial"/>
                <w:sz w:val="14"/>
              </w:rPr>
              <w:t>Ground power</w:t>
            </w:r>
          </w:p>
        </w:tc>
        <w:tc>
          <w:tcPr>
            <w:tcW w:w="360" w:type="dxa"/>
            <w:tcBorders/>
            <w:shd w:fill="FFFFFF" w:val="clear"/>
          </w:tcPr>
          <w:p>
            <w:pPr>
              <w:pStyle w:val="TableContents"/>
              <w:spacing w:before="0" w:after="283"/>
              <w:jc w:val="left"/>
              <w:rPr/>
            </w:pPr>
            <w:r>
              <w:rPr/>
              <w:t>      </w:t>
            </w:r>
          </w:p>
        </w:tc>
        <w:tc>
          <w:tcPr>
            <w:tcW w:w="1974" w:type="dxa"/>
            <w:tcBorders/>
            <w:shd w:fill="FFFFFF" w:val="clear"/>
          </w:tcPr>
          <w:p>
            <w:pPr>
              <w:pStyle w:val="TableContents"/>
              <w:spacing w:before="0" w:after="283"/>
              <w:jc w:val="left"/>
              <w:rPr>
                <w:rFonts w:ascii="Arial" w:hAnsi="Arial"/>
                <w:sz w:val="14"/>
              </w:rPr>
            </w:pPr>
            <w:r>
              <w:rPr>
                <w:rFonts w:ascii="Arial" w:hAnsi="Arial"/>
                <w:sz w:val="14"/>
              </w:rPr>
              <w:t>United Technologies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2" w:type="dxa"/>
            <w:tcBorders/>
            <w:shd w:fill="FFFFFF" w:val="clear"/>
          </w:tcPr>
          <w:p>
            <w:pPr>
              <w:pStyle w:val="TableContents"/>
              <w:spacing w:before="0" w:after="283"/>
              <w:jc w:val="left"/>
              <w:rPr>
                <w:rFonts w:ascii="Arial" w:hAnsi="Arial"/>
                <w:sz w:val="14"/>
              </w:rPr>
            </w:pPr>
            <w:r>
              <w:rPr>
                <w:rFonts w:ascii="Arial" w:hAnsi="Arial"/>
                <w:sz w:val="14"/>
              </w:rPr>
              <w:t>Environmental control systems</w:t>
            </w:r>
          </w:p>
        </w:tc>
        <w:tc>
          <w:tcPr>
            <w:tcW w:w="360" w:type="dxa"/>
            <w:tcBorders/>
            <w:shd w:fill="FFFFFF" w:val="clear"/>
          </w:tcPr>
          <w:p>
            <w:pPr>
              <w:pStyle w:val="TableContents"/>
              <w:spacing w:before="0" w:after="283"/>
              <w:jc w:val="left"/>
              <w:rPr/>
            </w:pPr>
            <w:r>
              <w:rPr/>
              <w:t>      </w:t>
            </w:r>
          </w:p>
        </w:tc>
        <w:tc>
          <w:tcPr>
            <w:tcW w:w="2898" w:type="dxa"/>
            <w:tcBorders/>
            <w:shd w:fill="FFFFFF" w:val="clear"/>
          </w:tcPr>
          <w:p>
            <w:pPr>
              <w:pStyle w:val="TableContents"/>
              <w:spacing w:before="0" w:after="283"/>
              <w:jc w:val="left"/>
              <w:rPr/>
            </w:pPr>
            <w:r>
              <w:rPr>
                <w:rFonts w:ascii="Arial" w:hAnsi="Arial"/>
                <w:sz w:val="14"/>
              </w:rPr>
              <w:t>Air management systems:</w:t>
            </w:r>
            <w:r>
              <w:rPr/>
              <w:br/>
            </w:r>
            <w:r>
              <w:rPr>
                <w:rFonts w:ascii="Arial" w:hAnsi="Arial"/>
                <w:sz w:val="14"/>
              </w:rPr>
              <w:t>Air conditioning</w:t>
            </w:r>
            <w:r>
              <w:rPr/>
              <w:br/>
            </w:r>
            <w:r>
              <w:rPr>
                <w:rFonts w:ascii="Arial" w:hAnsi="Arial"/>
                <w:sz w:val="14"/>
              </w:rPr>
              <w:t>Bleed air</w:t>
            </w:r>
            <w:r>
              <w:rPr/>
              <w:br/>
            </w:r>
            <w:r>
              <w:rPr>
                <w:rFonts w:ascii="Arial" w:hAnsi="Arial"/>
                <w:sz w:val="14"/>
              </w:rPr>
              <w:t>Cabin pressure control</w:t>
            </w:r>
            <w:r>
              <w:rPr/>
              <w:br/>
            </w:r>
            <w:r>
              <w:rPr>
                <w:rFonts w:ascii="Arial" w:hAnsi="Arial"/>
                <w:sz w:val="14"/>
              </w:rPr>
              <w:t>Air purification and treatment</w:t>
            </w:r>
            <w:r>
              <w:rPr/>
              <w:br/>
            </w:r>
            <w:r>
              <w:rPr>
                <w:rFonts w:ascii="Arial" w:hAnsi="Arial"/>
                <w:sz w:val="14"/>
              </w:rPr>
              <w:t>Gas Processing</w:t>
            </w:r>
            <w:r>
              <w:rPr/>
              <w:br/>
            </w:r>
            <w:r>
              <w:rPr>
                <w:rFonts w:ascii="Arial" w:hAnsi="Arial"/>
                <w:sz w:val="14"/>
              </w:rPr>
              <w:t>Heat Exchangers</w:t>
            </w:r>
            <w:r>
              <w:rPr/>
              <w:br/>
            </w:r>
            <w:r>
              <w:rPr>
                <w:rFonts w:ascii="Arial" w:hAnsi="Arial"/>
                <w:sz w:val="14"/>
              </w:rPr>
              <w:t>Turbo Systems</w:t>
            </w:r>
            <w:r>
              <w:rPr/>
              <w:br/>
            </w:r>
            <w:r>
              <w:rPr>
                <w:rFonts w:ascii="Arial" w:hAnsi="Arial"/>
                <w:sz w:val="14"/>
              </w:rPr>
              <w:t>Repair, overhaul and spare parts</w:t>
            </w:r>
          </w:p>
        </w:tc>
        <w:tc>
          <w:tcPr>
            <w:tcW w:w="360" w:type="dxa"/>
            <w:tcBorders/>
            <w:shd w:fill="FFFFFF" w:val="clear"/>
          </w:tcPr>
          <w:p>
            <w:pPr>
              <w:pStyle w:val="TableContents"/>
              <w:spacing w:before="0" w:after="283"/>
              <w:jc w:val="left"/>
              <w:rPr/>
            </w:pPr>
            <w:r>
              <w:rPr/>
              <w:t>      </w:t>
            </w:r>
          </w:p>
        </w:tc>
        <w:tc>
          <w:tcPr>
            <w:tcW w:w="2121" w:type="dxa"/>
            <w:tcBorders/>
            <w:shd w:fill="FFFFFF" w:val="clear"/>
          </w:tcPr>
          <w:p>
            <w:pPr>
              <w:pStyle w:val="TableContents"/>
              <w:spacing w:before="0" w:after="283"/>
              <w:jc w:val="left"/>
              <w:rPr/>
            </w:pPr>
            <w:r>
              <w:rPr>
                <w:rFonts w:ascii="Arial" w:hAnsi="Arial"/>
                <w:sz w:val="14"/>
              </w:rPr>
              <w:t>Commercial, regional and general aviation aircraft</w:t>
            </w:r>
            <w:r>
              <w:rPr/>
              <w:br/>
            </w:r>
            <w:r>
              <w:rPr>
                <w:rFonts w:ascii="Arial" w:hAnsi="Arial"/>
                <w:sz w:val="14"/>
              </w:rPr>
              <w:t>Military aircraft</w:t>
            </w:r>
            <w:r>
              <w:rPr/>
              <w:br/>
            </w:r>
            <w:r>
              <w:rPr>
                <w:rFonts w:ascii="Arial" w:hAnsi="Arial"/>
                <w:sz w:val="14"/>
              </w:rPr>
              <w:t>Ground vehicles</w:t>
            </w:r>
            <w:r>
              <w:rPr/>
              <w:br/>
            </w:r>
            <w:r>
              <w:rPr>
                <w:rFonts w:ascii="Arial" w:hAnsi="Arial"/>
                <w:sz w:val="14"/>
              </w:rPr>
              <w:t>Spacecraft</w:t>
            </w:r>
          </w:p>
        </w:tc>
        <w:tc>
          <w:tcPr>
            <w:tcW w:w="360" w:type="dxa"/>
            <w:tcBorders/>
            <w:shd w:fill="FFFFFF" w:val="clear"/>
          </w:tcPr>
          <w:p>
            <w:pPr>
              <w:pStyle w:val="TableContents"/>
              <w:spacing w:before="0" w:after="283"/>
              <w:jc w:val="left"/>
              <w:rPr/>
            </w:pPr>
            <w:r>
              <w:rPr/>
              <w:t>      </w:t>
            </w:r>
          </w:p>
        </w:tc>
        <w:tc>
          <w:tcPr>
            <w:tcW w:w="1974" w:type="dxa"/>
            <w:tcBorders/>
            <w:shd w:fill="FFFFFF" w:val="clear"/>
          </w:tcPr>
          <w:p>
            <w:pPr>
              <w:pStyle w:val="TableContents"/>
              <w:spacing w:before="0" w:after="283"/>
              <w:jc w:val="left"/>
              <w:rPr/>
            </w:pPr>
            <w:r>
              <w:rPr>
                <w:rFonts w:ascii="Arial" w:hAnsi="Arial"/>
                <w:sz w:val="14"/>
              </w:rPr>
              <w:t>Auxilec</w:t>
            </w:r>
            <w:r>
              <w:rPr/>
              <w:br/>
            </w:r>
            <w:r>
              <w:rPr>
                <w:rFonts w:ascii="Arial" w:hAnsi="Arial"/>
                <w:sz w:val="14"/>
              </w:rPr>
              <w:t>Barber Colman</w:t>
            </w:r>
            <w:r>
              <w:rPr/>
              <w:br/>
            </w:r>
            <w:r>
              <w:rPr>
                <w:rFonts w:ascii="Arial" w:hAnsi="Arial"/>
                <w:sz w:val="14"/>
              </w:rPr>
              <w:t>Dukes</w:t>
            </w:r>
            <w:r>
              <w:rPr/>
              <w:br/>
            </w:r>
            <w:r>
              <w:rPr>
                <w:rFonts w:ascii="Arial" w:hAnsi="Arial"/>
                <w:sz w:val="14"/>
              </w:rPr>
              <w:t>Eaton-Vickers</w:t>
            </w:r>
            <w:r>
              <w:rPr/>
              <w:br/>
            </w:r>
            <w:r>
              <w:rPr>
                <w:rFonts w:ascii="Arial" w:hAnsi="Arial"/>
                <w:sz w:val="14"/>
              </w:rPr>
              <w:t>Goodrich</w:t>
            </w:r>
            <w:r>
              <w:rPr/>
              <w:br/>
            </w:r>
            <w:r>
              <w:rPr>
                <w:rFonts w:ascii="Arial" w:hAnsi="Arial"/>
                <w:sz w:val="14"/>
              </w:rPr>
              <w:t>Liebherr</w:t>
            </w:r>
            <w:r>
              <w:rPr/>
              <w:br/>
            </w:r>
            <w:r>
              <w:rPr>
                <w:rFonts w:ascii="Arial" w:hAnsi="Arial"/>
                <w:sz w:val="14"/>
              </w:rPr>
              <w:t>Pacific Scientific</w:t>
            </w:r>
            <w:r>
              <w:rPr/>
              <w:br/>
            </w:r>
            <w:r>
              <w:rPr>
                <w:rFonts w:ascii="Arial" w:hAnsi="Arial"/>
                <w:sz w:val="14"/>
              </w:rPr>
              <w:t>Parker Hannifin</w:t>
            </w:r>
            <w:r>
              <w:rPr/>
              <w:br/>
            </w:r>
            <w:r>
              <w:rPr>
                <w:rFonts w:ascii="Arial" w:hAnsi="Arial"/>
                <w:sz w:val="14"/>
              </w:rPr>
              <w:t>Smiths</w:t>
            </w:r>
            <w:r>
              <w:rPr/>
              <w:br/>
            </w:r>
            <w:r>
              <w:rPr>
                <w:rFonts w:ascii="Arial" w:hAnsi="Arial"/>
                <w:sz w:val="14"/>
              </w:rPr>
              <w:t>TAT</w:t>
            </w:r>
            <w:r>
              <w:rPr/>
              <w:br/>
            </w:r>
            <w:r>
              <w:rPr>
                <w:rFonts w:ascii="Arial" w:hAnsi="Arial"/>
                <w:sz w:val="14"/>
              </w:rPr>
              <w:t>United Technologies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2" w:type="dxa"/>
            <w:tcBorders/>
            <w:shd w:fill="FFFFFF" w:val="clear"/>
          </w:tcPr>
          <w:p>
            <w:pPr>
              <w:pStyle w:val="TableContents"/>
              <w:spacing w:before="0" w:after="283"/>
              <w:jc w:val="left"/>
              <w:rPr>
                <w:rFonts w:ascii="Arial" w:hAnsi="Arial"/>
                <w:sz w:val="14"/>
              </w:rPr>
            </w:pPr>
            <w:r>
              <w:rPr>
                <w:rFonts w:ascii="Arial" w:hAnsi="Arial"/>
                <w:sz w:val="14"/>
              </w:rPr>
              <w:t>Electric power systems</w:t>
            </w:r>
          </w:p>
        </w:tc>
        <w:tc>
          <w:tcPr>
            <w:tcW w:w="360" w:type="dxa"/>
            <w:tcBorders/>
            <w:shd w:fill="FFFFFF" w:val="clear"/>
          </w:tcPr>
          <w:p>
            <w:pPr>
              <w:pStyle w:val="TableContents"/>
              <w:spacing w:before="0" w:after="283"/>
              <w:jc w:val="left"/>
              <w:rPr/>
            </w:pPr>
            <w:r>
              <w:rPr/>
              <w:t>      </w:t>
            </w:r>
          </w:p>
        </w:tc>
        <w:tc>
          <w:tcPr>
            <w:tcW w:w="2898" w:type="dxa"/>
            <w:tcBorders/>
            <w:shd w:fill="FFFFFF" w:val="clear"/>
          </w:tcPr>
          <w:p>
            <w:pPr>
              <w:pStyle w:val="TableContents"/>
              <w:spacing w:before="0" w:after="283"/>
              <w:jc w:val="left"/>
              <w:rPr/>
            </w:pPr>
            <w:r>
              <w:rPr>
                <w:rFonts w:ascii="Arial" w:hAnsi="Arial"/>
                <w:sz w:val="14"/>
              </w:rPr>
              <w:t>Generators</w:t>
            </w:r>
            <w:r>
              <w:rPr/>
              <w:br/>
            </w:r>
            <w:r>
              <w:rPr>
                <w:rFonts w:ascii="Arial" w:hAnsi="Arial"/>
                <w:sz w:val="14"/>
              </w:rPr>
              <w:t>Power distribution &amp; control</w:t>
            </w:r>
            <w:r>
              <w:rPr/>
              <w:br/>
            </w:r>
            <w:r>
              <w:rPr>
                <w:rFonts w:ascii="Arial" w:hAnsi="Arial"/>
                <w:sz w:val="14"/>
              </w:rPr>
              <w:t>Power conditioning</w:t>
            </w:r>
            <w:r>
              <w:rPr/>
              <w:br/>
            </w:r>
            <w:r>
              <w:rPr>
                <w:rFonts w:ascii="Arial" w:hAnsi="Arial"/>
                <w:sz w:val="14"/>
              </w:rPr>
              <w:t>Repair, overhaul and spare parts</w:t>
            </w:r>
          </w:p>
        </w:tc>
        <w:tc>
          <w:tcPr>
            <w:tcW w:w="360" w:type="dxa"/>
            <w:tcBorders/>
            <w:shd w:fill="FFFFFF" w:val="clear"/>
          </w:tcPr>
          <w:p>
            <w:pPr>
              <w:pStyle w:val="TableContents"/>
              <w:spacing w:before="0" w:after="283"/>
              <w:jc w:val="left"/>
              <w:rPr/>
            </w:pPr>
            <w:r>
              <w:rPr/>
              <w:t>      </w:t>
            </w:r>
          </w:p>
        </w:tc>
        <w:tc>
          <w:tcPr>
            <w:tcW w:w="2121" w:type="dxa"/>
            <w:tcBorders/>
            <w:shd w:fill="FFFFFF" w:val="clear"/>
          </w:tcPr>
          <w:p>
            <w:pPr>
              <w:pStyle w:val="TableContents"/>
              <w:spacing w:before="0" w:after="283"/>
              <w:jc w:val="left"/>
              <w:rPr>
                <w:rFonts w:ascii="Arial" w:hAnsi="Arial"/>
                <w:sz w:val="14"/>
              </w:rPr>
            </w:pPr>
            <w:r>
              <w:rPr>
                <w:rFonts w:ascii="Arial" w:hAnsi="Arial"/>
                <w:sz w:val="14"/>
              </w:rPr>
              <w:t>Commercial, regional, business and military aircraft</w:t>
            </w:r>
          </w:p>
        </w:tc>
        <w:tc>
          <w:tcPr>
            <w:tcW w:w="360" w:type="dxa"/>
            <w:tcBorders/>
            <w:shd w:fill="FFFFFF" w:val="clear"/>
          </w:tcPr>
          <w:p>
            <w:pPr>
              <w:pStyle w:val="TableContents"/>
              <w:spacing w:before="0" w:after="283"/>
              <w:jc w:val="left"/>
              <w:rPr/>
            </w:pPr>
            <w:r>
              <w:rPr/>
              <w:t>      </w:t>
            </w:r>
          </w:p>
        </w:tc>
        <w:tc>
          <w:tcPr>
            <w:tcW w:w="1974" w:type="dxa"/>
            <w:tcBorders/>
            <w:shd w:fill="FFFFFF" w:val="clear"/>
          </w:tcPr>
          <w:p>
            <w:pPr>
              <w:pStyle w:val="TableContents"/>
              <w:spacing w:before="0" w:after="283"/>
              <w:jc w:val="left"/>
              <w:rPr/>
            </w:pPr>
            <w:r>
              <w:rPr>
                <w:rFonts w:ascii="Arial" w:hAnsi="Arial"/>
                <w:sz w:val="14"/>
              </w:rPr>
              <w:t>Goodrich</w:t>
            </w:r>
            <w:r>
              <w:rPr/>
              <w:br/>
            </w:r>
            <w:r>
              <w:rPr>
                <w:rFonts w:ascii="Arial" w:hAnsi="Arial"/>
                <w:sz w:val="14"/>
              </w:rPr>
              <w:t>Safran</w:t>
            </w:r>
            <w:r>
              <w:rPr/>
              <w:br/>
            </w:r>
            <w:r>
              <w:rPr>
                <w:rFonts w:ascii="Arial" w:hAnsi="Arial"/>
                <w:sz w:val="14"/>
              </w:rPr>
              <w:t>Smiths</w:t>
            </w:r>
            <w:r>
              <w:rPr/>
              <w:br/>
            </w:r>
            <w:r>
              <w:rPr>
                <w:rFonts w:ascii="Arial" w:hAnsi="Arial"/>
                <w:sz w:val="14"/>
              </w:rPr>
              <w:t>United Technologies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2" w:type="dxa"/>
            <w:tcBorders/>
            <w:shd w:fill="FFFFFF" w:val="clear"/>
          </w:tcPr>
          <w:p>
            <w:pPr>
              <w:pStyle w:val="TableContents"/>
              <w:spacing w:before="0" w:after="283"/>
              <w:jc w:val="left"/>
              <w:rPr>
                <w:rFonts w:ascii="Arial" w:hAnsi="Arial"/>
                <w:sz w:val="14"/>
              </w:rPr>
            </w:pPr>
            <w:r>
              <w:rPr>
                <w:rFonts w:ascii="Arial" w:hAnsi="Arial"/>
                <w:sz w:val="14"/>
              </w:rPr>
              <w:t>Engine systems and accessories</w:t>
            </w:r>
          </w:p>
        </w:tc>
        <w:tc>
          <w:tcPr>
            <w:tcW w:w="360" w:type="dxa"/>
            <w:tcBorders/>
            <w:shd w:fill="FFFFFF" w:val="clear"/>
          </w:tcPr>
          <w:p>
            <w:pPr>
              <w:pStyle w:val="TableContents"/>
              <w:spacing w:before="0" w:after="283"/>
              <w:jc w:val="left"/>
              <w:rPr/>
            </w:pPr>
            <w:r>
              <w:rPr/>
              <w:t>      </w:t>
            </w:r>
          </w:p>
        </w:tc>
        <w:tc>
          <w:tcPr>
            <w:tcW w:w="2898" w:type="dxa"/>
            <w:tcBorders/>
            <w:shd w:fill="FFFFFF" w:val="clear"/>
          </w:tcPr>
          <w:p>
            <w:pPr>
              <w:pStyle w:val="TableContents"/>
              <w:spacing w:before="0" w:after="283"/>
              <w:jc w:val="left"/>
              <w:rPr/>
            </w:pPr>
            <w:r>
              <w:rPr>
                <w:rFonts w:ascii="Arial" w:hAnsi="Arial"/>
                <w:sz w:val="14"/>
              </w:rPr>
              <w:t>Electronic and hydromechanical fuel controls</w:t>
            </w:r>
            <w:r>
              <w:rPr/>
              <w:br/>
            </w:r>
            <w:r>
              <w:rPr>
                <w:rFonts w:ascii="Arial" w:hAnsi="Arial"/>
                <w:sz w:val="14"/>
              </w:rPr>
              <w:t>Engine start systems</w:t>
            </w:r>
            <w:r>
              <w:rPr/>
              <w:br/>
            </w:r>
            <w:r>
              <w:rPr>
                <w:rFonts w:ascii="Arial" w:hAnsi="Arial"/>
                <w:sz w:val="14"/>
              </w:rPr>
              <w:t>Electronic engine controls</w:t>
            </w:r>
            <w:r>
              <w:rPr/>
              <w:br/>
            </w:r>
            <w:r>
              <w:rPr>
                <w:rFonts w:ascii="Arial" w:hAnsi="Arial"/>
                <w:sz w:val="14"/>
              </w:rPr>
              <w:t>Sensors</w:t>
            </w:r>
            <w:r>
              <w:rPr/>
              <w:br/>
            </w:r>
            <w:r>
              <w:rPr>
                <w:rFonts w:ascii="Arial" w:hAnsi="Arial"/>
                <w:sz w:val="14"/>
              </w:rPr>
              <w:t>Valves</w:t>
            </w:r>
            <w:r>
              <w:rPr/>
              <w:br/>
            </w:r>
            <w:r>
              <w:rPr>
                <w:rFonts w:ascii="Arial" w:hAnsi="Arial"/>
                <w:sz w:val="14"/>
              </w:rPr>
              <w:t>Electric and pneumatic power generation systems</w:t>
            </w:r>
            <w:r>
              <w:rPr/>
              <w:br/>
            </w:r>
            <w:r>
              <w:rPr>
                <w:rFonts w:ascii="Arial" w:hAnsi="Arial"/>
                <w:sz w:val="14"/>
              </w:rPr>
              <w:t>Thrust reverser actuation, pneumatic and electric</w:t>
            </w:r>
          </w:p>
        </w:tc>
        <w:tc>
          <w:tcPr>
            <w:tcW w:w="360" w:type="dxa"/>
            <w:tcBorders/>
            <w:shd w:fill="FFFFFF" w:val="clear"/>
          </w:tcPr>
          <w:p>
            <w:pPr>
              <w:pStyle w:val="TableContents"/>
              <w:spacing w:before="0" w:after="283"/>
              <w:jc w:val="left"/>
              <w:rPr/>
            </w:pPr>
            <w:r>
              <w:rPr/>
              <w:t>      </w:t>
            </w:r>
          </w:p>
        </w:tc>
        <w:tc>
          <w:tcPr>
            <w:tcW w:w="2121" w:type="dxa"/>
            <w:tcBorders/>
            <w:shd w:fill="FFFFFF" w:val="clear"/>
          </w:tcPr>
          <w:p>
            <w:pPr>
              <w:pStyle w:val="TableContents"/>
              <w:spacing w:before="0" w:after="283"/>
              <w:jc w:val="left"/>
              <w:rPr>
                <w:rFonts w:ascii="Arial" w:hAnsi="Arial"/>
                <w:sz w:val="14"/>
              </w:rPr>
            </w:pPr>
            <w:r>
              <w:rPr>
                <w:rFonts w:ascii="Arial" w:hAnsi="Arial"/>
                <w:sz w:val="14"/>
              </w:rPr>
              <w:t>Commercial, regional and general aviation aircraft Military aircraft</w:t>
            </w:r>
          </w:p>
        </w:tc>
        <w:tc>
          <w:tcPr>
            <w:tcW w:w="360" w:type="dxa"/>
            <w:tcBorders/>
            <w:shd w:fill="FFFFFF" w:val="clear"/>
          </w:tcPr>
          <w:p>
            <w:pPr>
              <w:pStyle w:val="TableContents"/>
              <w:spacing w:before="0" w:after="283"/>
              <w:jc w:val="left"/>
              <w:rPr/>
            </w:pPr>
            <w:r>
              <w:rPr/>
              <w:t>      </w:t>
            </w:r>
          </w:p>
        </w:tc>
        <w:tc>
          <w:tcPr>
            <w:tcW w:w="1974" w:type="dxa"/>
            <w:tcBorders/>
            <w:shd w:fill="FFFFFF" w:val="clear"/>
          </w:tcPr>
          <w:p>
            <w:pPr>
              <w:pStyle w:val="TableContents"/>
              <w:spacing w:before="0" w:after="283"/>
              <w:jc w:val="left"/>
              <w:rPr/>
            </w:pPr>
            <w:r>
              <w:rPr>
                <w:rFonts w:ascii="Arial" w:hAnsi="Arial"/>
                <w:sz w:val="14"/>
              </w:rPr>
              <w:t>BAE Controls</w:t>
            </w:r>
            <w:r>
              <w:rPr/>
              <w:br/>
            </w:r>
            <w:r>
              <w:rPr>
                <w:rFonts w:ascii="Arial" w:hAnsi="Arial"/>
                <w:sz w:val="14"/>
              </w:rPr>
              <w:t>Goodrich</w:t>
            </w:r>
            <w:r>
              <w:rPr/>
              <w:br/>
            </w:r>
            <w:r>
              <w:rPr>
                <w:rFonts w:ascii="Arial" w:hAnsi="Arial"/>
                <w:sz w:val="14"/>
              </w:rPr>
              <w:t>Parker Hannifin</w:t>
            </w:r>
            <w:r>
              <w:rPr/>
              <w:br/>
            </w:r>
            <w:r>
              <w:rPr>
                <w:rFonts w:ascii="Arial" w:hAnsi="Arial"/>
                <w:sz w:val="14"/>
              </w:rPr>
              <w:t>United Technologies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2" w:type="dxa"/>
            <w:tcBorders/>
            <w:shd w:fill="FFFFFF" w:val="clear"/>
          </w:tcPr>
          <w:p>
            <w:pPr>
              <w:pStyle w:val="TableContents"/>
              <w:spacing w:before="0" w:after="283"/>
              <w:jc w:val="left"/>
              <w:rPr>
                <w:rFonts w:ascii="Arial" w:hAnsi="Arial"/>
                <w:sz w:val="14"/>
              </w:rPr>
            </w:pPr>
            <w:r>
              <w:rPr>
                <w:rFonts w:ascii="Arial" w:hAnsi="Arial"/>
                <w:sz w:val="14"/>
              </w:rPr>
              <w:t>Aircraft hardware distribution</w:t>
            </w:r>
          </w:p>
        </w:tc>
        <w:tc>
          <w:tcPr>
            <w:tcW w:w="360" w:type="dxa"/>
            <w:tcBorders/>
            <w:shd w:fill="FFFFFF" w:val="clear"/>
          </w:tcPr>
          <w:p>
            <w:pPr>
              <w:pStyle w:val="TableContents"/>
              <w:spacing w:before="0" w:after="283"/>
              <w:jc w:val="left"/>
              <w:rPr/>
            </w:pPr>
            <w:r>
              <w:rPr/>
              <w:t>      </w:t>
            </w:r>
          </w:p>
        </w:tc>
        <w:tc>
          <w:tcPr>
            <w:tcW w:w="2898" w:type="dxa"/>
            <w:tcBorders/>
            <w:shd w:fill="FFFFFF" w:val="clear"/>
          </w:tcPr>
          <w:p>
            <w:pPr>
              <w:pStyle w:val="TableContents"/>
              <w:spacing w:before="0" w:after="283"/>
              <w:jc w:val="left"/>
              <w:rPr/>
            </w:pPr>
            <w:r>
              <w:rPr>
                <w:rFonts w:ascii="Arial" w:hAnsi="Arial"/>
                <w:sz w:val="14"/>
              </w:rPr>
              <w:t>Fasteners, including nuts, bolts, rivets, clamps and pins</w:t>
            </w:r>
            <w:r>
              <w:rPr/>
              <w:br/>
            </w:r>
            <w:r>
              <w:rPr>
                <w:rFonts w:ascii="Arial" w:hAnsi="Arial"/>
                <w:sz w:val="14"/>
              </w:rPr>
              <w:t>Bearings, including ball, roller, spherical, needle and ceramic</w:t>
            </w:r>
            <w:r>
              <w:rPr/>
              <w:br/>
            </w:r>
            <w:r>
              <w:rPr>
                <w:rFonts w:ascii="Arial" w:hAnsi="Arial"/>
                <w:sz w:val="14"/>
              </w:rPr>
              <w:t>Electrical hardware, including connectors, components, lighting products, terminals, and wire and wiring accessories</w:t>
            </w:r>
            <w:r>
              <w:rPr/>
              <w:br/>
            </w:r>
            <w:r>
              <w:rPr>
                <w:rFonts w:ascii="Arial" w:hAnsi="Arial"/>
                <w:sz w:val="14"/>
              </w:rPr>
              <w:t>Seals, including seals, o-rings, gaskets and packings</w:t>
            </w:r>
            <w:r>
              <w:rPr/>
              <w:br/>
            </w:r>
            <w:r>
              <w:rPr>
                <w:rFonts w:ascii="Arial" w:hAnsi="Arial"/>
                <w:sz w:val="14"/>
              </w:rPr>
              <w:t>Value-added services, repair and overhaul kitting and point-of-use replenishment</w:t>
            </w:r>
          </w:p>
        </w:tc>
        <w:tc>
          <w:tcPr>
            <w:tcW w:w="360" w:type="dxa"/>
            <w:tcBorders/>
            <w:shd w:fill="FFFFFF" w:val="clear"/>
          </w:tcPr>
          <w:p>
            <w:pPr>
              <w:pStyle w:val="TableContents"/>
              <w:spacing w:before="0" w:after="283"/>
              <w:jc w:val="left"/>
              <w:rPr/>
            </w:pPr>
            <w:r>
              <w:rPr/>
              <w:t>      </w:t>
            </w:r>
          </w:p>
        </w:tc>
        <w:tc>
          <w:tcPr>
            <w:tcW w:w="2121" w:type="dxa"/>
            <w:tcBorders/>
            <w:shd w:fill="FFFFFF" w:val="clear"/>
          </w:tcPr>
          <w:p>
            <w:pPr>
              <w:pStyle w:val="TableContents"/>
              <w:spacing w:before="0" w:after="283"/>
              <w:jc w:val="left"/>
              <w:rPr>
                <w:rFonts w:ascii="Arial" w:hAnsi="Arial"/>
                <w:sz w:val="14"/>
              </w:rPr>
            </w:pPr>
            <w:r>
              <w:rPr>
                <w:rFonts w:ascii="Arial" w:hAnsi="Arial"/>
                <w:sz w:val="14"/>
              </w:rPr>
              <w:t>Commercial, regional, business and military aviation aircraft</w:t>
            </w:r>
          </w:p>
        </w:tc>
        <w:tc>
          <w:tcPr>
            <w:tcW w:w="360" w:type="dxa"/>
            <w:tcBorders/>
            <w:shd w:fill="FFFFFF" w:val="clear"/>
          </w:tcPr>
          <w:p>
            <w:pPr>
              <w:pStyle w:val="TableContents"/>
              <w:spacing w:before="0" w:after="283"/>
              <w:jc w:val="left"/>
              <w:rPr/>
            </w:pPr>
            <w:r>
              <w:rPr/>
              <w:t>      </w:t>
            </w:r>
          </w:p>
        </w:tc>
        <w:tc>
          <w:tcPr>
            <w:tcW w:w="1974" w:type="dxa"/>
            <w:tcBorders/>
            <w:shd w:fill="FFFFFF" w:val="clear"/>
          </w:tcPr>
          <w:p>
            <w:pPr>
              <w:pStyle w:val="TableContents"/>
              <w:spacing w:before="0" w:after="283"/>
              <w:jc w:val="left"/>
              <w:rPr/>
            </w:pPr>
            <w:r>
              <w:rPr>
                <w:rFonts w:ascii="Arial" w:hAnsi="Arial"/>
                <w:sz w:val="14"/>
              </w:rPr>
              <w:t>Anixter</w:t>
            </w:r>
            <w:r>
              <w:rPr/>
              <w:br/>
            </w:r>
            <w:r>
              <w:rPr>
                <w:rFonts w:ascii="Arial" w:hAnsi="Arial"/>
                <w:sz w:val="14"/>
              </w:rPr>
              <w:t>Arrow Pemco</w:t>
            </w:r>
            <w:r>
              <w:rPr/>
              <w:br/>
            </w:r>
            <w:r>
              <w:rPr>
                <w:rFonts w:ascii="Arial" w:hAnsi="Arial"/>
                <w:sz w:val="14"/>
              </w:rPr>
              <w:t>Avnet</w:t>
            </w:r>
            <w:r>
              <w:rPr/>
              <w:br/>
            </w:r>
            <w:r>
              <w:rPr>
                <w:rFonts w:ascii="Arial" w:hAnsi="Arial"/>
                <w:sz w:val="14"/>
              </w:rPr>
              <w:t>BE Aerospace (M&amp;M Aerospace)</w:t>
            </w:r>
            <w:r>
              <w:rPr/>
              <w:br/>
            </w:r>
            <w:r>
              <w:rPr>
                <w:rFonts w:ascii="Arial" w:hAnsi="Arial"/>
                <w:sz w:val="14"/>
              </w:rPr>
              <w:t>Fairchild Direct</w:t>
            </w:r>
            <w:r>
              <w:rPr/>
              <w:br/>
            </w:r>
            <w:r>
              <w:rPr>
                <w:rFonts w:ascii="Arial" w:hAnsi="Arial"/>
                <w:sz w:val="14"/>
              </w:rPr>
              <w:t>Satair</w:t>
            </w:r>
            <w:r>
              <w:rPr/>
              <w:br/>
            </w:r>
            <w:r>
              <w:rPr>
                <w:rFonts w:ascii="Arial" w:hAnsi="Arial"/>
                <w:sz w:val="14"/>
              </w:rPr>
              <w:t>Wencor</w:t>
            </w:r>
            <w:r>
              <w:rPr/>
              <w:br/>
            </w:r>
            <w:r>
              <w:rPr>
                <w:rFonts w:ascii="Arial" w:hAnsi="Arial"/>
                <w:sz w:val="14"/>
              </w:rPr>
              <w:t>Wesco Aircraft</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2" w:type="dxa"/>
            <w:tcBorders/>
            <w:shd w:fill="FFFFFF" w:val="clear"/>
          </w:tcPr>
          <w:p>
            <w:pPr>
              <w:pStyle w:val="TableContents"/>
              <w:spacing w:before="0" w:after="283"/>
              <w:jc w:val="left"/>
              <w:rPr>
                <w:rFonts w:ascii="Arial" w:hAnsi="Arial"/>
                <w:sz w:val="14"/>
              </w:rPr>
            </w:pPr>
            <w:r>
              <w:rPr>
                <w:rFonts w:ascii="Arial" w:hAnsi="Arial"/>
                <w:sz w:val="14"/>
              </w:rPr>
              <w:t>Avionics systems</w:t>
            </w:r>
          </w:p>
        </w:tc>
        <w:tc>
          <w:tcPr>
            <w:tcW w:w="360" w:type="dxa"/>
            <w:tcBorders/>
            <w:shd w:fill="FFFFFF" w:val="clear"/>
          </w:tcPr>
          <w:p>
            <w:pPr>
              <w:pStyle w:val="TableContents"/>
              <w:spacing w:before="0" w:after="283"/>
              <w:jc w:val="left"/>
              <w:rPr/>
            </w:pPr>
            <w:r>
              <w:rPr/>
              <w:t>      </w:t>
            </w:r>
          </w:p>
        </w:tc>
        <w:tc>
          <w:tcPr>
            <w:tcW w:w="2898" w:type="dxa"/>
            <w:tcBorders/>
            <w:shd w:fill="FFFFFF" w:val="clear"/>
          </w:tcPr>
          <w:p>
            <w:pPr>
              <w:pStyle w:val="TableContents"/>
              <w:spacing w:before="0" w:after="283"/>
              <w:jc w:val="left"/>
              <w:rPr/>
            </w:pPr>
            <w:r>
              <w:rPr>
                <w:rFonts w:ascii="Arial" w:hAnsi="Arial"/>
                <w:sz w:val="14"/>
              </w:rPr>
              <w:t>Flight safety systems:</w:t>
            </w:r>
            <w:r>
              <w:rPr/>
              <w:br/>
            </w:r>
            <w:r>
              <w:rPr>
                <w:rFonts w:ascii="Arial" w:hAnsi="Arial"/>
                <w:sz w:val="14"/>
              </w:rPr>
              <w:t>Enhanced Ground Proximity Warning Systems (EGPWS)</w:t>
            </w:r>
            <w:r>
              <w:rPr/>
              <w:br/>
            </w:r>
            <w:r>
              <w:rPr>
                <w:rFonts w:ascii="Arial" w:hAnsi="Arial"/>
                <w:sz w:val="14"/>
              </w:rPr>
              <w:t>Traffic Alert and Collision Avoidance Systems (TCAS)</w:t>
            </w:r>
            <w:r>
              <w:rPr/>
              <w:br/>
            </w:r>
            <w:r>
              <w:rPr>
                <w:rFonts w:ascii="Arial" w:hAnsi="Arial"/>
                <w:sz w:val="14"/>
              </w:rPr>
              <w:t>Windshear detection systems</w:t>
            </w:r>
            <w:r>
              <w:rPr/>
              <w:br/>
            </w:r>
            <w:r>
              <w:rPr>
                <w:rFonts w:ascii="Arial" w:hAnsi="Arial"/>
                <w:sz w:val="14"/>
              </w:rPr>
              <w:t>Flight data and cockpit voice recorders</w:t>
            </w:r>
            <w:r>
              <w:rPr/>
              <w:br/>
            </w:r>
            <w:r>
              <w:rPr>
                <w:rFonts w:ascii="Arial" w:hAnsi="Arial"/>
                <w:sz w:val="14"/>
              </w:rPr>
              <w:t>Weather radar</w:t>
            </w:r>
            <w:r>
              <w:rPr/>
              <w:br/>
            </w:r>
            <w:r>
              <w:rPr>
                <w:rFonts w:ascii="Arial" w:hAnsi="Arial"/>
                <w:sz w:val="14"/>
              </w:rPr>
              <w:t>Communication, navigation and surveillance systems:</w:t>
            </w:r>
            <w:r>
              <w:rPr/>
              <w:br/>
            </w:r>
            <w:r>
              <w:rPr>
                <w:rFonts w:ascii="Arial" w:hAnsi="Arial"/>
                <w:sz w:val="14"/>
              </w:rPr>
              <w:t>Navigation &amp;</w:t>
              <w:br/>
              <w:t>  communication</w:t>
              <w:br/>
              <w:t>  radios</w:t>
            </w:r>
            <w:r>
              <w:rPr/>
              <w:br/>
            </w:r>
            <w:r>
              <w:rPr>
                <w:rFonts w:ascii="Arial" w:hAnsi="Arial"/>
                <w:sz w:val="14"/>
              </w:rPr>
              <w:t>Global positioning systems</w:t>
            </w:r>
            <w:r>
              <w:rPr/>
              <w:br/>
            </w:r>
            <w:r>
              <w:rPr>
                <w:rFonts w:ascii="Arial" w:hAnsi="Arial"/>
                <w:sz w:val="14"/>
              </w:rPr>
              <w:t>Satellite systems</w:t>
            </w:r>
            <w:r>
              <w:rPr/>
              <w:br/>
            </w:r>
            <w:r>
              <w:rPr>
                <w:rFonts w:ascii="Arial" w:hAnsi="Arial"/>
                <w:sz w:val="14"/>
              </w:rPr>
              <w:t>Integrated systems</w:t>
            </w:r>
          </w:p>
        </w:tc>
        <w:tc>
          <w:tcPr>
            <w:tcW w:w="360" w:type="dxa"/>
            <w:tcBorders/>
            <w:shd w:fill="FFFFFF" w:val="clear"/>
          </w:tcPr>
          <w:p>
            <w:pPr>
              <w:pStyle w:val="TableContents"/>
              <w:spacing w:before="0" w:after="283"/>
              <w:jc w:val="left"/>
              <w:rPr/>
            </w:pPr>
            <w:r>
              <w:rPr/>
              <w:t>      </w:t>
            </w:r>
          </w:p>
        </w:tc>
        <w:tc>
          <w:tcPr>
            <w:tcW w:w="2121" w:type="dxa"/>
            <w:tcBorders/>
            <w:shd w:fill="FFFFFF" w:val="clear"/>
          </w:tcPr>
          <w:p>
            <w:pPr>
              <w:pStyle w:val="TableContents"/>
              <w:spacing w:before="0" w:after="283"/>
              <w:jc w:val="left"/>
              <w:rPr/>
            </w:pPr>
            <w:r>
              <w:rPr>
                <w:rFonts w:ascii="Arial" w:hAnsi="Arial"/>
                <w:sz w:val="14"/>
              </w:rPr>
              <w:t>Commercial, business and general aviation aircraft</w:t>
            </w:r>
            <w:r>
              <w:rPr/>
              <w:br/>
            </w:r>
            <w:r>
              <w:rPr>
                <w:rFonts w:ascii="Arial" w:hAnsi="Arial"/>
                <w:sz w:val="14"/>
              </w:rPr>
              <w:t>Government aviation</w:t>
            </w:r>
          </w:p>
        </w:tc>
        <w:tc>
          <w:tcPr>
            <w:tcW w:w="360" w:type="dxa"/>
            <w:tcBorders/>
            <w:shd w:fill="FFFFFF" w:val="clear"/>
          </w:tcPr>
          <w:p>
            <w:pPr>
              <w:pStyle w:val="TableContents"/>
              <w:spacing w:before="0" w:after="283"/>
              <w:jc w:val="left"/>
              <w:rPr/>
            </w:pPr>
            <w:r>
              <w:rPr/>
              <w:t>      </w:t>
            </w:r>
          </w:p>
        </w:tc>
        <w:tc>
          <w:tcPr>
            <w:tcW w:w="1974" w:type="dxa"/>
            <w:tcBorders/>
            <w:shd w:fill="FFFFFF" w:val="clear"/>
          </w:tcPr>
          <w:p>
            <w:pPr>
              <w:pStyle w:val="TableContents"/>
              <w:spacing w:before="0" w:after="283"/>
              <w:jc w:val="left"/>
              <w:rPr/>
            </w:pPr>
            <w:r>
              <w:rPr>
                <w:rFonts w:ascii="Arial" w:hAnsi="Arial"/>
                <w:sz w:val="14"/>
              </w:rPr>
              <w:t>BAE</w:t>
            </w:r>
            <w:r>
              <w:rPr/>
              <w:br/>
            </w:r>
            <w:r>
              <w:rPr>
                <w:rFonts w:ascii="Arial" w:hAnsi="Arial"/>
                <w:sz w:val="14"/>
              </w:rPr>
              <w:t>Boeing/Jeppesen</w:t>
            </w:r>
            <w:r>
              <w:rPr/>
              <w:br/>
            </w:r>
            <w:r>
              <w:rPr>
                <w:rFonts w:ascii="Arial" w:hAnsi="Arial"/>
                <w:sz w:val="14"/>
              </w:rPr>
              <w:t>Garmin</w:t>
            </w:r>
            <w:r>
              <w:rPr/>
              <w:br/>
            </w:r>
            <w:r>
              <w:rPr>
                <w:rFonts w:ascii="Arial" w:hAnsi="Arial"/>
                <w:sz w:val="14"/>
              </w:rPr>
              <w:t>Goodrich</w:t>
            </w:r>
            <w:r>
              <w:rPr/>
              <w:br/>
            </w:r>
            <w:r>
              <w:rPr>
                <w:rFonts w:ascii="Arial" w:hAnsi="Arial"/>
                <w:sz w:val="14"/>
              </w:rPr>
              <w:t>Kaiser</w:t>
            </w:r>
            <w:r>
              <w:rPr/>
              <w:br/>
            </w:r>
            <w:r>
              <w:rPr>
                <w:rFonts w:ascii="Arial" w:hAnsi="Arial"/>
                <w:sz w:val="14"/>
              </w:rPr>
              <w:t>L3</w:t>
            </w:r>
            <w:r>
              <w:rPr/>
              <w:br/>
            </w:r>
            <w:r>
              <w:rPr>
                <w:rFonts w:ascii="Arial" w:hAnsi="Arial"/>
                <w:sz w:val="14"/>
              </w:rPr>
              <w:t>Lockheed Martin</w:t>
            </w:r>
            <w:r>
              <w:rPr/>
              <w:br/>
            </w:r>
            <w:r>
              <w:rPr>
                <w:rFonts w:ascii="Arial" w:hAnsi="Arial"/>
                <w:sz w:val="14"/>
              </w:rPr>
              <w:t>Northrop Grumman</w:t>
            </w:r>
            <w:r>
              <w:rPr/>
              <w:br/>
            </w:r>
            <w:r>
              <w:rPr>
                <w:rFonts w:ascii="Arial" w:hAnsi="Arial"/>
                <w:sz w:val="14"/>
              </w:rPr>
              <w:t>Rockwell Collins</w:t>
            </w:r>
            <w:r>
              <w:rPr/>
              <w:br/>
            </w:r>
            <w:r>
              <w:rPr>
                <w:rFonts w:ascii="Arial" w:hAnsi="Arial"/>
                <w:sz w:val="14"/>
              </w:rPr>
              <w:t>Smiths</w:t>
            </w:r>
            <w:r>
              <w:rPr/>
              <w:br/>
            </w:r>
            <w:r>
              <w:rPr>
                <w:rFonts w:ascii="Arial" w:hAnsi="Arial"/>
                <w:sz w:val="14"/>
              </w:rPr>
              <w:t>Thales</w:t>
            </w:r>
            <w:r>
              <w:rPr/>
              <w:br/>
            </w:r>
            <w:r>
              <w:rPr>
                <w:rFonts w:ascii="Arial" w:hAnsi="Arial"/>
                <w:sz w:val="14"/>
              </w:rPr>
              <w:t>Trimble/Terra</w:t>
            </w:r>
            <w:r>
              <w:rPr/>
              <w:br/>
            </w:r>
            <w:r>
              <w:rPr>
                <w:rFonts w:ascii="Arial" w:hAnsi="Arial"/>
                <w:sz w:val="14"/>
              </w:rPr>
              <w:t>Universal Avionics</w:t>
            </w:r>
            <w:r>
              <w:rPr/>
              <w:br/>
            </w:r>
            <w:r>
              <w:rPr>
                <w:rFonts w:ascii="Arial" w:hAnsi="Arial"/>
                <w:sz w:val="14"/>
              </w:rPr>
              <w:t>Universal Weather</w:t>
            </w:r>
          </w:p>
        </w:tc>
      </w:tr>
    </w:tbl>
    <w:p>
      <w:pPr>
        <w:pStyle w:val="TextBody"/>
        <w:jc w:val="center"/>
        <w:rPr>
          <w:rFonts w:ascii="Arial" w:hAnsi="Arial"/>
        </w:rPr>
      </w:pPr>
      <w:r>
        <w:rPr>
          <w:rFonts w:ascii="Arial" w:hAnsi="Arial"/>
        </w:rPr>
        <w:t>2</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2085"/>
        <w:gridCol w:w="360"/>
        <w:gridCol w:w="2038"/>
        <w:gridCol w:w="360"/>
        <w:gridCol w:w="3059"/>
        <w:gridCol w:w="360"/>
        <w:gridCol w:w="1943"/>
      </w:tblGrid>
      <w:tr>
        <w:trPr/>
        <w:tc>
          <w:tcPr>
            <w:tcW w:w="2085" w:type="dxa"/>
            <w:tcBorders/>
            <w:shd w:fill="FFFFFF" w:val="clear"/>
            <w:vAlign w:val="bottom"/>
          </w:tcPr>
          <w:p>
            <w:pPr>
              <w:pStyle w:val="TableContents"/>
              <w:pageBreakBefore/>
              <w:spacing w:before="0" w:after="0"/>
              <w:jc w:val="left"/>
              <w:rPr>
                <w:rFonts w:ascii="Arial" w:hAnsi="Arial"/>
                <w:b/>
              </w:rPr>
            </w:pPr>
            <w:r>
              <w:rPr>
                <w:rFonts w:ascii="Arial" w:hAnsi="Arial"/>
                <w:b/>
              </w:rPr>
              <w:t>Product/Service Classes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038" w:type="dxa"/>
            <w:tcBorders/>
            <w:shd w:fill="FFFFFF" w:val="clear"/>
            <w:vAlign w:val="bottom"/>
          </w:tcPr>
          <w:p>
            <w:pPr>
              <w:pStyle w:val="TableContents"/>
              <w:spacing w:before="0" w:after="0"/>
              <w:jc w:val="left"/>
              <w:rPr>
                <w:rFonts w:ascii="Arial" w:hAnsi="Arial"/>
                <w:b/>
              </w:rPr>
            </w:pPr>
            <w:r>
              <w:rPr>
                <w:rFonts w:ascii="Arial" w:hAnsi="Arial"/>
                <w:b/>
              </w:rPr>
              <w:t>Major Products/Services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3059" w:type="dxa"/>
            <w:tcBorders/>
            <w:shd w:fill="FFFFFF" w:val="clear"/>
            <w:vAlign w:val="bottom"/>
          </w:tcPr>
          <w:p>
            <w:pPr>
              <w:pStyle w:val="TableContents"/>
              <w:spacing w:before="0" w:after="0"/>
              <w:jc w:val="left"/>
              <w:rPr>
                <w:rFonts w:ascii="Arial" w:hAnsi="Arial"/>
                <w:b/>
              </w:rPr>
            </w:pPr>
            <w:r>
              <w:rPr>
                <w:rFonts w:ascii="Arial" w:hAnsi="Arial"/>
                <w:b/>
              </w:rPr>
              <w:t>Major Customers/Uses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943" w:type="dxa"/>
            <w:tcBorders/>
            <w:shd w:fill="FFFFFF" w:val="clear"/>
            <w:vAlign w:val="bottom"/>
          </w:tcPr>
          <w:p>
            <w:pPr>
              <w:pStyle w:val="TableContents"/>
              <w:spacing w:before="0" w:after="0"/>
              <w:jc w:val="left"/>
              <w:rPr>
                <w:rFonts w:ascii="Arial" w:hAnsi="Arial"/>
                <w:b/>
              </w:rPr>
            </w:pPr>
            <w:r>
              <w:rPr>
                <w:rFonts w:ascii="Arial" w:hAnsi="Arial"/>
                <w:b/>
              </w:rPr>
              <w:t>Key Competitors</w:t>
            </w:r>
          </w:p>
          <w:p>
            <w:pPr>
              <w:pStyle w:val="HorizontalLine"/>
              <w:pBdr>
                <w:bottom w:val="single" w:sz="6" w:space="0" w:color="000000"/>
              </w:pBdr>
              <w:spacing w:before="0" w:after="283"/>
              <w:rPr/>
            </w:pPr>
            <w:r>
              <w:rPr/>
            </w:r>
          </w:p>
        </w:tc>
      </w:tr>
      <w:tr>
        <w:trPr/>
        <w:tc>
          <w:tcPr>
            <w:tcW w:w="2085" w:type="dxa"/>
            <w:tcBorders/>
            <w:shd w:fill="FFFFFF" w:val="clear"/>
          </w:tcPr>
          <w:p>
            <w:pPr>
              <w:pStyle w:val="TableContents"/>
              <w:spacing w:before="0" w:after="283"/>
              <w:jc w:val="left"/>
              <w:rPr>
                <w:rFonts w:ascii="Arial" w:hAnsi="Arial"/>
                <w:sz w:val="14"/>
              </w:rPr>
            </w:pPr>
            <w:r>
              <w:rPr>
                <w:rFonts w:ascii="Arial" w:hAnsi="Arial"/>
                <w:sz w:val="14"/>
              </w:rPr>
              <w:t>Avionics systems</w:t>
              <w:br/>
              <w:t>(continued)</w:t>
            </w:r>
          </w:p>
        </w:tc>
        <w:tc>
          <w:tcPr>
            <w:tcW w:w="360" w:type="dxa"/>
            <w:tcBorders/>
            <w:shd w:fill="FFFFFF" w:val="clear"/>
          </w:tcPr>
          <w:p>
            <w:pPr>
              <w:pStyle w:val="TableContents"/>
              <w:spacing w:before="0" w:after="283"/>
              <w:jc w:val="left"/>
              <w:rPr/>
            </w:pPr>
            <w:r>
              <w:rPr/>
              <w:t>      </w:t>
            </w:r>
          </w:p>
        </w:tc>
        <w:tc>
          <w:tcPr>
            <w:tcW w:w="2038" w:type="dxa"/>
            <w:tcBorders/>
            <w:shd w:fill="FFFFFF" w:val="clear"/>
          </w:tcPr>
          <w:p>
            <w:pPr>
              <w:pStyle w:val="TableContents"/>
              <w:spacing w:before="0" w:after="283"/>
              <w:jc w:val="left"/>
              <w:rPr/>
            </w:pPr>
            <w:r>
              <w:rPr>
                <w:rFonts w:ascii="Arial" w:hAnsi="Arial"/>
                <w:sz w:val="14"/>
              </w:rPr>
              <w:t>Flight management systems</w:t>
            </w:r>
            <w:r>
              <w:rPr/>
              <w:br/>
            </w:r>
            <w:r>
              <w:rPr>
                <w:rFonts w:ascii="Arial" w:hAnsi="Arial"/>
                <w:sz w:val="14"/>
              </w:rPr>
              <w:t>Cockpit display systems</w:t>
            </w:r>
            <w:r>
              <w:rPr/>
              <w:br/>
            </w:r>
            <w:r>
              <w:rPr>
                <w:rFonts w:ascii="Arial" w:hAnsi="Arial"/>
                <w:sz w:val="14"/>
              </w:rPr>
              <w:t>Data management and aircraft performance monitoring systems</w:t>
            </w:r>
            <w:r>
              <w:rPr/>
              <w:br/>
            </w:r>
            <w:r>
              <w:rPr>
                <w:rFonts w:ascii="Arial" w:hAnsi="Arial"/>
                <w:sz w:val="14"/>
              </w:rPr>
              <w:t>Aircraft information systems</w:t>
            </w:r>
            <w:r>
              <w:rPr/>
              <w:br/>
            </w:r>
            <w:r>
              <w:rPr>
                <w:rFonts w:ascii="Arial" w:hAnsi="Arial"/>
                <w:sz w:val="14"/>
              </w:rPr>
              <w:t>Network file servers</w:t>
            </w:r>
            <w:r>
              <w:rPr/>
              <w:br/>
            </w:r>
            <w:r>
              <w:rPr>
                <w:rFonts w:ascii="Arial" w:hAnsi="Arial"/>
                <w:sz w:val="14"/>
              </w:rPr>
              <w:t>Wireless network transceivers</w:t>
            </w:r>
            <w:r>
              <w:rPr/>
              <w:br/>
            </w:r>
            <w:r>
              <w:rPr>
                <w:rFonts w:ascii="Arial" w:hAnsi="Arial"/>
                <w:sz w:val="14"/>
              </w:rPr>
              <w:t>Weather information network</w:t>
            </w:r>
            <w:r>
              <w:rPr/>
              <w:br/>
            </w:r>
            <w:r>
              <w:rPr>
                <w:rFonts w:ascii="Arial" w:hAnsi="Arial"/>
                <w:sz w:val="14"/>
              </w:rPr>
              <w:t>Navigation database information</w:t>
            </w:r>
            <w:r>
              <w:rPr/>
              <w:br/>
            </w:r>
            <w:r>
              <w:rPr>
                <w:rFonts w:ascii="Arial" w:hAnsi="Arial"/>
                <w:sz w:val="14"/>
              </w:rPr>
              <w:t>Cabin management systems</w:t>
            </w:r>
            <w:r>
              <w:rPr/>
              <w:br/>
            </w:r>
            <w:r>
              <w:rPr>
                <w:rFonts w:ascii="Arial" w:hAnsi="Arial"/>
                <w:sz w:val="14"/>
              </w:rPr>
              <w:t>Vibration detection and monitoring</w:t>
            </w:r>
            <w:r>
              <w:rPr/>
              <w:br/>
            </w:r>
            <w:r>
              <w:rPr>
                <w:rFonts w:ascii="Arial" w:hAnsi="Arial"/>
                <w:sz w:val="14"/>
              </w:rPr>
              <w:t>Mission management systems</w:t>
            </w:r>
            <w:r>
              <w:rPr/>
              <w:br/>
            </w:r>
            <w:r>
              <w:rPr>
                <w:rFonts w:ascii="Arial" w:hAnsi="Arial"/>
                <w:sz w:val="14"/>
              </w:rPr>
              <w:t>Tactical data management systems</w:t>
            </w:r>
          </w:p>
        </w:tc>
        <w:tc>
          <w:tcPr>
            <w:tcW w:w="360" w:type="dxa"/>
            <w:tcBorders/>
            <w:shd w:fill="FFFFFF" w:val="clear"/>
            <w:vAlign w:val="center"/>
          </w:tcPr>
          <w:p>
            <w:pPr>
              <w:pStyle w:val="TableContents"/>
              <w:spacing w:before="0" w:after="283"/>
              <w:rPr/>
            </w:pPr>
            <w:r>
              <w:rPr/>
              <w:t> </w:t>
            </w:r>
          </w:p>
        </w:tc>
        <w:tc>
          <w:tcPr>
            <w:tcW w:w="3059"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943" w:type="dxa"/>
            <w:tcBorders/>
            <w:shd w:fill="FFFFFF" w:val="clear"/>
            <w:vAlign w:val="center"/>
          </w:tcPr>
          <w:p>
            <w:pPr>
              <w:pStyle w:val="TableContents"/>
              <w:spacing w:before="0" w:after="283"/>
              <w:rPr/>
            </w:pPr>
            <w:r>
              <w:rPr/>
              <w:t> </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085" w:type="dxa"/>
            <w:tcBorders/>
            <w:shd w:fill="FFFFFF" w:val="clear"/>
          </w:tcPr>
          <w:p>
            <w:pPr>
              <w:pStyle w:val="TableContents"/>
              <w:spacing w:before="0" w:after="283"/>
              <w:jc w:val="left"/>
              <w:rPr>
                <w:rFonts w:ascii="Arial" w:hAnsi="Arial"/>
                <w:sz w:val="14"/>
              </w:rPr>
            </w:pPr>
            <w:r>
              <w:rPr>
                <w:rFonts w:ascii="Arial" w:hAnsi="Arial"/>
                <w:sz w:val="14"/>
              </w:rPr>
              <w:t>Aircraft and Obstruction lighting</w:t>
            </w:r>
          </w:p>
        </w:tc>
        <w:tc>
          <w:tcPr>
            <w:tcW w:w="360" w:type="dxa"/>
            <w:tcBorders/>
            <w:shd w:fill="FFFFFF" w:val="clear"/>
          </w:tcPr>
          <w:p>
            <w:pPr>
              <w:pStyle w:val="TableContents"/>
              <w:spacing w:before="0" w:after="283"/>
              <w:jc w:val="left"/>
              <w:rPr/>
            </w:pPr>
            <w:r>
              <w:rPr/>
              <w:t>      </w:t>
            </w:r>
          </w:p>
        </w:tc>
        <w:tc>
          <w:tcPr>
            <w:tcW w:w="2038" w:type="dxa"/>
            <w:tcBorders/>
            <w:shd w:fill="FFFFFF" w:val="clear"/>
          </w:tcPr>
          <w:p>
            <w:pPr>
              <w:pStyle w:val="TableContents"/>
              <w:spacing w:before="0" w:after="283"/>
              <w:jc w:val="left"/>
              <w:rPr/>
            </w:pPr>
            <w:r>
              <w:rPr>
                <w:rFonts w:ascii="Arial" w:hAnsi="Arial"/>
                <w:sz w:val="14"/>
              </w:rPr>
              <w:t>Inset lights</w:t>
            </w:r>
            <w:r>
              <w:rPr/>
              <w:br/>
            </w:r>
            <w:r>
              <w:rPr>
                <w:rFonts w:ascii="Arial" w:hAnsi="Arial"/>
                <w:sz w:val="14"/>
              </w:rPr>
              <w:t>Regulators</w:t>
            </w:r>
            <w:r>
              <w:rPr/>
              <w:br/>
            </w:r>
            <w:r>
              <w:rPr>
                <w:rFonts w:ascii="Arial" w:hAnsi="Arial"/>
                <w:sz w:val="14"/>
              </w:rPr>
              <w:t>Tower and obstruction lights</w:t>
            </w:r>
            <w:r>
              <w:rPr/>
              <w:br/>
            </w:r>
            <w:r>
              <w:rPr>
                <w:rFonts w:ascii="Arial" w:hAnsi="Arial"/>
                <w:sz w:val="14"/>
              </w:rPr>
              <w:t>Interior and exterior aircraft lighting</w:t>
            </w:r>
          </w:p>
        </w:tc>
        <w:tc>
          <w:tcPr>
            <w:tcW w:w="360" w:type="dxa"/>
            <w:tcBorders/>
            <w:shd w:fill="FFFFFF" w:val="clear"/>
          </w:tcPr>
          <w:p>
            <w:pPr>
              <w:pStyle w:val="TableContents"/>
              <w:spacing w:before="0" w:after="283"/>
              <w:jc w:val="left"/>
              <w:rPr/>
            </w:pPr>
            <w:r>
              <w:rPr/>
              <w:t>      </w:t>
            </w:r>
          </w:p>
        </w:tc>
        <w:tc>
          <w:tcPr>
            <w:tcW w:w="3059" w:type="dxa"/>
            <w:tcBorders/>
            <w:shd w:fill="FFFFFF" w:val="clear"/>
          </w:tcPr>
          <w:p>
            <w:pPr>
              <w:pStyle w:val="TableContents"/>
              <w:spacing w:before="0" w:after="283"/>
              <w:jc w:val="left"/>
              <w:rPr/>
            </w:pPr>
            <w:r>
              <w:rPr>
                <w:rFonts w:ascii="Arial" w:hAnsi="Arial"/>
                <w:sz w:val="14"/>
              </w:rPr>
              <w:t>Commercial, regional, business, helicopter and military aviation aircraft (operators, OEMs, parts distributors and MRO service providers)</w:t>
            </w:r>
            <w:r>
              <w:rPr/>
              <w:br/>
            </w:r>
            <w:r>
              <w:rPr>
                <w:rFonts w:ascii="Arial" w:hAnsi="Arial"/>
                <w:sz w:val="14"/>
              </w:rPr>
              <w:t>General contractors (building and tower manufacturers), cell phone companies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Bruce</w:t>
            </w:r>
            <w:r>
              <w:rPr/>
              <w:br/>
            </w:r>
            <w:r>
              <w:rPr>
                <w:rFonts w:ascii="Arial" w:hAnsi="Arial"/>
                <w:sz w:val="14"/>
              </w:rPr>
              <w:t>Hella/Goodrich</w:t>
            </w:r>
            <w:r>
              <w:rPr/>
              <w:br/>
            </w:r>
            <w:r>
              <w:rPr>
                <w:rFonts w:ascii="Arial" w:hAnsi="Arial"/>
                <w:sz w:val="14"/>
              </w:rPr>
              <w:t>LSI</w:t>
            </w:r>
            <w:r>
              <w:rPr/>
              <w:br/>
            </w:r>
            <w:r>
              <w:rPr>
                <w:rFonts w:ascii="Arial" w:hAnsi="Arial"/>
                <w:sz w:val="14"/>
              </w:rPr>
              <w:t>Luminator</w:t>
            </w:r>
            <w:r>
              <w:rPr/>
              <w:br/>
            </w:r>
            <w:r>
              <w:rPr>
                <w:rFonts w:ascii="Arial" w:hAnsi="Arial"/>
                <w:sz w:val="14"/>
              </w:rPr>
              <w:t>Siemens</w:t>
            </w:r>
            <w:r>
              <w:rPr/>
              <w:br/>
            </w:r>
            <w:r>
              <w:rPr>
                <w:rFonts w:ascii="Arial" w:hAnsi="Arial"/>
                <w:sz w:val="14"/>
              </w:rPr>
              <w:t>Whelen</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085" w:type="dxa"/>
            <w:tcBorders/>
            <w:shd w:fill="FFFFFF" w:val="clear"/>
          </w:tcPr>
          <w:p>
            <w:pPr>
              <w:pStyle w:val="TableContents"/>
              <w:spacing w:before="0" w:after="283"/>
              <w:jc w:val="left"/>
              <w:rPr>
                <w:rFonts w:ascii="Arial" w:hAnsi="Arial"/>
                <w:sz w:val="14"/>
              </w:rPr>
            </w:pPr>
            <w:r>
              <w:rPr>
                <w:rFonts w:ascii="Arial" w:hAnsi="Arial"/>
                <w:sz w:val="14"/>
              </w:rPr>
              <w:t>Inertial sensor</w:t>
            </w:r>
          </w:p>
        </w:tc>
        <w:tc>
          <w:tcPr>
            <w:tcW w:w="360" w:type="dxa"/>
            <w:tcBorders/>
            <w:shd w:fill="FFFFFF" w:val="clear"/>
          </w:tcPr>
          <w:p>
            <w:pPr>
              <w:pStyle w:val="TableContents"/>
              <w:spacing w:before="0" w:after="283"/>
              <w:jc w:val="left"/>
              <w:rPr/>
            </w:pPr>
            <w:r>
              <w:rPr/>
              <w:t>      </w:t>
            </w:r>
          </w:p>
        </w:tc>
        <w:tc>
          <w:tcPr>
            <w:tcW w:w="2038" w:type="dxa"/>
            <w:tcBorders/>
            <w:shd w:fill="FFFFFF" w:val="clear"/>
          </w:tcPr>
          <w:p>
            <w:pPr>
              <w:pStyle w:val="TableContents"/>
              <w:spacing w:before="0" w:after="283"/>
              <w:jc w:val="left"/>
              <w:rPr/>
            </w:pPr>
            <w:r>
              <w:rPr>
                <w:rFonts w:ascii="Arial" w:hAnsi="Arial"/>
                <w:sz w:val="14"/>
              </w:rPr>
              <w:t>Inertial sensor systems for guidance, stabilization, navigation and control</w:t>
            </w:r>
            <w:r>
              <w:rPr/>
              <w:br/>
            </w:r>
            <w:r>
              <w:rPr>
                <w:rFonts w:ascii="Arial" w:hAnsi="Arial"/>
                <w:sz w:val="14"/>
              </w:rPr>
              <w:t>Gyroscopes, accelerometers, inertial measurement units and thermal switches</w:t>
            </w:r>
          </w:p>
        </w:tc>
        <w:tc>
          <w:tcPr>
            <w:tcW w:w="360" w:type="dxa"/>
            <w:tcBorders/>
            <w:shd w:fill="FFFFFF" w:val="clear"/>
          </w:tcPr>
          <w:p>
            <w:pPr>
              <w:pStyle w:val="TableContents"/>
              <w:spacing w:before="0" w:after="283"/>
              <w:jc w:val="left"/>
              <w:rPr/>
            </w:pPr>
            <w:r>
              <w:rPr/>
              <w:t>      </w:t>
            </w:r>
          </w:p>
        </w:tc>
        <w:tc>
          <w:tcPr>
            <w:tcW w:w="3059" w:type="dxa"/>
            <w:tcBorders/>
            <w:shd w:fill="FFFFFF" w:val="clear"/>
          </w:tcPr>
          <w:p>
            <w:pPr>
              <w:pStyle w:val="TableContents"/>
              <w:spacing w:before="0" w:after="283"/>
              <w:jc w:val="left"/>
              <w:rPr/>
            </w:pPr>
            <w:r>
              <w:rPr>
                <w:rFonts w:ascii="Arial" w:hAnsi="Arial"/>
                <w:sz w:val="14"/>
              </w:rPr>
              <w:t>Military and commercial vehicles</w:t>
            </w:r>
            <w:r>
              <w:rPr/>
              <w:br/>
            </w:r>
            <w:r>
              <w:rPr>
                <w:rFonts w:ascii="Arial" w:hAnsi="Arial"/>
                <w:sz w:val="14"/>
              </w:rPr>
              <w:t>Commercial spacecraft and launch vehicles</w:t>
            </w:r>
            <w:r>
              <w:rPr/>
              <w:br/>
            </w:r>
            <w:r>
              <w:rPr>
                <w:rFonts w:ascii="Arial" w:hAnsi="Arial"/>
                <w:sz w:val="14"/>
              </w:rPr>
              <w:t>Commercial, regional, business and military aircraft</w:t>
            </w:r>
            <w:r>
              <w:rPr/>
              <w:br/>
            </w:r>
            <w:r>
              <w:rPr>
                <w:rFonts w:ascii="Arial" w:hAnsi="Arial"/>
                <w:sz w:val="14"/>
              </w:rPr>
              <w:t>Transportation</w:t>
            </w:r>
            <w:r>
              <w:rPr/>
              <w:br/>
            </w:r>
            <w:r>
              <w:rPr>
                <w:rFonts w:ascii="Arial" w:hAnsi="Arial"/>
                <w:sz w:val="14"/>
              </w:rPr>
              <w:t>Missiles</w:t>
            </w:r>
            <w:r>
              <w:rPr/>
              <w:br/>
            </w:r>
            <w:r>
              <w:rPr>
                <w:rFonts w:ascii="Arial" w:hAnsi="Arial"/>
                <w:sz w:val="14"/>
              </w:rPr>
              <w:t>Munitions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Astronautics-Kearfott</w:t>
            </w:r>
            <w:r>
              <w:rPr/>
              <w:br/>
            </w:r>
            <w:r>
              <w:rPr>
                <w:rFonts w:ascii="Arial" w:hAnsi="Arial"/>
                <w:sz w:val="14"/>
              </w:rPr>
              <w:t>BAE</w:t>
            </w:r>
            <w:r>
              <w:rPr/>
              <w:br/>
            </w:r>
            <w:r>
              <w:rPr>
                <w:rFonts w:ascii="Arial" w:hAnsi="Arial"/>
                <w:sz w:val="14"/>
              </w:rPr>
              <w:t>Ball</w:t>
            </w:r>
            <w:r>
              <w:rPr/>
              <w:br/>
            </w:r>
            <w:r>
              <w:rPr>
                <w:rFonts w:ascii="Arial" w:hAnsi="Arial"/>
                <w:sz w:val="14"/>
              </w:rPr>
              <w:t>GEC</w:t>
            </w:r>
            <w:r>
              <w:rPr/>
              <w:br/>
            </w:r>
            <w:r>
              <w:rPr>
                <w:rFonts w:ascii="Arial" w:hAnsi="Arial"/>
                <w:sz w:val="14"/>
              </w:rPr>
              <w:t>L3 Com</w:t>
            </w:r>
            <w:r>
              <w:rPr/>
              <w:br/>
            </w:r>
            <w:r>
              <w:rPr>
                <w:rFonts w:ascii="Arial" w:hAnsi="Arial"/>
                <w:sz w:val="14"/>
              </w:rPr>
              <w:t>KVH</w:t>
            </w:r>
            <w:r>
              <w:rPr/>
              <w:br/>
            </w:r>
            <w:r>
              <w:rPr>
                <w:rFonts w:ascii="Arial" w:hAnsi="Arial"/>
                <w:sz w:val="14"/>
              </w:rPr>
              <w:t>Northrop Grumman</w:t>
            </w:r>
            <w:r>
              <w:rPr/>
              <w:br/>
            </w:r>
            <w:r>
              <w:rPr>
                <w:rFonts w:ascii="Arial" w:hAnsi="Arial"/>
                <w:sz w:val="14"/>
              </w:rPr>
              <w:t>Rockwell</w:t>
            </w:r>
            <w:r>
              <w:rPr/>
              <w:br/>
            </w:r>
            <w:r>
              <w:rPr>
                <w:rFonts w:ascii="Arial" w:hAnsi="Arial"/>
                <w:sz w:val="14"/>
              </w:rPr>
              <w:t>Smiths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085" w:type="dxa"/>
            <w:tcBorders/>
            <w:shd w:fill="FFFFFF" w:val="clear"/>
          </w:tcPr>
          <w:p>
            <w:pPr>
              <w:pStyle w:val="TableContents"/>
              <w:spacing w:before="0" w:after="283"/>
              <w:jc w:val="left"/>
              <w:rPr>
                <w:rFonts w:ascii="Arial" w:hAnsi="Arial"/>
                <w:sz w:val="14"/>
              </w:rPr>
            </w:pPr>
            <w:r>
              <w:rPr>
                <w:rFonts w:ascii="Arial" w:hAnsi="Arial"/>
                <w:sz w:val="14"/>
              </w:rPr>
              <w:t>Control products</w:t>
            </w:r>
          </w:p>
        </w:tc>
        <w:tc>
          <w:tcPr>
            <w:tcW w:w="360" w:type="dxa"/>
            <w:tcBorders/>
            <w:shd w:fill="FFFFFF" w:val="clear"/>
          </w:tcPr>
          <w:p>
            <w:pPr>
              <w:pStyle w:val="TableContents"/>
              <w:spacing w:before="0" w:after="283"/>
              <w:jc w:val="left"/>
              <w:rPr/>
            </w:pPr>
            <w:r>
              <w:rPr/>
              <w:t>      </w:t>
            </w:r>
          </w:p>
        </w:tc>
        <w:tc>
          <w:tcPr>
            <w:tcW w:w="2038" w:type="dxa"/>
            <w:tcBorders/>
            <w:shd w:fill="FFFFFF" w:val="clear"/>
          </w:tcPr>
          <w:p>
            <w:pPr>
              <w:pStyle w:val="TableContents"/>
              <w:spacing w:before="0" w:after="283"/>
              <w:jc w:val="left"/>
              <w:rPr/>
            </w:pPr>
            <w:r>
              <w:rPr>
                <w:rFonts w:ascii="Arial" w:hAnsi="Arial"/>
                <w:sz w:val="14"/>
              </w:rPr>
              <w:t>Radar altimeters</w:t>
            </w:r>
            <w:r>
              <w:rPr/>
              <w:br/>
            </w:r>
            <w:r>
              <w:rPr>
                <w:rFonts w:ascii="Arial" w:hAnsi="Arial"/>
                <w:sz w:val="14"/>
              </w:rPr>
              <w:t>Pressure products</w:t>
            </w:r>
            <w:r>
              <w:rPr/>
              <w:br/>
            </w:r>
            <w:r>
              <w:rPr>
                <w:rFonts w:ascii="Arial" w:hAnsi="Arial"/>
                <w:sz w:val="14"/>
              </w:rPr>
              <w:t>Air data products</w:t>
            </w:r>
            <w:r>
              <w:rPr/>
              <w:br/>
            </w:r>
            <w:r>
              <w:rPr>
                <w:rFonts w:ascii="Arial" w:hAnsi="Arial"/>
                <w:sz w:val="14"/>
              </w:rPr>
              <w:t>Thermal switches</w:t>
            </w:r>
            <w:r>
              <w:rPr/>
              <w:br/>
            </w:r>
            <w:r>
              <w:rPr>
                <w:rFonts w:ascii="Arial" w:hAnsi="Arial"/>
                <w:sz w:val="14"/>
              </w:rPr>
              <w:t>Magnetic sensors</w:t>
            </w:r>
          </w:p>
        </w:tc>
        <w:tc>
          <w:tcPr>
            <w:tcW w:w="360" w:type="dxa"/>
            <w:tcBorders/>
            <w:shd w:fill="FFFFFF" w:val="clear"/>
          </w:tcPr>
          <w:p>
            <w:pPr>
              <w:pStyle w:val="TableContents"/>
              <w:spacing w:before="0" w:after="283"/>
              <w:jc w:val="left"/>
              <w:rPr/>
            </w:pPr>
            <w:r>
              <w:rPr/>
              <w:t>      </w:t>
            </w:r>
          </w:p>
        </w:tc>
        <w:tc>
          <w:tcPr>
            <w:tcW w:w="3059" w:type="dxa"/>
            <w:tcBorders/>
            <w:shd w:fill="FFFFFF" w:val="clear"/>
          </w:tcPr>
          <w:p>
            <w:pPr>
              <w:pStyle w:val="TableContents"/>
              <w:spacing w:before="0" w:after="283"/>
              <w:jc w:val="left"/>
              <w:rPr/>
            </w:pPr>
            <w:r>
              <w:rPr>
                <w:rFonts w:ascii="Arial" w:hAnsi="Arial"/>
                <w:sz w:val="14"/>
              </w:rPr>
              <w:t>Military aircraft</w:t>
            </w:r>
            <w:r>
              <w:rPr/>
              <w:br/>
            </w:r>
            <w:r>
              <w:rPr>
                <w:rFonts w:ascii="Arial" w:hAnsi="Arial"/>
                <w:sz w:val="14"/>
              </w:rPr>
              <w:t>Missiles, UAVs</w:t>
            </w:r>
            <w:r>
              <w:rPr/>
              <w:br/>
            </w:r>
            <w:r>
              <w:rPr>
                <w:rFonts w:ascii="Arial" w:hAnsi="Arial"/>
                <w:sz w:val="14"/>
              </w:rPr>
              <w:t>Commercial applications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Ball Brothers</w:t>
            </w:r>
            <w:r>
              <w:rPr/>
              <w:br/>
            </w:r>
            <w:r>
              <w:rPr>
                <w:rFonts w:ascii="Arial" w:hAnsi="Arial"/>
                <w:sz w:val="14"/>
              </w:rPr>
              <w:t>BAE</w:t>
            </w:r>
            <w:r>
              <w:rPr/>
              <w:br/>
            </w:r>
            <w:r>
              <w:rPr>
                <w:rFonts w:ascii="Arial" w:hAnsi="Arial"/>
                <w:sz w:val="14"/>
              </w:rPr>
              <w:t>Druck</w:t>
            </w:r>
            <w:r>
              <w:rPr/>
              <w:br/>
            </w:r>
            <w:r>
              <w:rPr>
                <w:rFonts w:ascii="Arial" w:hAnsi="Arial"/>
                <w:sz w:val="14"/>
              </w:rPr>
              <w:t>Goodrich</w:t>
            </w:r>
            <w:r>
              <w:rPr/>
              <w:br/>
            </w:r>
            <w:r>
              <w:rPr>
                <w:rFonts w:ascii="Arial" w:hAnsi="Arial"/>
                <w:sz w:val="14"/>
              </w:rPr>
              <w:t>NavCom</w:t>
            </w:r>
            <w:r>
              <w:rPr/>
              <w:br/>
            </w:r>
            <w:r>
              <w:rPr>
                <w:rFonts w:ascii="Arial" w:hAnsi="Arial"/>
                <w:sz w:val="14"/>
              </w:rPr>
              <w:t>Northrop Grumman</w:t>
            </w:r>
            <w:r>
              <w:rPr/>
              <w:br/>
            </w:r>
            <w:r>
              <w:rPr>
                <w:rFonts w:ascii="Arial" w:hAnsi="Arial"/>
                <w:sz w:val="14"/>
              </w:rPr>
              <w:t>Rosemount</w:t>
            </w:r>
            <w:r>
              <w:rPr/>
              <w:br/>
            </w:r>
            <w:r>
              <w:rPr>
                <w:rFonts w:ascii="Arial" w:hAnsi="Arial"/>
                <w:sz w:val="14"/>
              </w:rPr>
              <w:t>Solarton</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085" w:type="dxa"/>
            <w:tcBorders/>
            <w:shd w:fill="FFFFFF" w:val="clear"/>
          </w:tcPr>
          <w:p>
            <w:pPr>
              <w:pStyle w:val="TableContents"/>
              <w:spacing w:before="0" w:after="283"/>
              <w:jc w:val="left"/>
              <w:rPr>
                <w:rFonts w:ascii="Arial" w:hAnsi="Arial"/>
                <w:sz w:val="14"/>
              </w:rPr>
            </w:pPr>
            <w:r>
              <w:rPr>
                <w:rFonts w:ascii="Arial" w:hAnsi="Arial"/>
                <w:sz w:val="14"/>
              </w:rPr>
              <w:t>Space products and subsystems</w:t>
            </w:r>
          </w:p>
        </w:tc>
        <w:tc>
          <w:tcPr>
            <w:tcW w:w="360" w:type="dxa"/>
            <w:tcBorders/>
            <w:shd w:fill="FFFFFF" w:val="clear"/>
          </w:tcPr>
          <w:p>
            <w:pPr>
              <w:pStyle w:val="TableContents"/>
              <w:spacing w:before="0" w:after="283"/>
              <w:jc w:val="left"/>
              <w:rPr/>
            </w:pPr>
            <w:r>
              <w:rPr/>
              <w:t>      </w:t>
            </w:r>
          </w:p>
        </w:tc>
        <w:tc>
          <w:tcPr>
            <w:tcW w:w="2038" w:type="dxa"/>
            <w:tcBorders/>
            <w:shd w:fill="FFFFFF" w:val="clear"/>
          </w:tcPr>
          <w:p>
            <w:pPr>
              <w:pStyle w:val="TableContents"/>
              <w:spacing w:before="0" w:after="283"/>
              <w:jc w:val="left"/>
              <w:rPr/>
            </w:pPr>
            <w:r>
              <w:rPr>
                <w:rFonts w:ascii="Arial" w:hAnsi="Arial"/>
                <w:sz w:val="14"/>
              </w:rPr>
              <w:t>Guidance subsystems</w:t>
            </w:r>
            <w:r>
              <w:rPr/>
              <w:br/>
            </w:r>
            <w:r>
              <w:rPr>
                <w:rFonts w:ascii="Arial" w:hAnsi="Arial"/>
                <w:sz w:val="14"/>
              </w:rPr>
              <w:t>Control subsystems</w:t>
            </w:r>
            <w:r>
              <w:rPr/>
              <w:br/>
            </w:r>
            <w:r>
              <w:rPr>
                <w:rFonts w:ascii="Arial" w:hAnsi="Arial"/>
                <w:sz w:val="14"/>
              </w:rPr>
              <w:t>Processing subsystems</w:t>
            </w:r>
            <w:r>
              <w:rPr/>
              <w:br/>
            </w:r>
            <w:r>
              <w:rPr>
                <w:rFonts w:ascii="Arial" w:hAnsi="Arial"/>
                <w:sz w:val="14"/>
              </w:rPr>
              <w:t>Radiation hardened electronics and integrated circuits</w:t>
            </w:r>
            <w:r>
              <w:rPr/>
              <w:br/>
            </w:r>
            <w:r>
              <w:rPr>
                <w:rFonts w:ascii="Arial" w:hAnsi="Arial"/>
                <w:sz w:val="14"/>
              </w:rPr>
              <w:t>GPS-based range safety systems</w:t>
            </w:r>
          </w:p>
        </w:tc>
        <w:tc>
          <w:tcPr>
            <w:tcW w:w="360" w:type="dxa"/>
            <w:tcBorders/>
            <w:shd w:fill="FFFFFF" w:val="clear"/>
          </w:tcPr>
          <w:p>
            <w:pPr>
              <w:pStyle w:val="TableContents"/>
              <w:spacing w:before="0" w:after="283"/>
              <w:jc w:val="left"/>
              <w:rPr/>
            </w:pPr>
            <w:r>
              <w:rPr/>
              <w:t>      </w:t>
            </w:r>
          </w:p>
        </w:tc>
        <w:tc>
          <w:tcPr>
            <w:tcW w:w="3059" w:type="dxa"/>
            <w:tcBorders/>
            <w:shd w:fill="FFFFFF" w:val="clear"/>
          </w:tcPr>
          <w:p>
            <w:pPr>
              <w:pStyle w:val="TableContents"/>
              <w:spacing w:before="0" w:after="283"/>
              <w:jc w:val="left"/>
              <w:rPr/>
            </w:pPr>
            <w:r>
              <w:rPr>
                <w:rFonts w:ascii="Arial" w:hAnsi="Arial"/>
                <w:sz w:val="14"/>
              </w:rPr>
              <w:t>Commercial and military-spacecraft</w:t>
            </w:r>
            <w:r>
              <w:rPr/>
              <w:br/>
            </w:r>
            <w:r>
              <w:rPr>
                <w:rFonts w:ascii="Arial" w:hAnsi="Arial"/>
                <w:sz w:val="14"/>
              </w:rPr>
              <w:t>DoD</w:t>
            </w:r>
            <w:r>
              <w:rPr/>
              <w:br/>
            </w:r>
            <w:r>
              <w:rPr>
                <w:rFonts w:ascii="Arial" w:hAnsi="Arial"/>
                <w:sz w:val="14"/>
              </w:rPr>
              <w:t>FAA</w:t>
            </w:r>
            <w:r>
              <w:rPr/>
              <w:br/>
            </w:r>
            <w:r>
              <w:rPr>
                <w:rFonts w:ascii="Arial" w:hAnsi="Arial"/>
                <w:sz w:val="14"/>
              </w:rPr>
              <w:t>NASA</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BAE</w:t>
            </w:r>
            <w:r>
              <w:rPr/>
              <w:br/>
            </w:r>
            <w:r>
              <w:rPr>
                <w:rFonts w:ascii="Arial" w:hAnsi="Arial"/>
                <w:sz w:val="14"/>
              </w:rPr>
              <w:t>Ithaco</w:t>
            </w:r>
            <w:r>
              <w:rPr/>
              <w:br/>
            </w:r>
            <w:r>
              <w:rPr>
                <w:rFonts w:ascii="Arial" w:hAnsi="Arial"/>
                <w:sz w:val="14"/>
              </w:rPr>
              <w:t>L3</w:t>
            </w:r>
            <w:r>
              <w:rPr/>
              <w:br/>
            </w:r>
            <w:r>
              <w:rPr>
                <w:rFonts w:ascii="Arial" w:hAnsi="Arial"/>
                <w:sz w:val="14"/>
              </w:rPr>
              <w:t>Northrop Grumman</w:t>
            </w:r>
            <w:r>
              <w:rPr/>
              <w:br/>
            </w:r>
            <w:r>
              <w:rPr>
                <w:rFonts w:ascii="Arial" w:hAnsi="Arial"/>
                <w:sz w:val="14"/>
              </w:rPr>
              <w:t>Raytheon</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085" w:type="dxa"/>
            <w:tcBorders/>
            <w:shd w:fill="FFFFFF" w:val="clear"/>
          </w:tcPr>
          <w:p>
            <w:pPr>
              <w:pStyle w:val="TableContents"/>
              <w:spacing w:before="0" w:after="283"/>
              <w:jc w:val="left"/>
              <w:rPr>
                <w:rFonts w:ascii="Arial" w:hAnsi="Arial"/>
                <w:sz w:val="14"/>
              </w:rPr>
            </w:pPr>
            <w:r>
              <w:rPr>
                <w:rFonts w:ascii="Arial" w:hAnsi="Arial"/>
                <w:sz w:val="14"/>
              </w:rPr>
              <w:t>Management and technical services</w:t>
            </w:r>
          </w:p>
        </w:tc>
        <w:tc>
          <w:tcPr>
            <w:tcW w:w="360" w:type="dxa"/>
            <w:tcBorders/>
            <w:shd w:fill="FFFFFF" w:val="clear"/>
          </w:tcPr>
          <w:p>
            <w:pPr>
              <w:pStyle w:val="TableContents"/>
              <w:spacing w:before="0" w:after="283"/>
              <w:jc w:val="left"/>
              <w:rPr/>
            </w:pPr>
            <w:r>
              <w:rPr/>
              <w:t>      </w:t>
            </w:r>
          </w:p>
        </w:tc>
        <w:tc>
          <w:tcPr>
            <w:tcW w:w="2038" w:type="dxa"/>
            <w:tcBorders/>
            <w:shd w:fill="FFFFFF" w:val="clear"/>
          </w:tcPr>
          <w:p>
            <w:pPr>
              <w:pStyle w:val="TableContents"/>
              <w:spacing w:before="0" w:after="283"/>
              <w:jc w:val="left"/>
              <w:rPr/>
            </w:pPr>
            <w:r>
              <w:rPr>
                <w:rFonts w:ascii="Arial" w:hAnsi="Arial"/>
                <w:sz w:val="14"/>
              </w:rPr>
              <w:t>Maintenance/operation and provision of space systems, services and facilities</w:t>
            </w:r>
            <w:r>
              <w:rPr/>
              <w:br/>
            </w:r>
            <w:r>
              <w:rPr>
                <w:rFonts w:ascii="Arial" w:hAnsi="Arial"/>
                <w:sz w:val="14"/>
              </w:rPr>
              <w:t>Systems engineering and integration</w:t>
            </w:r>
            <w:r>
              <w:rPr/>
              <w:br/>
            </w:r>
            <w:r>
              <w:rPr>
                <w:rFonts w:ascii="Arial" w:hAnsi="Arial"/>
                <w:sz w:val="14"/>
              </w:rPr>
              <w:t>Information technology services</w:t>
            </w:r>
            <w:r>
              <w:rPr/>
              <w:br/>
            </w:r>
            <w:r>
              <w:rPr>
                <w:rFonts w:ascii="Arial" w:hAnsi="Arial"/>
                <w:sz w:val="14"/>
              </w:rPr>
              <w:t>Logistics and sustainment</w:t>
            </w:r>
          </w:p>
        </w:tc>
        <w:tc>
          <w:tcPr>
            <w:tcW w:w="360" w:type="dxa"/>
            <w:tcBorders/>
            <w:shd w:fill="FFFFFF" w:val="clear"/>
          </w:tcPr>
          <w:p>
            <w:pPr>
              <w:pStyle w:val="TableContents"/>
              <w:spacing w:before="0" w:after="283"/>
              <w:jc w:val="left"/>
              <w:rPr/>
            </w:pPr>
            <w:r>
              <w:rPr/>
              <w:t>      </w:t>
            </w:r>
          </w:p>
        </w:tc>
        <w:tc>
          <w:tcPr>
            <w:tcW w:w="3059" w:type="dxa"/>
            <w:tcBorders/>
            <w:shd w:fill="FFFFFF" w:val="clear"/>
          </w:tcPr>
          <w:p>
            <w:pPr>
              <w:pStyle w:val="TableContents"/>
              <w:spacing w:before="0" w:after="283"/>
              <w:jc w:val="left"/>
              <w:rPr/>
            </w:pPr>
            <w:r>
              <w:rPr>
                <w:rFonts w:ascii="Arial" w:hAnsi="Arial"/>
                <w:sz w:val="14"/>
              </w:rPr>
              <w:t>U.S. government space (NASA)</w:t>
            </w:r>
            <w:r>
              <w:rPr/>
              <w:br/>
            </w:r>
            <w:r>
              <w:rPr>
                <w:rFonts w:ascii="Arial" w:hAnsi="Arial"/>
                <w:sz w:val="14"/>
              </w:rPr>
              <w:t>DoD (logistics and information services)</w:t>
            </w:r>
            <w:r>
              <w:rPr/>
              <w:br/>
            </w:r>
            <w:r>
              <w:rPr>
                <w:rFonts w:ascii="Arial" w:hAnsi="Arial"/>
                <w:sz w:val="14"/>
              </w:rPr>
              <w:t>FAA</w:t>
            </w:r>
            <w:r>
              <w:rPr/>
              <w:br/>
            </w:r>
            <w:r>
              <w:rPr>
                <w:rFonts w:ascii="Arial" w:hAnsi="Arial"/>
                <w:sz w:val="14"/>
              </w:rPr>
              <w:t>DoE</w:t>
            </w:r>
            <w:r>
              <w:rPr/>
              <w:br/>
            </w:r>
            <w:r>
              <w:rPr>
                <w:rFonts w:ascii="Arial" w:hAnsi="Arial"/>
                <w:sz w:val="14"/>
              </w:rPr>
              <w:t>Local governments</w:t>
            </w:r>
            <w:r>
              <w:rPr/>
              <w:br/>
            </w:r>
            <w:r>
              <w:rPr>
                <w:rFonts w:ascii="Arial" w:hAnsi="Arial"/>
                <w:sz w:val="14"/>
              </w:rPr>
              <w:t>Commercial space ground segment systems and services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Bechtel</w:t>
            </w:r>
            <w:r>
              <w:rPr/>
              <w:br/>
            </w:r>
            <w:r>
              <w:rPr>
                <w:rFonts w:ascii="Arial" w:hAnsi="Arial"/>
                <w:sz w:val="14"/>
              </w:rPr>
              <w:t>Boeing</w:t>
            </w:r>
            <w:r>
              <w:rPr/>
              <w:br/>
            </w:r>
            <w:r>
              <w:rPr>
                <w:rFonts w:ascii="Arial" w:hAnsi="Arial"/>
                <w:sz w:val="14"/>
              </w:rPr>
              <w:t>Computer Sciences</w:t>
            </w:r>
            <w:r>
              <w:rPr/>
              <w:br/>
            </w:r>
            <w:r>
              <w:rPr>
                <w:rFonts w:ascii="Arial" w:hAnsi="Arial"/>
                <w:sz w:val="14"/>
              </w:rPr>
              <w:t>Dyncorp</w:t>
            </w:r>
            <w:r>
              <w:rPr/>
              <w:br/>
            </w:r>
            <w:r>
              <w:rPr>
                <w:rFonts w:ascii="Arial" w:hAnsi="Arial"/>
                <w:sz w:val="14"/>
              </w:rPr>
              <w:t>ITT</w:t>
            </w:r>
            <w:r>
              <w:rPr/>
              <w:br/>
            </w:r>
            <w:r>
              <w:rPr>
                <w:rFonts w:ascii="Arial" w:hAnsi="Arial"/>
                <w:sz w:val="14"/>
              </w:rPr>
              <w:t>Lockheed Martin</w:t>
            </w:r>
            <w:r>
              <w:rPr/>
              <w:br/>
            </w:r>
            <w:r>
              <w:rPr>
                <w:rFonts w:ascii="Arial" w:hAnsi="Arial"/>
                <w:sz w:val="14"/>
              </w:rPr>
              <w:t>Raytheon</w:t>
            </w:r>
            <w:r>
              <w:rPr/>
              <w:br/>
            </w:r>
            <w:r>
              <w:rPr>
                <w:rFonts w:ascii="Arial" w:hAnsi="Arial"/>
                <w:sz w:val="14"/>
              </w:rPr>
              <w:t>SAIC</w:t>
            </w:r>
            <w:r>
              <w:rPr/>
              <w:br/>
            </w:r>
            <w:r>
              <w:rPr>
                <w:rFonts w:ascii="Arial" w:hAnsi="Arial"/>
                <w:sz w:val="14"/>
              </w:rPr>
              <w:t>The Washington Group</w:t>
            </w:r>
            <w:r>
              <w:rPr/>
              <w:br/>
            </w:r>
            <w:r>
              <w:rPr>
                <w:rFonts w:ascii="Arial" w:hAnsi="Arial"/>
                <w:sz w:val="14"/>
              </w:rPr>
              <w:t>United Space Alliance</w:t>
            </w:r>
          </w:p>
        </w:tc>
      </w:tr>
      <w:tr>
        <w:trPr/>
        <w:tc>
          <w:tcPr>
            <w:tcW w:w="10205" w:type="dxa"/>
            <w:gridSpan w:val="7"/>
            <w:tcBorders/>
            <w:shd w:fill="FFFFFF" w:val="clear"/>
          </w:tcPr>
          <w:p>
            <w:pPr>
              <w:pStyle w:val="HorizontalLine"/>
              <w:pBdr>
                <w:bottom w:val="single" w:sz="6" w:space="0" w:color="000000"/>
              </w:pBdr>
              <w:spacing w:before="0" w:after="283"/>
              <w:rPr/>
            </w:pPr>
            <w:r>
              <w:rPr/>
            </w:r>
          </w:p>
        </w:tc>
      </w:tr>
    </w:tbl>
    <w:p>
      <w:pPr>
        <w:pStyle w:val="TextBody"/>
        <w:jc w:val="center"/>
        <w:rPr>
          <w:rFonts w:ascii="Arial" w:hAnsi="Arial"/>
        </w:rPr>
      </w:pPr>
      <w:r>
        <w:rPr>
          <w:rFonts w:ascii="Arial" w:hAnsi="Arial"/>
        </w:rPr>
        <w:t>3</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2138"/>
        <w:gridCol w:w="360"/>
        <w:gridCol w:w="2539"/>
        <w:gridCol w:w="360"/>
        <w:gridCol w:w="2505"/>
        <w:gridCol w:w="360"/>
        <w:gridCol w:w="1943"/>
      </w:tblGrid>
      <w:tr>
        <w:trPr/>
        <w:tc>
          <w:tcPr>
            <w:tcW w:w="2138" w:type="dxa"/>
            <w:tcBorders/>
            <w:shd w:fill="FFFFFF" w:val="clear"/>
            <w:vAlign w:val="bottom"/>
          </w:tcPr>
          <w:p>
            <w:pPr>
              <w:pStyle w:val="TableContents"/>
              <w:pageBreakBefore/>
              <w:spacing w:before="0" w:after="0"/>
              <w:jc w:val="left"/>
              <w:rPr>
                <w:rFonts w:ascii="Arial" w:hAnsi="Arial"/>
                <w:b/>
              </w:rPr>
            </w:pPr>
            <w:r>
              <w:rPr>
                <w:rFonts w:ascii="Arial" w:hAnsi="Arial"/>
                <w:b/>
              </w:rPr>
              <w:t>Product/Service Classes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539" w:type="dxa"/>
            <w:tcBorders/>
            <w:shd w:fill="FFFFFF" w:val="clear"/>
            <w:vAlign w:val="bottom"/>
          </w:tcPr>
          <w:p>
            <w:pPr>
              <w:pStyle w:val="TableContents"/>
              <w:spacing w:before="0" w:after="0"/>
              <w:jc w:val="left"/>
              <w:rPr>
                <w:rFonts w:ascii="Arial" w:hAnsi="Arial"/>
                <w:b/>
              </w:rPr>
            </w:pPr>
            <w:r>
              <w:rPr>
                <w:rFonts w:ascii="Arial" w:hAnsi="Arial"/>
                <w:b/>
              </w:rPr>
              <w:t>Major Products/Services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505" w:type="dxa"/>
            <w:tcBorders/>
            <w:shd w:fill="FFFFFF" w:val="clear"/>
            <w:vAlign w:val="bottom"/>
          </w:tcPr>
          <w:p>
            <w:pPr>
              <w:pStyle w:val="TableContents"/>
              <w:spacing w:before="0" w:after="0"/>
              <w:jc w:val="left"/>
              <w:rPr>
                <w:rFonts w:ascii="Arial" w:hAnsi="Arial"/>
                <w:b/>
              </w:rPr>
            </w:pPr>
            <w:r>
              <w:rPr>
                <w:rFonts w:ascii="Arial" w:hAnsi="Arial"/>
                <w:b/>
              </w:rPr>
              <w:t>Major Customers/Uses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943" w:type="dxa"/>
            <w:tcBorders/>
            <w:shd w:fill="FFFFFF" w:val="clear"/>
            <w:vAlign w:val="bottom"/>
          </w:tcPr>
          <w:p>
            <w:pPr>
              <w:pStyle w:val="TableContents"/>
              <w:spacing w:before="0" w:after="0"/>
              <w:jc w:val="left"/>
              <w:rPr>
                <w:rFonts w:ascii="Arial" w:hAnsi="Arial"/>
                <w:b/>
              </w:rPr>
            </w:pPr>
            <w:r>
              <w:rPr>
                <w:rFonts w:ascii="Arial" w:hAnsi="Arial"/>
                <w:b/>
              </w:rPr>
              <w:t>Key Competitors</w:t>
            </w:r>
          </w:p>
          <w:p>
            <w:pPr>
              <w:pStyle w:val="HorizontalLine"/>
              <w:pBdr>
                <w:bottom w:val="single" w:sz="6" w:space="0" w:color="000000"/>
              </w:pBdr>
              <w:spacing w:before="0" w:after="283"/>
              <w:rPr/>
            </w:pPr>
            <w:r>
              <w:rPr/>
            </w:r>
          </w:p>
        </w:tc>
      </w:tr>
      <w:tr>
        <w:trPr/>
        <w:tc>
          <w:tcPr>
            <w:tcW w:w="2138" w:type="dxa"/>
            <w:tcBorders/>
            <w:shd w:fill="FFFFFF" w:val="clear"/>
          </w:tcPr>
          <w:p>
            <w:pPr>
              <w:pStyle w:val="TableContents"/>
              <w:spacing w:before="0" w:after="283"/>
              <w:jc w:val="left"/>
              <w:rPr>
                <w:rFonts w:ascii="Arial" w:hAnsi="Arial"/>
                <w:sz w:val="14"/>
              </w:rPr>
            </w:pPr>
            <w:r>
              <w:rPr>
                <w:rFonts w:ascii="Arial" w:hAnsi="Arial"/>
                <w:sz w:val="14"/>
              </w:rPr>
              <w:t>Landing systems</w:t>
            </w:r>
          </w:p>
        </w:tc>
        <w:tc>
          <w:tcPr>
            <w:tcW w:w="360" w:type="dxa"/>
            <w:tcBorders/>
            <w:shd w:fill="FFFFFF" w:val="clear"/>
          </w:tcPr>
          <w:p>
            <w:pPr>
              <w:pStyle w:val="TableContents"/>
              <w:spacing w:before="0" w:after="283"/>
              <w:jc w:val="left"/>
              <w:rPr/>
            </w:pPr>
            <w:r>
              <w:rPr/>
              <w:t>      </w:t>
            </w:r>
          </w:p>
        </w:tc>
        <w:tc>
          <w:tcPr>
            <w:tcW w:w="2539" w:type="dxa"/>
            <w:tcBorders/>
            <w:shd w:fill="FFFFFF" w:val="clear"/>
          </w:tcPr>
          <w:p>
            <w:pPr>
              <w:pStyle w:val="TableContents"/>
              <w:spacing w:before="0" w:after="283"/>
              <w:jc w:val="left"/>
              <w:rPr/>
            </w:pPr>
            <w:r>
              <w:rPr>
                <w:rFonts w:ascii="Arial" w:hAnsi="Arial"/>
                <w:sz w:val="14"/>
              </w:rPr>
              <w:t>Wheels and brakes</w:t>
            </w:r>
            <w:r>
              <w:rPr/>
              <w:br/>
            </w:r>
            <w:r>
              <w:rPr>
                <w:rFonts w:ascii="Arial" w:hAnsi="Arial"/>
                <w:sz w:val="14"/>
              </w:rPr>
              <w:t>Wheel and brake repair and overhaul services</w:t>
            </w:r>
          </w:p>
        </w:tc>
        <w:tc>
          <w:tcPr>
            <w:tcW w:w="360" w:type="dxa"/>
            <w:tcBorders/>
            <w:shd w:fill="FFFFFF" w:val="clear"/>
          </w:tcPr>
          <w:p>
            <w:pPr>
              <w:pStyle w:val="TableContents"/>
              <w:spacing w:before="0" w:after="283"/>
              <w:jc w:val="left"/>
              <w:rPr/>
            </w:pPr>
            <w:r>
              <w:rPr/>
              <w:t>      </w:t>
            </w:r>
          </w:p>
        </w:tc>
        <w:tc>
          <w:tcPr>
            <w:tcW w:w="2505" w:type="dxa"/>
            <w:tcBorders/>
            <w:shd w:fill="FFFFFF" w:val="clear"/>
          </w:tcPr>
          <w:p>
            <w:pPr>
              <w:pStyle w:val="TableContents"/>
              <w:spacing w:before="0" w:after="283"/>
              <w:jc w:val="left"/>
              <w:rPr/>
            </w:pPr>
            <w:r>
              <w:rPr>
                <w:rFonts w:ascii="Arial" w:hAnsi="Arial"/>
                <w:sz w:val="14"/>
              </w:rPr>
              <w:t>Commercial airline, regional, business and military aircraft</w:t>
            </w:r>
            <w:r>
              <w:rPr/>
              <w:br/>
            </w:r>
            <w:r>
              <w:rPr>
                <w:rFonts w:ascii="Arial" w:hAnsi="Arial"/>
                <w:sz w:val="14"/>
              </w:rPr>
              <w:t>High performance commercial vehicles</w:t>
            </w:r>
            <w:r>
              <w:rPr/>
              <w:br/>
            </w:r>
            <w:r>
              <w:rPr>
                <w:rFonts w:ascii="Arial" w:hAnsi="Arial"/>
                <w:sz w:val="14"/>
              </w:rPr>
              <w:t>USAF, DoD, DoE</w:t>
            </w:r>
            <w:r>
              <w:rPr/>
              <w:br/>
            </w:r>
            <w:r>
              <w:rPr>
                <w:rFonts w:ascii="Arial" w:hAnsi="Arial"/>
                <w:sz w:val="14"/>
              </w:rPr>
              <w:t>Boeing, Airbus, Lockheed Martin</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Dunlop Standard Aerospace</w:t>
            </w:r>
            <w:r>
              <w:rPr/>
              <w:br/>
            </w:r>
            <w:r>
              <w:rPr>
                <w:rFonts w:ascii="Arial" w:hAnsi="Arial"/>
                <w:sz w:val="14"/>
              </w:rPr>
              <w:t>Goodrich</w:t>
            </w:r>
            <w:r>
              <w:rPr/>
              <w:br/>
            </w:r>
            <w:r>
              <w:rPr>
                <w:rFonts w:ascii="Arial" w:hAnsi="Arial"/>
                <w:sz w:val="14"/>
              </w:rPr>
              <w:t>K&amp;F Industries</w:t>
            </w:r>
            <w:r>
              <w:rPr/>
              <w:br/>
            </w:r>
            <w:r>
              <w:rPr>
                <w:rFonts w:ascii="Arial" w:hAnsi="Arial"/>
                <w:sz w:val="14"/>
              </w:rPr>
              <w:t>Messier-Bugatti</w:t>
            </w:r>
            <w:r>
              <w:rPr/>
              <w:br/>
            </w:r>
            <w:r>
              <w:rPr>
                <w:rFonts w:ascii="Arial" w:hAnsi="Arial"/>
                <w:sz w:val="14"/>
              </w:rPr>
              <w:t>NASCO</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10205" w:type="dxa"/>
            <w:gridSpan w:val="7"/>
            <w:tcBorders/>
            <w:shd w:fill="FFFFFF" w:val="clear"/>
          </w:tcPr>
          <w:p>
            <w:pPr>
              <w:pStyle w:val="TableContents"/>
              <w:spacing w:before="0" w:after="283"/>
              <w:jc w:val="left"/>
              <w:rPr>
                <w:rFonts w:ascii="Arial" w:hAnsi="Arial"/>
                <w:b/>
              </w:rPr>
            </w:pPr>
            <w:r>
              <w:rPr>
                <w:rFonts w:ascii="Arial" w:hAnsi="Arial"/>
                <w:b/>
              </w:rPr>
              <w:t>Automation and Control Solutions</w:t>
            </w:r>
          </w:p>
        </w:tc>
      </w:tr>
      <w:tr>
        <w:trPr/>
        <w:tc>
          <w:tcPr>
            <w:tcW w:w="2138" w:type="dxa"/>
            <w:tcBorders/>
            <w:shd w:fill="FFFFFF" w:val="clear"/>
          </w:tcPr>
          <w:p>
            <w:pPr>
              <w:pStyle w:val="TableContents"/>
              <w:spacing w:before="0" w:after="283"/>
              <w:jc w:val="left"/>
              <w:rPr>
                <w:rFonts w:ascii="Arial" w:hAnsi="Arial"/>
                <w:sz w:val="14"/>
              </w:rPr>
            </w:pPr>
            <w:r>
              <w:rPr>
                <w:rFonts w:ascii="Arial" w:hAnsi="Arial"/>
                <w:sz w:val="14"/>
              </w:rPr>
              <w:t>Environmental combustion controls; sensing controls</w:t>
            </w:r>
          </w:p>
        </w:tc>
        <w:tc>
          <w:tcPr>
            <w:tcW w:w="360" w:type="dxa"/>
            <w:tcBorders/>
            <w:shd w:fill="FFFFFF" w:val="clear"/>
          </w:tcPr>
          <w:p>
            <w:pPr>
              <w:pStyle w:val="TableContents"/>
              <w:spacing w:before="0" w:after="283"/>
              <w:jc w:val="left"/>
              <w:rPr/>
            </w:pPr>
            <w:r>
              <w:rPr/>
              <w:t>      </w:t>
            </w:r>
          </w:p>
        </w:tc>
        <w:tc>
          <w:tcPr>
            <w:tcW w:w="2539" w:type="dxa"/>
            <w:tcBorders/>
            <w:shd w:fill="FFFFFF" w:val="clear"/>
          </w:tcPr>
          <w:p>
            <w:pPr>
              <w:pStyle w:val="TableContents"/>
              <w:spacing w:before="0" w:after="283"/>
              <w:jc w:val="left"/>
              <w:rPr/>
            </w:pPr>
            <w:r>
              <w:rPr>
                <w:rFonts w:ascii="Arial" w:hAnsi="Arial"/>
                <w:sz w:val="14"/>
              </w:rPr>
              <w:t>Heating, ventilating and air conditioning controls and components for homes and buildings</w:t>
            </w:r>
            <w:r>
              <w:rPr/>
              <w:br/>
            </w:r>
            <w:r>
              <w:rPr>
                <w:rFonts w:ascii="Arial" w:hAnsi="Arial"/>
                <w:sz w:val="14"/>
              </w:rPr>
              <w:t>Indoor air quality products including zoning, air cleaners, humidification, heat and energy recovery ventilators</w:t>
            </w:r>
            <w:r>
              <w:rPr/>
              <w:br/>
            </w:r>
            <w:r>
              <w:rPr>
                <w:rFonts w:ascii="Arial" w:hAnsi="Arial"/>
                <w:sz w:val="14"/>
              </w:rPr>
              <w:t>Controls plus integrated electronic systems for burners, boilers and furnaces</w:t>
            </w:r>
            <w:r>
              <w:rPr/>
              <w:br/>
            </w:r>
            <w:r>
              <w:rPr>
                <w:rFonts w:ascii="Arial" w:hAnsi="Arial"/>
                <w:sz w:val="14"/>
              </w:rPr>
              <w:t>Consumer household products including humidifiers and thermostats</w:t>
            </w:r>
            <w:r>
              <w:rPr/>
              <w:br/>
            </w:r>
            <w:r>
              <w:rPr>
                <w:rFonts w:ascii="Arial" w:hAnsi="Arial"/>
                <w:sz w:val="14"/>
              </w:rPr>
              <w:t>Electrical devices and switches</w:t>
            </w:r>
            <w:r>
              <w:rPr/>
              <w:br/>
            </w:r>
            <w:r>
              <w:rPr>
                <w:rFonts w:ascii="Arial" w:hAnsi="Arial"/>
                <w:sz w:val="14"/>
              </w:rPr>
              <w:t>Water controls</w:t>
            </w:r>
            <w:r>
              <w:rPr/>
              <w:br/>
            </w:r>
            <w:r>
              <w:rPr>
                <w:rFonts w:ascii="Arial" w:hAnsi="Arial"/>
                <w:sz w:val="14"/>
              </w:rPr>
              <w:t>Sensors, measurement, control and industrial components</w:t>
            </w:r>
          </w:p>
        </w:tc>
        <w:tc>
          <w:tcPr>
            <w:tcW w:w="360" w:type="dxa"/>
            <w:tcBorders/>
            <w:shd w:fill="FFFFFF" w:val="clear"/>
          </w:tcPr>
          <w:p>
            <w:pPr>
              <w:pStyle w:val="TableContents"/>
              <w:spacing w:before="0" w:after="283"/>
              <w:jc w:val="left"/>
              <w:rPr/>
            </w:pPr>
            <w:r>
              <w:rPr/>
              <w:t>      </w:t>
            </w:r>
          </w:p>
        </w:tc>
        <w:tc>
          <w:tcPr>
            <w:tcW w:w="2505" w:type="dxa"/>
            <w:tcBorders/>
            <w:shd w:fill="FFFFFF" w:val="clear"/>
          </w:tcPr>
          <w:p>
            <w:pPr>
              <w:pStyle w:val="TableContents"/>
              <w:spacing w:before="0" w:after="283"/>
              <w:jc w:val="left"/>
              <w:rPr/>
            </w:pPr>
            <w:r>
              <w:rPr>
                <w:rFonts w:ascii="Arial" w:hAnsi="Arial"/>
                <w:sz w:val="14"/>
              </w:rPr>
              <w:t>Original equipment manufacturers (OEMs)</w:t>
            </w:r>
            <w:r>
              <w:rPr/>
              <w:br/>
            </w:r>
            <w:r>
              <w:rPr>
                <w:rFonts w:ascii="Arial" w:hAnsi="Arial"/>
                <w:sz w:val="14"/>
              </w:rPr>
              <w:t>Distributors</w:t>
            </w:r>
            <w:r>
              <w:rPr/>
              <w:br/>
            </w:r>
            <w:r>
              <w:rPr>
                <w:rFonts w:ascii="Arial" w:hAnsi="Arial"/>
                <w:sz w:val="14"/>
              </w:rPr>
              <w:t>Contractors</w:t>
            </w:r>
            <w:r>
              <w:rPr/>
              <w:br/>
            </w:r>
            <w:r>
              <w:rPr>
                <w:rFonts w:ascii="Arial" w:hAnsi="Arial"/>
                <w:sz w:val="14"/>
              </w:rPr>
              <w:t>Retailers</w:t>
            </w:r>
            <w:r>
              <w:rPr/>
              <w:br/>
            </w:r>
            <w:r>
              <w:rPr>
                <w:rFonts w:ascii="Arial" w:hAnsi="Arial"/>
                <w:sz w:val="14"/>
              </w:rPr>
              <w:t>System integrators</w:t>
            </w:r>
            <w:r>
              <w:rPr/>
              <w:br/>
            </w:r>
            <w:r>
              <w:rPr>
                <w:rFonts w:ascii="Arial" w:hAnsi="Arial"/>
                <w:sz w:val="14"/>
              </w:rPr>
              <w:t>Commercial customers and homeowners served by the distributor, wholesaler, contractor, retail and utility channels</w:t>
            </w:r>
            <w:r>
              <w:rPr/>
              <w:br/>
            </w:r>
            <w:r>
              <w:rPr>
                <w:rFonts w:ascii="Arial" w:hAnsi="Arial"/>
                <w:sz w:val="14"/>
              </w:rPr>
              <w:t>Package and materials handling operations</w:t>
            </w:r>
            <w:r>
              <w:rPr/>
              <w:br/>
            </w:r>
            <w:r>
              <w:rPr>
                <w:rFonts w:ascii="Arial" w:hAnsi="Arial"/>
                <w:sz w:val="14"/>
              </w:rPr>
              <w:t>Appliance manufacturers</w:t>
            </w:r>
            <w:r>
              <w:rPr/>
              <w:br/>
            </w:r>
            <w:r>
              <w:rPr>
                <w:rFonts w:ascii="Arial" w:hAnsi="Arial"/>
                <w:sz w:val="14"/>
              </w:rPr>
              <w:t>Automotive companies</w:t>
            </w:r>
            <w:r>
              <w:rPr/>
              <w:br/>
            </w:r>
            <w:r>
              <w:rPr>
                <w:rFonts w:ascii="Arial" w:hAnsi="Arial"/>
                <w:sz w:val="14"/>
              </w:rPr>
              <w:t>Aviation companies</w:t>
            </w:r>
            <w:r>
              <w:rPr/>
              <w:br/>
            </w:r>
            <w:r>
              <w:rPr>
                <w:rFonts w:ascii="Arial" w:hAnsi="Arial"/>
                <w:sz w:val="14"/>
              </w:rPr>
              <w:t>Food and beverage processors</w:t>
            </w:r>
            <w:r>
              <w:rPr/>
              <w:br/>
            </w:r>
            <w:r>
              <w:rPr>
                <w:rFonts w:ascii="Arial" w:hAnsi="Arial"/>
                <w:sz w:val="14"/>
              </w:rPr>
              <w:t>Medical equipment</w:t>
            </w:r>
            <w:r>
              <w:rPr/>
              <w:br/>
            </w:r>
            <w:r>
              <w:rPr>
                <w:rFonts w:ascii="Arial" w:hAnsi="Arial"/>
                <w:sz w:val="14"/>
              </w:rPr>
              <w:t>Heat treat processors</w:t>
            </w:r>
            <w:r>
              <w:rPr/>
              <w:br/>
            </w:r>
            <w:r>
              <w:rPr>
                <w:rFonts w:ascii="Arial" w:hAnsi="Arial"/>
                <w:sz w:val="14"/>
              </w:rPr>
              <w:t>Computer and business equipment manufacturers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Bosch</w:t>
            </w:r>
            <w:r>
              <w:rPr/>
              <w:br/>
            </w:r>
            <w:r>
              <w:rPr>
                <w:rFonts w:ascii="Arial" w:hAnsi="Arial"/>
                <w:sz w:val="14"/>
              </w:rPr>
              <w:t>Cherry</w:t>
            </w:r>
            <w:r>
              <w:rPr/>
              <w:br/>
            </w:r>
            <w:r>
              <w:rPr>
                <w:rFonts w:ascii="Arial" w:hAnsi="Arial"/>
                <w:sz w:val="14"/>
              </w:rPr>
              <w:t>Danfoss</w:t>
            </w:r>
            <w:r>
              <w:rPr/>
              <w:br/>
            </w:r>
            <w:r>
              <w:rPr>
                <w:rFonts w:ascii="Arial" w:hAnsi="Arial"/>
                <w:sz w:val="14"/>
              </w:rPr>
              <w:t>Eaton</w:t>
            </w:r>
            <w:r>
              <w:rPr/>
              <w:br/>
            </w:r>
            <w:r>
              <w:rPr>
                <w:rFonts w:ascii="Arial" w:hAnsi="Arial"/>
                <w:sz w:val="14"/>
              </w:rPr>
              <w:t>Emerson</w:t>
            </w:r>
            <w:r>
              <w:rPr/>
              <w:br/>
            </w:r>
            <w:r>
              <w:rPr>
                <w:rFonts w:ascii="Arial" w:hAnsi="Arial"/>
                <w:sz w:val="14"/>
              </w:rPr>
              <w:t>Endress &amp; Hauser</w:t>
            </w:r>
            <w:r>
              <w:rPr/>
              <w:br/>
            </w:r>
            <w:r>
              <w:rPr>
                <w:rFonts w:ascii="Arial" w:hAnsi="Arial"/>
                <w:sz w:val="14"/>
              </w:rPr>
              <w:t>Holmes</w:t>
            </w:r>
            <w:r>
              <w:rPr/>
              <w:br/>
            </w:r>
            <w:r>
              <w:rPr>
                <w:rFonts w:ascii="Arial" w:hAnsi="Arial"/>
                <w:sz w:val="14"/>
              </w:rPr>
              <w:t>Invensys</w:t>
            </w:r>
            <w:r>
              <w:rPr/>
              <w:br/>
            </w:r>
            <w:r>
              <w:rPr>
                <w:rFonts w:ascii="Arial" w:hAnsi="Arial"/>
                <w:sz w:val="14"/>
              </w:rPr>
              <w:t>Johnson Controls</w:t>
            </w:r>
            <w:r>
              <w:rPr/>
              <w:br/>
            </w:r>
            <w:r>
              <w:rPr>
                <w:rFonts w:ascii="Arial" w:hAnsi="Arial"/>
                <w:sz w:val="14"/>
              </w:rPr>
              <w:t>Motorola</w:t>
            </w:r>
            <w:r>
              <w:rPr/>
              <w:br/>
            </w:r>
            <w:r>
              <w:rPr>
                <w:rFonts w:ascii="Arial" w:hAnsi="Arial"/>
                <w:sz w:val="14"/>
              </w:rPr>
              <w:t>Schneider</w:t>
            </w:r>
            <w:r>
              <w:rPr/>
              <w:br/>
            </w:r>
            <w:r>
              <w:rPr>
                <w:rFonts w:ascii="Arial" w:hAnsi="Arial"/>
                <w:sz w:val="14"/>
              </w:rPr>
              <w:t>Siemens</w:t>
            </w:r>
            <w:r>
              <w:rPr/>
              <w:br/>
            </w:r>
            <w:r>
              <w:rPr>
                <w:rFonts w:ascii="Arial" w:hAnsi="Arial"/>
                <w:sz w:val="14"/>
              </w:rPr>
              <w:t>United Technologies</w:t>
            </w:r>
            <w:r>
              <w:rPr/>
              <w:br/>
            </w:r>
            <w:r>
              <w:rPr>
                <w:rFonts w:ascii="Arial" w:hAnsi="Arial"/>
                <w:sz w:val="14"/>
              </w:rPr>
              <w:t>Yamatake</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8" w:type="dxa"/>
            <w:tcBorders/>
            <w:shd w:fill="FFFFFF" w:val="clear"/>
          </w:tcPr>
          <w:p>
            <w:pPr>
              <w:pStyle w:val="TableContents"/>
              <w:spacing w:before="0" w:after="283"/>
              <w:jc w:val="left"/>
              <w:rPr>
                <w:rFonts w:ascii="Arial" w:hAnsi="Arial"/>
                <w:sz w:val="14"/>
              </w:rPr>
            </w:pPr>
            <w:r>
              <w:rPr>
                <w:rFonts w:ascii="Arial" w:hAnsi="Arial"/>
                <w:sz w:val="14"/>
              </w:rPr>
              <w:t>Security and life safety products and services</w:t>
            </w:r>
          </w:p>
        </w:tc>
        <w:tc>
          <w:tcPr>
            <w:tcW w:w="360" w:type="dxa"/>
            <w:tcBorders/>
            <w:shd w:fill="FFFFFF" w:val="clear"/>
          </w:tcPr>
          <w:p>
            <w:pPr>
              <w:pStyle w:val="TableContents"/>
              <w:spacing w:before="0" w:after="283"/>
              <w:jc w:val="left"/>
              <w:rPr/>
            </w:pPr>
            <w:r>
              <w:rPr/>
              <w:t>      </w:t>
            </w:r>
          </w:p>
        </w:tc>
        <w:tc>
          <w:tcPr>
            <w:tcW w:w="2539" w:type="dxa"/>
            <w:tcBorders/>
            <w:shd w:fill="FFFFFF" w:val="clear"/>
          </w:tcPr>
          <w:p>
            <w:pPr>
              <w:pStyle w:val="TableContents"/>
              <w:spacing w:before="0" w:after="283"/>
              <w:jc w:val="left"/>
              <w:rPr/>
            </w:pPr>
            <w:r>
              <w:rPr>
                <w:rFonts w:ascii="Arial" w:hAnsi="Arial"/>
                <w:sz w:val="14"/>
              </w:rPr>
              <w:t>Security products and systems</w:t>
            </w:r>
            <w:r>
              <w:rPr/>
              <w:br/>
            </w:r>
            <w:r>
              <w:rPr>
                <w:rFonts w:ascii="Arial" w:hAnsi="Arial"/>
                <w:sz w:val="14"/>
              </w:rPr>
              <w:t>Fire products and systems</w:t>
            </w:r>
            <w:r>
              <w:rPr/>
              <w:br/>
            </w:r>
            <w:r>
              <w:rPr>
                <w:rFonts w:ascii="Arial" w:hAnsi="Arial"/>
                <w:sz w:val="14"/>
              </w:rPr>
              <w:t>Access controls and closed circuit television</w:t>
            </w:r>
            <w:r>
              <w:rPr/>
              <w:br/>
            </w:r>
            <w:r>
              <w:rPr>
                <w:rFonts w:ascii="Arial" w:hAnsi="Arial"/>
                <w:sz w:val="14"/>
              </w:rPr>
              <w:t>Home health monitoring and nurse call systems</w:t>
            </w:r>
            <w:r>
              <w:rPr/>
              <w:br/>
            </w:r>
            <w:r>
              <w:rPr>
                <w:rFonts w:ascii="Arial" w:hAnsi="Arial"/>
                <w:sz w:val="14"/>
              </w:rPr>
              <w:t>Gas detection products and systems</w:t>
            </w:r>
            <w:r>
              <w:rPr/>
              <w:br/>
            </w:r>
            <w:r>
              <w:rPr>
                <w:rFonts w:ascii="Arial" w:hAnsi="Arial"/>
                <w:sz w:val="14"/>
              </w:rPr>
              <w:t>Emergency lighting</w:t>
            </w:r>
          </w:p>
        </w:tc>
        <w:tc>
          <w:tcPr>
            <w:tcW w:w="360" w:type="dxa"/>
            <w:tcBorders/>
            <w:shd w:fill="FFFFFF" w:val="clear"/>
          </w:tcPr>
          <w:p>
            <w:pPr>
              <w:pStyle w:val="TableContents"/>
              <w:spacing w:before="0" w:after="283"/>
              <w:jc w:val="left"/>
              <w:rPr/>
            </w:pPr>
            <w:r>
              <w:rPr/>
              <w:t>      </w:t>
            </w:r>
          </w:p>
        </w:tc>
        <w:tc>
          <w:tcPr>
            <w:tcW w:w="2505" w:type="dxa"/>
            <w:tcBorders/>
            <w:shd w:fill="FFFFFF" w:val="clear"/>
          </w:tcPr>
          <w:p>
            <w:pPr>
              <w:pStyle w:val="TableContents"/>
              <w:spacing w:before="0" w:after="283"/>
              <w:jc w:val="left"/>
              <w:rPr/>
            </w:pPr>
            <w:r>
              <w:rPr>
                <w:rFonts w:ascii="Arial" w:hAnsi="Arial"/>
                <w:sz w:val="14"/>
              </w:rPr>
              <w:t>OEMs</w:t>
            </w:r>
            <w:r>
              <w:rPr/>
              <w:br/>
            </w:r>
            <w:r>
              <w:rPr>
                <w:rFonts w:ascii="Arial" w:hAnsi="Arial"/>
                <w:sz w:val="14"/>
              </w:rPr>
              <w:t>Retailers</w:t>
            </w:r>
            <w:r>
              <w:rPr/>
              <w:br/>
            </w:r>
            <w:r>
              <w:rPr>
                <w:rFonts w:ascii="Arial" w:hAnsi="Arial"/>
                <w:sz w:val="14"/>
              </w:rPr>
              <w:t>Distributors</w:t>
            </w:r>
            <w:r>
              <w:rPr/>
              <w:br/>
            </w:r>
            <w:r>
              <w:rPr>
                <w:rFonts w:ascii="Arial" w:hAnsi="Arial"/>
                <w:sz w:val="14"/>
              </w:rPr>
              <w:t>Commercial customers and homeowners served by the distributor, wholesaler, contractor, retail and utility channels</w:t>
            </w:r>
            <w:r>
              <w:rPr/>
              <w:br/>
            </w:r>
            <w:r>
              <w:rPr>
                <w:rFonts w:ascii="Arial" w:hAnsi="Arial"/>
                <w:sz w:val="14"/>
              </w:rPr>
              <w:t>Health care organizations</w:t>
            </w:r>
            <w:r>
              <w:rPr/>
              <w:br/>
            </w:r>
            <w:r>
              <w:rPr>
                <w:rFonts w:ascii="Arial" w:hAnsi="Arial"/>
                <w:sz w:val="14"/>
              </w:rPr>
              <w:t>Security monitoring service providers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Bosch</w:t>
            </w:r>
            <w:r>
              <w:rPr/>
              <w:br/>
            </w:r>
            <w:r>
              <w:rPr>
                <w:rFonts w:ascii="Arial" w:hAnsi="Arial"/>
                <w:sz w:val="14"/>
              </w:rPr>
              <w:t>Draeger</w:t>
            </w:r>
            <w:r>
              <w:rPr/>
              <w:br/>
            </w:r>
            <w:r>
              <w:rPr>
                <w:rFonts w:ascii="Arial" w:hAnsi="Arial"/>
                <w:sz w:val="14"/>
              </w:rPr>
              <w:t>GE</w:t>
            </w:r>
            <w:r>
              <w:rPr/>
              <w:br/>
            </w:r>
            <w:r>
              <w:rPr>
                <w:rFonts w:ascii="Arial" w:hAnsi="Arial"/>
                <w:sz w:val="14"/>
              </w:rPr>
              <w:t>Mine Safety Appliances</w:t>
            </w:r>
            <w:r>
              <w:rPr/>
              <w:br/>
            </w:r>
            <w:r>
              <w:rPr>
                <w:rFonts w:ascii="Arial" w:hAnsi="Arial"/>
                <w:sz w:val="14"/>
              </w:rPr>
              <w:t>Pelco</w:t>
            </w:r>
            <w:r>
              <w:rPr/>
              <w:br/>
            </w:r>
            <w:r>
              <w:rPr>
                <w:rFonts w:ascii="Arial" w:hAnsi="Arial"/>
                <w:sz w:val="14"/>
              </w:rPr>
              <w:t>Phillips</w:t>
            </w:r>
            <w:r>
              <w:rPr/>
              <w:br/>
            </w:r>
            <w:r>
              <w:rPr>
                <w:rFonts w:ascii="Arial" w:hAnsi="Arial"/>
                <w:sz w:val="14"/>
              </w:rPr>
              <w:t>Riken Keiki</w:t>
            </w:r>
            <w:r>
              <w:rPr/>
              <w:br/>
            </w:r>
            <w:r>
              <w:rPr>
                <w:rFonts w:ascii="Arial" w:hAnsi="Arial"/>
                <w:sz w:val="14"/>
              </w:rPr>
              <w:t>Siemens</w:t>
            </w:r>
            <w:r>
              <w:rPr/>
              <w:br/>
            </w:r>
            <w:r>
              <w:rPr>
                <w:rFonts w:ascii="Arial" w:hAnsi="Arial"/>
                <w:sz w:val="14"/>
              </w:rPr>
              <w:t>SPX</w:t>
            </w:r>
            <w:r>
              <w:rPr/>
              <w:br/>
            </w:r>
            <w:r>
              <w:rPr>
                <w:rFonts w:ascii="Arial" w:hAnsi="Arial"/>
                <w:sz w:val="14"/>
              </w:rPr>
              <w:t>Tyco</w:t>
            </w:r>
            <w:r>
              <w:rPr/>
              <w:br/>
            </w:r>
            <w:r>
              <w:rPr>
                <w:rFonts w:ascii="Arial" w:hAnsi="Arial"/>
                <w:sz w:val="14"/>
              </w:rPr>
              <w:t>United Technologies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138" w:type="dxa"/>
            <w:tcBorders/>
            <w:shd w:fill="FFFFFF" w:val="clear"/>
          </w:tcPr>
          <w:p>
            <w:pPr>
              <w:pStyle w:val="TableContents"/>
              <w:spacing w:before="0" w:after="283"/>
              <w:jc w:val="left"/>
              <w:rPr>
                <w:rFonts w:ascii="Arial" w:hAnsi="Arial"/>
                <w:sz w:val="14"/>
              </w:rPr>
            </w:pPr>
            <w:r>
              <w:rPr>
                <w:rFonts w:ascii="Arial" w:hAnsi="Arial"/>
                <w:sz w:val="14"/>
              </w:rPr>
              <w:t>Process automation products and solutions</w:t>
            </w:r>
          </w:p>
        </w:tc>
        <w:tc>
          <w:tcPr>
            <w:tcW w:w="360" w:type="dxa"/>
            <w:tcBorders/>
            <w:shd w:fill="FFFFFF" w:val="clear"/>
          </w:tcPr>
          <w:p>
            <w:pPr>
              <w:pStyle w:val="TableContents"/>
              <w:spacing w:before="0" w:after="283"/>
              <w:jc w:val="left"/>
              <w:rPr/>
            </w:pPr>
            <w:r>
              <w:rPr/>
              <w:t>      </w:t>
            </w:r>
          </w:p>
        </w:tc>
        <w:tc>
          <w:tcPr>
            <w:tcW w:w="2539" w:type="dxa"/>
            <w:tcBorders/>
            <w:shd w:fill="FFFFFF" w:val="clear"/>
          </w:tcPr>
          <w:p>
            <w:pPr>
              <w:pStyle w:val="TableContents"/>
              <w:spacing w:before="0" w:after="283"/>
              <w:jc w:val="left"/>
              <w:rPr/>
            </w:pPr>
            <w:r>
              <w:rPr>
                <w:rFonts w:ascii="Arial" w:hAnsi="Arial"/>
                <w:sz w:val="14"/>
              </w:rPr>
              <w:t>Advanced control software and industrial automation systems for control and monitoring of continuous, batch and hybrid operations</w:t>
            </w:r>
            <w:r>
              <w:rPr/>
              <w:br/>
            </w:r>
            <w:r>
              <w:rPr>
                <w:rFonts w:ascii="Arial" w:hAnsi="Arial"/>
                <w:sz w:val="14"/>
              </w:rPr>
              <w:t>Production management software</w:t>
            </w:r>
            <w:r>
              <w:rPr/>
              <w:br/>
            </w:r>
            <w:r>
              <w:rPr>
                <w:rFonts w:ascii="Arial" w:hAnsi="Arial"/>
                <w:sz w:val="14"/>
              </w:rPr>
              <w:t>Communications systems for Industrial Control equipment and systems</w:t>
            </w:r>
            <w:r>
              <w:rPr/>
              <w:br/>
            </w:r>
            <w:r>
              <w:rPr>
                <w:rFonts w:ascii="Arial" w:hAnsi="Arial"/>
                <w:sz w:val="14"/>
              </w:rPr>
              <w:t>Consulting, networking engineering and installation</w:t>
            </w:r>
            <w:r>
              <w:rPr/>
              <w:br/>
            </w:r>
            <w:r>
              <w:rPr>
                <w:rFonts w:ascii="Arial" w:hAnsi="Arial"/>
                <w:sz w:val="14"/>
              </w:rPr>
              <w:t>Process control instrumentation</w:t>
            </w:r>
            <w:r>
              <w:rPr/>
              <w:br/>
            </w:r>
            <w:r>
              <w:rPr>
                <w:rFonts w:ascii="Arial" w:hAnsi="Arial"/>
                <w:sz w:val="14"/>
              </w:rPr>
              <w:t>Field instrumentation</w:t>
            </w:r>
            <w:r>
              <w:rPr/>
              <w:br/>
            </w:r>
            <w:r>
              <w:rPr>
                <w:rFonts w:ascii="Arial" w:hAnsi="Arial"/>
                <w:sz w:val="14"/>
              </w:rPr>
              <w:t>Analytical instrumentation</w:t>
            </w:r>
            <w:r>
              <w:rPr/>
              <w:br/>
            </w:r>
            <w:r>
              <w:rPr>
                <w:rFonts w:ascii="Arial" w:hAnsi="Arial"/>
                <w:sz w:val="14"/>
              </w:rPr>
              <w:t>Recorders</w:t>
            </w:r>
            <w:r>
              <w:rPr/>
              <w:br/>
            </w:r>
            <w:r>
              <w:rPr>
                <w:rFonts w:ascii="Arial" w:hAnsi="Arial"/>
                <w:sz w:val="14"/>
              </w:rPr>
              <w:t>Controllers</w:t>
            </w:r>
            <w:r>
              <w:rPr/>
              <w:br/>
            </w:r>
            <w:r>
              <w:rPr>
                <w:rFonts w:ascii="Arial" w:hAnsi="Arial"/>
                <w:sz w:val="14"/>
              </w:rPr>
              <w:t>Critical environment control solutions and services</w:t>
            </w:r>
            <w:r>
              <w:rPr/>
              <w:br/>
            </w:r>
            <w:r>
              <w:rPr>
                <w:rFonts w:ascii="Arial" w:hAnsi="Arial"/>
                <w:sz w:val="14"/>
              </w:rPr>
              <w:t>Aftermarket maintenance, repair and upgrade</w:t>
            </w:r>
          </w:p>
        </w:tc>
        <w:tc>
          <w:tcPr>
            <w:tcW w:w="360" w:type="dxa"/>
            <w:tcBorders/>
            <w:shd w:fill="FFFFFF" w:val="clear"/>
          </w:tcPr>
          <w:p>
            <w:pPr>
              <w:pStyle w:val="TableContents"/>
              <w:spacing w:before="0" w:after="283"/>
              <w:jc w:val="left"/>
              <w:rPr/>
            </w:pPr>
            <w:r>
              <w:rPr/>
              <w:t>      </w:t>
            </w:r>
          </w:p>
        </w:tc>
        <w:tc>
          <w:tcPr>
            <w:tcW w:w="2505" w:type="dxa"/>
            <w:tcBorders/>
            <w:shd w:fill="FFFFFF" w:val="clear"/>
          </w:tcPr>
          <w:p>
            <w:pPr>
              <w:pStyle w:val="TableContents"/>
              <w:spacing w:before="0" w:after="283"/>
              <w:jc w:val="left"/>
              <w:rPr/>
            </w:pPr>
            <w:r>
              <w:rPr>
                <w:rFonts w:ascii="Arial" w:hAnsi="Arial"/>
                <w:sz w:val="14"/>
              </w:rPr>
              <w:t>Refining and petrochemical companies</w:t>
            </w:r>
            <w:r>
              <w:rPr/>
              <w:br/>
            </w:r>
            <w:r>
              <w:rPr>
                <w:rFonts w:ascii="Arial" w:hAnsi="Arial"/>
                <w:sz w:val="14"/>
              </w:rPr>
              <w:t>Chemical manufacturers</w:t>
            </w:r>
            <w:r>
              <w:rPr/>
              <w:br/>
            </w:r>
            <w:r>
              <w:rPr>
                <w:rFonts w:ascii="Arial" w:hAnsi="Arial"/>
                <w:sz w:val="14"/>
              </w:rPr>
              <w:t>Oil and gas producers</w:t>
            </w:r>
            <w:r>
              <w:rPr/>
              <w:br/>
            </w:r>
            <w:r>
              <w:rPr>
                <w:rFonts w:ascii="Arial" w:hAnsi="Arial"/>
                <w:sz w:val="14"/>
              </w:rPr>
              <w:t>Food and beverage processors</w:t>
            </w:r>
            <w:r>
              <w:rPr/>
              <w:br/>
            </w:r>
            <w:r>
              <w:rPr>
                <w:rFonts w:ascii="Arial" w:hAnsi="Arial"/>
                <w:sz w:val="14"/>
              </w:rPr>
              <w:t>Pharmaceutical companies</w:t>
            </w:r>
            <w:r>
              <w:rPr/>
              <w:br/>
            </w:r>
            <w:r>
              <w:rPr>
                <w:rFonts w:ascii="Arial" w:hAnsi="Arial"/>
                <w:sz w:val="14"/>
              </w:rPr>
              <w:t>Utilities</w:t>
            </w:r>
            <w:r>
              <w:rPr/>
              <w:br/>
            </w:r>
            <w:r>
              <w:rPr>
                <w:rFonts w:ascii="Arial" w:hAnsi="Arial"/>
                <w:sz w:val="14"/>
              </w:rPr>
              <w:t>Film and coated producers</w:t>
            </w:r>
            <w:r>
              <w:rPr/>
              <w:br/>
            </w:r>
            <w:r>
              <w:rPr>
                <w:rFonts w:ascii="Arial" w:hAnsi="Arial"/>
                <w:sz w:val="14"/>
              </w:rPr>
              <w:t>Pulp and paper industry</w:t>
            </w:r>
            <w:r>
              <w:rPr/>
              <w:br/>
            </w:r>
            <w:r>
              <w:rPr>
                <w:rFonts w:ascii="Arial" w:hAnsi="Arial"/>
                <w:sz w:val="14"/>
              </w:rPr>
              <w:t>Continuous web producers in the paper, plastics, metals, rubber, non-wovens and printing industries</w:t>
            </w:r>
            <w:r>
              <w:rPr/>
              <w:br/>
            </w:r>
            <w:r>
              <w:rPr>
                <w:rFonts w:ascii="Arial" w:hAnsi="Arial"/>
                <w:sz w:val="14"/>
              </w:rPr>
              <w:t>Mining and mineral industries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ABB</w:t>
            </w:r>
            <w:r>
              <w:rPr/>
              <w:br/>
            </w:r>
            <w:r>
              <w:rPr>
                <w:rFonts w:ascii="Arial" w:hAnsi="Arial"/>
                <w:sz w:val="14"/>
              </w:rPr>
              <w:t>AspenTech</w:t>
            </w:r>
            <w:r>
              <w:rPr/>
              <w:br/>
            </w:r>
            <w:r>
              <w:rPr>
                <w:rFonts w:ascii="Arial" w:hAnsi="Arial"/>
                <w:sz w:val="14"/>
              </w:rPr>
              <w:t>Emerson</w:t>
            </w:r>
            <w:r>
              <w:rPr/>
              <w:br/>
            </w:r>
            <w:r>
              <w:rPr>
                <w:rFonts w:ascii="Arial" w:hAnsi="Arial"/>
                <w:sz w:val="14"/>
              </w:rPr>
              <w:t>Invensys</w:t>
            </w:r>
            <w:r>
              <w:rPr/>
              <w:br/>
            </w:r>
            <w:r>
              <w:rPr>
                <w:rFonts w:ascii="Arial" w:hAnsi="Arial"/>
                <w:sz w:val="14"/>
              </w:rPr>
              <w:t>Siemens</w:t>
            </w:r>
            <w:r>
              <w:rPr/>
              <w:br/>
            </w:r>
            <w:r>
              <w:rPr>
                <w:rFonts w:ascii="Arial" w:hAnsi="Arial"/>
                <w:sz w:val="14"/>
              </w:rPr>
              <w:t>Yokogawa</w:t>
            </w:r>
          </w:p>
        </w:tc>
      </w:tr>
      <w:tr>
        <w:trPr/>
        <w:tc>
          <w:tcPr>
            <w:tcW w:w="10205" w:type="dxa"/>
            <w:gridSpan w:val="7"/>
            <w:tcBorders/>
            <w:shd w:fill="FFFFFF" w:val="clear"/>
          </w:tcPr>
          <w:p>
            <w:pPr>
              <w:pStyle w:val="HorizontalLine"/>
              <w:pBdr>
                <w:bottom w:val="single" w:sz="6" w:space="0" w:color="000000"/>
              </w:pBdr>
              <w:spacing w:before="0" w:after="283"/>
              <w:rPr/>
            </w:pPr>
            <w:r>
              <w:rPr/>
            </w:r>
          </w:p>
        </w:tc>
      </w:tr>
    </w:tbl>
    <w:p>
      <w:pPr>
        <w:pStyle w:val="TextBody"/>
        <w:jc w:val="center"/>
        <w:rPr>
          <w:rFonts w:ascii="Arial" w:hAnsi="Arial"/>
        </w:rPr>
      </w:pPr>
      <w:r>
        <w:rPr>
          <w:rFonts w:ascii="Arial" w:hAnsi="Arial"/>
        </w:rPr>
        <w:t>4</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2798"/>
        <w:gridCol w:w="360"/>
        <w:gridCol w:w="2211"/>
        <w:gridCol w:w="360"/>
        <w:gridCol w:w="2173"/>
        <w:gridCol w:w="360"/>
        <w:gridCol w:w="1943"/>
      </w:tblGrid>
      <w:tr>
        <w:trPr/>
        <w:tc>
          <w:tcPr>
            <w:tcW w:w="2798" w:type="dxa"/>
            <w:tcBorders/>
            <w:shd w:fill="FFFFFF" w:val="clear"/>
            <w:vAlign w:val="bottom"/>
          </w:tcPr>
          <w:p>
            <w:pPr>
              <w:pStyle w:val="TableContents"/>
              <w:pageBreakBefore/>
              <w:spacing w:before="0" w:after="0"/>
              <w:jc w:val="left"/>
              <w:rPr>
                <w:rFonts w:ascii="Arial" w:hAnsi="Arial"/>
                <w:b/>
              </w:rPr>
            </w:pPr>
            <w:r>
              <w:rPr>
                <w:rFonts w:ascii="Arial" w:hAnsi="Arial"/>
                <w:b/>
              </w:rPr>
              <w:t>Product/Service Classes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211" w:type="dxa"/>
            <w:tcBorders/>
            <w:shd w:fill="FFFFFF" w:val="clear"/>
            <w:vAlign w:val="bottom"/>
          </w:tcPr>
          <w:p>
            <w:pPr>
              <w:pStyle w:val="TableContents"/>
              <w:spacing w:before="0" w:after="0"/>
              <w:jc w:val="left"/>
              <w:rPr>
                <w:rFonts w:ascii="Arial" w:hAnsi="Arial"/>
                <w:b/>
              </w:rPr>
            </w:pPr>
            <w:r>
              <w:rPr>
                <w:rFonts w:ascii="Arial" w:hAnsi="Arial"/>
                <w:b/>
              </w:rPr>
              <w:t>Major Products/Services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173" w:type="dxa"/>
            <w:tcBorders/>
            <w:shd w:fill="FFFFFF" w:val="clear"/>
            <w:vAlign w:val="bottom"/>
          </w:tcPr>
          <w:p>
            <w:pPr>
              <w:pStyle w:val="TableContents"/>
              <w:spacing w:before="0" w:after="0"/>
              <w:jc w:val="left"/>
              <w:rPr>
                <w:rFonts w:ascii="Arial" w:hAnsi="Arial"/>
                <w:b/>
              </w:rPr>
            </w:pPr>
            <w:r>
              <w:rPr>
                <w:rFonts w:ascii="Arial" w:hAnsi="Arial"/>
                <w:b/>
              </w:rPr>
              <w:t>Major Customers/Uses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943" w:type="dxa"/>
            <w:tcBorders/>
            <w:shd w:fill="FFFFFF" w:val="clear"/>
            <w:vAlign w:val="bottom"/>
          </w:tcPr>
          <w:p>
            <w:pPr>
              <w:pStyle w:val="TableContents"/>
              <w:spacing w:before="0" w:after="0"/>
              <w:jc w:val="left"/>
              <w:rPr>
                <w:rFonts w:ascii="Arial" w:hAnsi="Arial"/>
                <w:b/>
              </w:rPr>
            </w:pPr>
            <w:r>
              <w:rPr>
                <w:rFonts w:ascii="Arial" w:hAnsi="Arial"/>
                <w:b/>
              </w:rPr>
              <w:t>Key Competitors</w:t>
            </w:r>
          </w:p>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Building solutions and services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HVAC and building control solutions and services</w:t>
            </w:r>
            <w:r>
              <w:rPr/>
              <w:br/>
            </w:r>
            <w:r>
              <w:rPr>
                <w:rFonts w:ascii="Arial" w:hAnsi="Arial"/>
                <w:sz w:val="14"/>
              </w:rPr>
              <w:t>Energy management solutions and services</w:t>
            </w:r>
            <w:r>
              <w:rPr/>
              <w:br/>
            </w:r>
            <w:r>
              <w:rPr>
                <w:rFonts w:ascii="Arial" w:hAnsi="Arial"/>
                <w:sz w:val="14"/>
              </w:rPr>
              <w:t>Security and asset management solutions and services</w:t>
            </w:r>
            <w:r>
              <w:rPr/>
              <w:br/>
            </w:r>
            <w:r>
              <w:rPr>
                <w:rFonts w:ascii="Arial" w:hAnsi="Arial"/>
                <w:sz w:val="14"/>
              </w:rPr>
              <w:t>Enterprise building integration solutions</w:t>
            </w:r>
            <w:r>
              <w:rPr/>
              <w:br/>
            </w:r>
            <w:r>
              <w:rPr>
                <w:rFonts w:ascii="Arial" w:hAnsi="Arial"/>
                <w:sz w:val="14"/>
              </w:rPr>
              <w:t>Building information services</w:t>
            </w:r>
            <w:r>
              <w:rPr/>
              <w:br/>
            </w:r>
            <w:r>
              <w:rPr>
                <w:rFonts w:ascii="Arial" w:hAnsi="Arial"/>
                <w:sz w:val="14"/>
              </w:rPr>
              <w:t>Airport lighting and systems, visual docking guidance systems</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Building managers and owners</w:t>
            </w:r>
            <w:r>
              <w:rPr/>
              <w:br/>
            </w:r>
            <w:r>
              <w:rPr>
                <w:rFonts w:ascii="Arial" w:hAnsi="Arial"/>
                <w:sz w:val="14"/>
              </w:rPr>
              <w:t>Contractors, architects and developers</w:t>
            </w:r>
            <w:r>
              <w:rPr/>
              <w:br/>
            </w:r>
            <w:r>
              <w:rPr>
                <w:rFonts w:ascii="Arial" w:hAnsi="Arial"/>
                <w:sz w:val="14"/>
              </w:rPr>
              <w:t>Consulting engineers</w:t>
            </w:r>
            <w:r>
              <w:rPr/>
              <w:br/>
            </w:r>
            <w:r>
              <w:rPr>
                <w:rFonts w:ascii="Arial" w:hAnsi="Arial"/>
                <w:sz w:val="14"/>
              </w:rPr>
              <w:t>Security directors</w:t>
            </w:r>
            <w:r>
              <w:rPr/>
              <w:br/>
            </w:r>
            <w:r>
              <w:rPr>
                <w:rFonts w:ascii="Arial" w:hAnsi="Arial"/>
                <w:sz w:val="14"/>
              </w:rPr>
              <w:t>Plant managers</w:t>
            </w:r>
            <w:r>
              <w:rPr/>
              <w:br/>
            </w:r>
            <w:r>
              <w:rPr>
                <w:rFonts w:ascii="Arial" w:hAnsi="Arial"/>
                <w:sz w:val="14"/>
              </w:rPr>
              <w:t>Utilities</w:t>
            </w:r>
            <w:r>
              <w:rPr/>
              <w:br/>
            </w:r>
            <w:r>
              <w:rPr>
                <w:rFonts w:ascii="Arial" w:hAnsi="Arial"/>
                <w:sz w:val="14"/>
              </w:rPr>
              <w:t>Large global corporations</w:t>
            </w:r>
            <w:r>
              <w:rPr/>
              <w:br/>
            </w:r>
            <w:r>
              <w:rPr>
                <w:rFonts w:ascii="Arial" w:hAnsi="Arial"/>
                <w:sz w:val="14"/>
              </w:rPr>
              <w:t>Public school systems</w:t>
            </w:r>
            <w:r>
              <w:rPr/>
              <w:br/>
            </w:r>
            <w:r>
              <w:rPr>
                <w:rFonts w:ascii="Arial" w:hAnsi="Arial"/>
                <w:sz w:val="14"/>
              </w:rPr>
              <w:t>Universities</w:t>
            </w:r>
            <w:r>
              <w:rPr/>
              <w:br/>
            </w:r>
            <w:r>
              <w:rPr>
                <w:rFonts w:ascii="Arial" w:hAnsi="Arial"/>
                <w:sz w:val="14"/>
              </w:rPr>
              <w:t>Local governments</w:t>
            </w:r>
            <w:r>
              <w:rPr/>
              <w:br/>
            </w:r>
            <w:r>
              <w:rPr>
                <w:rFonts w:ascii="Arial" w:hAnsi="Arial"/>
                <w:sz w:val="14"/>
              </w:rPr>
              <w:t>Public housing agencies</w:t>
            </w:r>
            <w:r>
              <w:rPr/>
              <w:br/>
            </w:r>
            <w:r>
              <w:rPr>
                <w:rFonts w:ascii="Arial" w:hAnsi="Arial"/>
                <w:sz w:val="14"/>
              </w:rPr>
              <w:t>Airports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Ameresco</w:t>
            </w:r>
            <w:r>
              <w:rPr/>
              <w:br/>
            </w:r>
            <w:r>
              <w:rPr>
                <w:rFonts w:ascii="Arial" w:hAnsi="Arial"/>
                <w:sz w:val="14"/>
              </w:rPr>
              <w:t>GroupMac</w:t>
            </w:r>
            <w:r>
              <w:rPr/>
              <w:br/>
            </w:r>
            <w:r>
              <w:rPr>
                <w:rFonts w:ascii="Arial" w:hAnsi="Arial"/>
                <w:sz w:val="14"/>
              </w:rPr>
              <w:t>Ingersoll Rand</w:t>
            </w:r>
            <w:r>
              <w:rPr/>
              <w:br/>
            </w:r>
            <w:r>
              <w:rPr>
                <w:rFonts w:ascii="Arial" w:hAnsi="Arial"/>
                <w:sz w:val="14"/>
              </w:rPr>
              <w:t xml:space="preserve">Invensys </w:t>
            </w:r>
            <w:r>
              <w:rPr/>
              <w:br/>
            </w:r>
            <w:r>
              <w:rPr>
                <w:rFonts w:ascii="Arial" w:hAnsi="Arial"/>
                <w:sz w:val="14"/>
              </w:rPr>
              <w:t>Johnson Controls</w:t>
            </w:r>
            <w:r>
              <w:rPr/>
              <w:br/>
            </w:r>
            <w:r>
              <w:rPr>
                <w:rFonts w:ascii="Arial" w:hAnsi="Arial"/>
                <w:sz w:val="14"/>
              </w:rPr>
              <w:t xml:space="preserve">Local contractors and utilities </w:t>
            </w:r>
            <w:r>
              <w:rPr/>
              <w:br/>
            </w:r>
            <w:r>
              <w:rPr>
                <w:rFonts w:ascii="Arial" w:hAnsi="Arial"/>
                <w:sz w:val="14"/>
              </w:rPr>
              <w:t>Safegate</w:t>
            </w:r>
            <w:r>
              <w:rPr/>
              <w:br/>
            </w:r>
            <w:r>
              <w:rPr>
                <w:rFonts w:ascii="Arial" w:hAnsi="Arial"/>
                <w:sz w:val="14"/>
              </w:rPr>
              <w:t xml:space="preserve">Schneider </w:t>
            </w:r>
            <w:r>
              <w:rPr/>
              <w:br/>
            </w:r>
            <w:r>
              <w:rPr>
                <w:rFonts w:ascii="Arial" w:hAnsi="Arial"/>
                <w:sz w:val="14"/>
              </w:rPr>
              <w:t>Siemens</w:t>
            </w:r>
            <w:r>
              <w:rPr/>
              <w:br/>
            </w:r>
            <w:r>
              <w:rPr>
                <w:rFonts w:ascii="Arial" w:hAnsi="Arial"/>
                <w:sz w:val="14"/>
              </w:rPr>
              <w:t xml:space="preserve">Trane </w:t>
            </w:r>
            <w:r>
              <w:rPr/>
              <w:br/>
            </w:r>
            <w:r>
              <w:rPr>
                <w:rFonts w:ascii="Arial" w:hAnsi="Arial"/>
                <w:sz w:val="14"/>
              </w:rPr>
              <w:t>Thorn</w:t>
            </w:r>
            <w:r>
              <w:rPr/>
              <w:br/>
            </w:r>
            <w:r>
              <w:rPr>
                <w:rFonts w:ascii="Arial" w:hAnsi="Arial"/>
                <w:sz w:val="14"/>
              </w:rPr>
              <w:t>United Technologies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pPr>
            <w:r>
              <w:rPr/>
              <w:br/>
            </w:r>
            <w:r>
              <w:rPr>
                <w:rFonts w:ascii="Arial" w:hAnsi="Arial"/>
                <w:b/>
              </w:rPr>
              <w:t>Specialty Materials</w:t>
            </w:r>
          </w:p>
        </w:tc>
        <w:tc>
          <w:tcPr>
            <w:tcW w:w="360" w:type="dxa"/>
            <w:tcBorders/>
            <w:shd w:fill="FFFFFF" w:val="clear"/>
            <w:vAlign w:val="center"/>
          </w:tcPr>
          <w:p>
            <w:pPr>
              <w:pStyle w:val="TableContents"/>
              <w:spacing w:before="0" w:after="283"/>
              <w:rPr/>
            </w:pPr>
            <w:r>
              <w:rPr/>
              <w:t> </w:t>
            </w:r>
          </w:p>
        </w:tc>
        <w:tc>
          <w:tcPr>
            <w:tcW w:w="2211"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2173"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943" w:type="dxa"/>
            <w:tcBorders/>
            <w:shd w:fill="FFFFFF" w:val="clear"/>
            <w:vAlign w:val="center"/>
          </w:tcPr>
          <w:p>
            <w:pPr>
              <w:pStyle w:val="TableContents"/>
              <w:spacing w:before="0" w:after="283"/>
              <w:rPr/>
            </w:pPr>
            <w:r>
              <w:rPr/>
              <w:t> </w:t>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Resins &amp; chemicals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Nylon polymer</w:t>
            </w:r>
            <w:r>
              <w:rPr/>
              <w:br/>
            </w:r>
            <w:r>
              <w:rPr>
                <w:rFonts w:ascii="Arial" w:hAnsi="Arial"/>
                <w:sz w:val="14"/>
              </w:rPr>
              <w:t>Caprolactam</w:t>
            </w:r>
            <w:r>
              <w:rPr/>
              <w:br/>
            </w:r>
            <w:r>
              <w:rPr>
                <w:rFonts w:ascii="Arial" w:hAnsi="Arial"/>
                <w:sz w:val="14"/>
              </w:rPr>
              <w:t xml:space="preserve">Ammonium sulfate </w:t>
            </w:r>
            <w:r>
              <w:rPr/>
              <w:br/>
            </w:r>
            <w:r>
              <w:rPr>
                <w:rFonts w:ascii="Arial" w:hAnsi="Arial"/>
                <w:sz w:val="14"/>
              </w:rPr>
              <w:t>Cyclohexanone</w:t>
            </w:r>
            <w:r>
              <w:rPr/>
              <w:br/>
            </w:r>
            <w:r>
              <w:rPr>
                <w:rFonts w:ascii="Arial" w:hAnsi="Arial"/>
                <w:sz w:val="14"/>
              </w:rPr>
              <w:t>Cyclophexanol (KA Oil)</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Nylon for carpet fibers, engineered resins and packaging</w:t>
            </w:r>
            <w:r>
              <w:rPr/>
              <w:br/>
            </w:r>
            <w:r>
              <w:rPr>
                <w:rFonts w:ascii="Arial" w:hAnsi="Arial"/>
                <w:sz w:val="14"/>
              </w:rPr>
              <w:t>Fertilizer ingredients</w:t>
            </w:r>
            <w:r>
              <w:rPr/>
              <w:br/>
            </w:r>
            <w:r>
              <w:rPr>
                <w:rFonts w:ascii="Arial" w:hAnsi="Arial"/>
                <w:sz w:val="14"/>
              </w:rPr>
              <w:t>Specialty chemicals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BASF</w:t>
            </w:r>
            <w:r>
              <w:rPr/>
              <w:br/>
            </w:r>
            <w:r>
              <w:rPr>
                <w:rFonts w:ascii="Arial" w:hAnsi="Arial"/>
                <w:sz w:val="14"/>
              </w:rPr>
              <w:t>DSM</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Hydrofluoric acid (HF)</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rFonts w:ascii="Arial" w:hAnsi="Arial"/>
                <w:sz w:val="14"/>
              </w:rPr>
            </w:pPr>
            <w:r>
              <w:rPr>
                <w:rFonts w:ascii="Arial" w:hAnsi="Arial"/>
                <w:sz w:val="14"/>
              </w:rPr>
              <w:t>Anhydrous and aqueous hydrofluoric acid</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Fluorocarbons</w:t>
            </w:r>
            <w:r>
              <w:rPr/>
              <w:br/>
            </w:r>
            <w:r>
              <w:rPr>
                <w:rFonts w:ascii="Arial" w:hAnsi="Arial"/>
                <w:sz w:val="14"/>
              </w:rPr>
              <w:t>Steel</w:t>
            </w:r>
            <w:r>
              <w:rPr/>
              <w:br/>
            </w:r>
            <w:r>
              <w:rPr>
                <w:rFonts w:ascii="Arial" w:hAnsi="Arial"/>
                <w:sz w:val="14"/>
              </w:rPr>
              <w:t>Oil refining</w:t>
            </w:r>
            <w:r>
              <w:rPr/>
              <w:br/>
            </w:r>
            <w:r>
              <w:rPr>
                <w:rFonts w:ascii="Arial" w:hAnsi="Arial"/>
                <w:sz w:val="14"/>
              </w:rPr>
              <w:t>Chemical intermediates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Ashland</w:t>
            </w:r>
            <w:r>
              <w:rPr/>
              <w:br/>
            </w:r>
            <w:r>
              <w:rPr>
                <w:rFonts w:ascii="Arial" w:hAnsi="Arial"/>
                <w:sz w:val="14"/>
              </w:rPr>
              <w:t>E. Merck</w:t>
            </w:r>
            <w:r>
              <w:rPr/>
              <w:br/>
            </w:r>
            <w:r>
              <w:rPr>
                <w:rFonts w:ascii="Arial" w:hAnsi="Arial"/>
                <w:sz w:val="14"/>
              </w:rPr>
              <w:t>Hashimoto Norfluor</w:t>
            </w:r>
            <w:r>
              <w:rPr/>
              <w:br/>
            </w:r>
            <w:r>
              <w:rPr>
                <w:rFonts w:ascii="Arial" w:hAnsi="Arial"/>
                <w:sz w:val="14"/>
              </w:rPr>
              <w:t>Quimica Fluor</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Fluorocarbons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Genetron®</w:t>
            </w:r>
            <w:r>
              <w:rPr/>
              <w:t xml:space="preserve"> </w:t>
            </w:r>
            <w:r>
              <w:rPr>
                <w:rFonts w:ascii="Arial" w:hAnsi="Arial"/>
                <w:sz w:val="14"/>
              </w:rPr>
              <w:t>refrigerants, aerosol and insulation foam blowing agents</w:t>
            </w:r>
            <w:r>
              <w:rPr/>
              <w:br/>
            </w:r>
            <w:r>
              <w:rPr>
                <w:rFonts w:ascii="Arial" w:hAnsi="Arial"/>
                <w:sz w:val="14"/>
              </w:rPr>
              <w:t>Genesolv®</w:t>
            </w:r>
            <w:r>
              <w:rPr/>
              <w:t xml:space="preserve"> </w:t>
            </w:r>
            <w:r>
              <w:rPr>
                <w:rFonts w:ascii="Arial" w:hAnsi="Arial"/>
                <w:sz w:val="14"/>
              </w:rPr>
              <w:t>solvents</w:t>
            </w:r>
            <w:r>
              <w:rPr/>
              <w:br/>
            </w:r>
            <w:r>
              <w:rPr>
                <w:rFonts w:ascii="Arial" w:hAnsi="Arial"/>
                <w:sz w:val="14"/>
              </w:rPr>
              <w:t>Oxyfume sterilant gases</w:t>
            </w:r>
            <w:r>
              <w:rPr/>
              <w:br/>
            </w:r>
            <w:r>
              <w:rPr>
                <w:rFonts w:ascii="Arial" w:hAnsi="Arial"/>
                <w:sz w:val="14"/>
              </w:rPr>
              <w:t>Ennovate 3000 blowing agent for refrigeration insulation</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Refrigeration</w:t>
            </w:r>
            <w:r>
              <w:rPr/>
              <w:br/>
            </w:r>
            <w:r>
              <w:rPr>
                <w:rFonts w:ascii="Arial" w:hAnsi="Arial"/>
                <w:sz w:val="14"/>
              </w:rPr>
              <w:t>Air conditioning</w:t>
            </w:r>
            <w:r>
              <w:rPr/>
              <w:br/>
            </w:r>
            <w:r>
              <w:rPr>
                <w:rFonts w:ascii="Arial" w:hAnsi="Arial"/>
                <w:sz w:val="14"/>
              </w:rPr>
              <w:t>Polyurethane foam</w:t>
            </w:r>
            <w:r>
              <w:rPr/>
              <w:br/>
            </w:r>
            <w:r>
              <w:rPr>
                <w:rFonts w:ascii="Arial" w:hAnsi="Arial"/>
                <w:sz w:val="14"/>
              </w:rPr>
              <w:t>Precision cleaning</w:t>
            </w:r>
            <w:r>
              <w:rPr/>
              <w:br/>
            </w:r>
            <w:r>
              <w:rPr>
                <w:rFonts w:ascii="Arial" w:hAnsi="Arial"/>
                <w:sz w:val="14"/>
              </w:rPr>
              <w:t>Optical</w:t>
            </w:r>
            <w:r>
              <w:rPr/>
              <w:br/>
            </w:r>
            <w:r>
              <w:rPr>
                <w:rFonts w:ascii="Arial" w:hAnsi="Arial"/>
                <w:sz w:val="14"/>
              </w:rPr>
              <w:t>Appliances</w:t>
            </w:r>
            <w:r>
              <w:rPr/>
              <w:br/>
            </w:r>
            <w:r>
              <w:rPr>
                <w:rFonts w:ascii="Arial" w:hAnsi="Arial"/>
                <w:sz w:val="14"/>
              </w:rPr>
              <w:t>Hospitals</w:t>
            </w:r>
            <w:r>
              <w:rPr/>
              <w:br/>
            </w:r>
            <w:r>
              <w:rPr>
                <w:rFonts w:ascii="Arial" w:hAnsi="Arial"/>
                <w:sz w:val="14"/>
              </w:rPr>
              <w:t>Medical equipment manufacturers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Arkema</w:t>
            </w:r>
            <w:r>
              <w:rPr/>
              <w:br/>
            </w:r>
            <w:r>
              <w:rPr>
                <w:rFonts w:ascii="Arial" w:hAnsi="Arial"/>
                <w:sz w:val="14"/>
              </w:rPr>
              <w:t>Dupont</w:t>
            </w:r>
            <w:r>
              <w:rPr/>
              <w:br/>
            </w:r>
            <w:r>
              <w:rPr>
                <w:rFonts w:ascii="Arial" w:hAnsi="Arial"/>
                <w:sz w:val="14"/>
              </w:rPr>
              <w:t>Solvay-Solexis</w:t>
            </w:r>
            <w:r>
              <w:rPr/>
              <w:br/>
            </w:r>
            <w:r>
              <w:rPr>
                <w:rFonts w:ascii="Arial" w:hAnsi="Arial"/>
                <w:sz w:val="14"/>
              </w:rPr>
              <w:t>Ineos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Fluorine specialties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Sulfur hexafluoride (SF</w:t>
            </w:r>
            <w:r>
              <w:rPr>
                <w:rFonts w:ascii="Arial" w:hAnsi="Arial"/>
                <w:position w:val="-4"/>
                <w:sz w:val="11"/>
                <w:sz w:val="14"/>
              </w:rPr>
              <w:t>6</w:t>
            </w:r>
            <w:r>
              <w:rPr>
                <w:rFonts w:ascii="Arial" w:hAnsi="Arial"/>
                <w:sz w:val="14"/>
              </w:rPr>
              <w:t>)</w:t>
            </w:r>
            <w:r>
              <w:rPr/>
              <w:br/>
            </w:r>
            <w:r>
              <w:rPr>
                <w:rFonts w:ascii="Arial" w:hAnsi="Arial"/>
                <w:sz w:val="14"/>
              </w:rPr>
              <w:t>Iodine pentafluoride (IF</w:t>
            </w:r>
            <w:r>
              <w:rPr>
                <w:rFonts w:ascii="Arial" w:hAnsi="Arial"/>
                <w:position w:val="-4"/>
                <w:sz w:val="11"/>
                <w:sz w:val="14"/>
              </w:rPr>
              <w:t>5</w:t>
            </w:r>
            <w:r>
              <w:rPr>
                <w:rFonts w:ascii="Arial" w:hAnsi="Arial"/>
                <w:sz w:val="14"/>
              </w:rPr>
              <w:t>)</w:t>
            </w:r>
            <w:r>
              <w:rPr/>
              <w:br/>
            </w:r>
            <w:r>
              <w:rPr>
                <w:rFonts w:ascii="Arial" w:hAnsi="Arial"/>
                <w:sz w:val="14"/>
              </w:rPr>
              <w:t>Antimony pentafluoride (SbF</w:t>
            </w:r>
            <w:r>
              <w:rPr>
                <w:rFonts w:ascii="Arial" w:hAnsi="Arial"/>
                <w:position w:val="-4"/>
                <w:sz w:val="11"/>
                <w:sz w:val="14"/>
              </w:rPr>
              <w:t>5</w:t>
            </w:r>
            <w:r>
              <w:rPr>
                <w:rFonts w:ascii="Arial" w:hAnsi="Arial"/>
                <w:sz w:val="14"/>
              </w:rPr>
              <w:t>)</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Electric utilities</w:t>
            </w:r>
            <w:r>
              <w:rPr/>
              <w:br/>
            </w:r>
            <w:r>
              <w:rPr>
                <w:rFonts w:ascii="Arial" w:hAnsi="Arial"/>
                <w:sz w:val="14"/>
              </w:rPr>
              <w:t>Magnesium gear manufacturers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Air Products</w:t>
            </w:r>
            <w:r>
              <w:rPr/>
              <w:br/>
            </w:r>
            <w:r>
              <w:rPr>
                <w:rFonts w:ascii="Arial" w:hAnsi="Arial"/>
                <w:sz w:val="14"/>
              </w:rPr>
              <w:t>Asahi Glass</w:t>
            </w:r>
            <w:r>
              <w:rPr/>
              <w:br/>
            </w:r>
            <w:r>
              <w:rPr>
                <w:rFonts w:ascii="Arial" w:hAnsi="Arial"/>
                <w:sz w:val="14"/>
              </w:rPr>
              <w:t>Solvay-Solexis</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Nuclear services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UF</w:t>
            </w:r>
            <w:r>
              <w:rPr>
                <w:rFonts w:ascii="Arial" w:hAnsi="Arial"/>
                <w:position w:val="-4"/>
                <w:sz w:val="11"/>
                <w:sz w:val="14"/>
              </w:rPr>
              <w:t>6</w:t>
            </w:r>
            <w:r>
              <w:rPr/>
              <w:t xml:space="preserve"> </w:t>
            </w:r>
            <w:r>
              <w:rPr>
                <w:rFonts w:ascii="Arial" w:hAnsi="Arial"/>
                <w:sz w:val="14"/>
              </w:rPr>
              <w:t>conversion services</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Nuclear fuel</w:t>
            </w:r>
            <w:r>
              <w:rPr/>
              <w:br/>
            </w:r>
            <w:r>
              <w:rPr>
                <w:rFonts w:ascii="Arial" w:hAnsi="Arial"/>
                <w:sz w:val="14"/>
              </w:rPr>
              <w:t>Electric utilities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Cameco</w:t>
            </w:r>
            <w:r>
              <w:rPr/>
              <w:br/>
            </w:r>
            <w:r>
              <w:rPr>
                <w:rFonts w:ascii="Arial" w:hAnsi="Arial"/>
                <w:sz w:val="14"/>
              </w:rPr>
              <w:t>Comurhex</w:t>
            </w:r>
            <w:r>
              <w:rPr/>
              <w:br/>
            </w:r>
            <w:r>
              <w:rPr>
                <w:rFonts w:ascii="Arial" w:hAnsi="Arial"/>
                <w:sz w:val="14"/>
              </w:rPr>
              <w:t>Rosatom</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Research and fine chemicals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Oxime-based fine chemicals</w:t>
            </w:r>
            <w:r>
              <w:rPr/>
              <w:br/>
            </w:r>
            <w:r>
              <w:rPr>
                <w:rFonts w:ascii="Arial" w:hAnsi="Arial"/>
                <w:sz w:val="14"/>
              </w:rPr>
              <w:t>Fluoroaromatics</w:t>
            </w:r>
            <w:r>
              <w:rPr/>
              <w:br/>
            </w:r>
            <w:r>
              <w:rPr>
                <w:rFonts w:ascii="Arial" w:hAnsi="Arial"/>
                <w:sz w:val="14"/>
              </w:rPr>
              <w:t>High-purity solvents</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Agrichemicals</w:t>
            </w:r>
            <w:r>
              <w:rPr/>
              <w:br/>
            </w:r>
            <w:r>
              <w:rPr>
                <w:rFonts w:ascii="Arial" w:hAnsi="Arial"/>
                <w:sz w:val="14"/>
              </w:rPr>
              <w:t>Biotech</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Avecia</w:t>
            </w:r>
            <w:r>
              <w:rPr/>
              <w:br/>
            </w:r>
            <w:r>
              <w:rPr>
                <w:rFonts w:ascii="Arial" w:hAnsi="Arial"/>
                <w:sz w:val="14"/>
              </w:rPr>
              <w:t>Degussa</w:t>
            </w:r>
            <w:r>
              <w:rPr/>
              <w:br/>
            </w:r>
            <w:r>
              <w:rPr>
                <w:rFonts w:ascii="Arial" w:hAnsi="Arial"/>
                <w:sz w:val="14"/>
              </w:rPr>
              <w:t>DSM</w:t>
            </w:r>
            <w:r>
              <w:rPr/>
              <w:br/>
            </w:r>
            <w:r>
              <w:rPr>
                <w:rFonts w:ascii="Arial" w:hAnsi="Arial"/>
                <w:sz w:val="14"/>
              </w:rPr>
              <w:t>E. Merck</w:t>
            </w:r>
            <w:r>
              <w:rPr/>
              <w:br/>
            </w:r>
            <w:r>
              <w:rPr>
                <w:rFonts w:ascii="Arial" w:hAnsi="Arial"/>
                <w:sz w:val="14"/>
              </w:rPr>
              <w:t>Thermo Fisher Scientific</w:t>
            </w:r>
            <w:r>
              <w:rPr/>
              <w:br/>
            </w:r>
            <w:r>
              <w:rPr>
                <w:rFonts w:ascii="Arial" w:hAnsi="Arial"/>
                <w:sz w:val="14"/>
              </w:rPr>
              <w:t>Lonza</w:t>
            </w:r>
            <w:r>
              <w:rPr/>
              <w:br/>
            </w:r>
            <w:r>
              <w:rPr>
                <w:rFonts w:ascii="Arial" w:hAnsi="Arial"/>
                <w:sz w:val="14"/>
              </w:rPr>
              <w:t>Sigma-Aldrich</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Performance chemicals Imaging chemicals Chemical processing Sealants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HF derivatives</w:t>
            </w:r>
            <w:r>
              <w:rPr/>
              <w:br/>
            </w:r>
            <w:r>
              <w:rPr>
                <w:rFonts w:ascii="Arial" w:hAnsi="Arial"/>
                <w:sz w:val="14"/>
              </w:rPr>
              <w:t>Fluoroaromatics</w:t>
            </w:r>
            <w:r>
              <w:rPr/>
              <w:br/>
            </w:r>
            <w:r>
              <w:rPr>
                <w:rFonts w:ascii="Arial" w:hAnsi="Arial"/>
                <w:sz w:val="14"/>
              </w:rPr>
              <w:t>Catalysts</w:t>
            </w:r>
            <w:r>
              <w:rPr/>
              <w:br/>
            </w:r>
            <w:r>
              <w:rPr>
                <w:rFonts w:ascii="Arial" w:hAnsi="Arial"/>
                <w:sz w:val="14"/>
              </w:rPr>
              <w:t>Oxime-silanes</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rFonts w:ascii="Arial" w:hAnsi="Arial"/>
                <w:sz w:val="14"/>
              </w:rPr>
            </w:pPr>
            <w:r>
              <w:rPr>
                <w:rFonts w:ascii="Arial" w:hAnsi="Arial"/>
                <w:sz w:val="14"/>
              </w:rPr>
              <w:t>Diverse by product type</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Atotech</w:t>
            </w:r>
            <w:r>
              <w:rPr/>
              <w:br/>
            </w:r>
            <w:r>
              <w:rPr>
                <w:rFonts w:ascii="Arial" w:hAnsi="Arial"/>
                <w:sz w:val="14"/>
              </w:rPr>
              <w:t>BASF</w:t>
            </w:r>
            <w:r>
              <w:rPr/>
              <w:br/>
            </w:r>
            <w:r>
              <w:rPr>
                <w:rFonts w:ascii="Arial" w:hAnsi="Arial"/>
                <w:sz w:val="14"/>
              </w:rPr>
              <w:t>DSM</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Advanced fibers &amp; composites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High modulus polyethylene fiber and shield composites</w:t>
            </w:r>
            <w:r>
              <w:rPr/>
              <w:br/>
            </w:r>
            <w:r>
              <w:rPr>
                <w:rFonts w:ascii="Arial" w:hAnsi="Arial"/>
                <w:sz w:val="14"/>
              </w:rPr>
              <w:t>Aramid shield composites</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Bullet resistant vests, helmets and other armor applications</w:t>
            </w:r>
            <w:r>
              <w:rPr/>
              <w:br/>
            </w:r>
            <w:r>
              <w:rPr>
                <w:rFonts w:ascii="Arial" w:hAnsi="Arial"/>
                <w:sz w:val="14"/>
              </w:rPr>
              <w:t>Cut-resistant gloves</w:t>
            </w:r>
            <w:r>
              <w:rPr/>
              <w:br/>
            </w:r>
            <w:r>
              <w:rPr>
                <w:rFonts w:ascii="Arial" w:hAnsi="Arial"/>
                <w:sz w:val="14"/>
              </w:rPr>
              <w:t>Rope &amp; cordage</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DuPont</w:t>
            </w:r>
            <w:r>
              <w:rPr/>
              <w:br/>
            </w:r>
            <w:r>
              <w:rPr>
                <w:rFonts w:ascii="Arial" w:hAnsi="Arial"/>
                <w:sz w:val="14"/>
              </w:rPr>
              <w:t>DSM</w:t>
            </w:r>
            <w:r>
              <w:rPr/>
              <w:br/>
            </w:r>
            <w:r>
              <w:rPr>
                <w:rFonts w:ascii="Arial" w:hAnsi="Arial"/>
                <w:sz w:val="14"/>
              </w:rPr>
              <w:t>Teijin</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Specialty films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Cast nylon film</w:t>
            </w:r>
            <w:r>
              <w:rPr/>
              <w:br/>
            </w:r>
            <w:r>
              <w:rPr>
                <w:rFonts w:ascii="Arial" w:hAnsi="Arial"/>
                <w:sz w:val="14"/>
              </w:rPr>
              <w:t>Bi-axially oriented nylon film</w:t>
            </w:r>
            <w:r>
              <w:rPr/>
              <w:br/>
            </w:r>
            <w:r>
              <w:rPr>
                <w:rFonts w:ascii="Arial" w:hAnsi="Arial"/>
                <w:sz w:val="14"/>
              </w:rPr>
              <w:t>Fluoropolymer film</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rFonts w:ascii="Arial" w:hAnsi="Arial"/>
                <w:sz w:val="14"/>
              </w:rPr>
            </w:pPr>
            <w:r>
              <w:rPr>
                <w:rFonts w:ascii="Arial" w:hAnsi="Arial"/>
                <w:sz w:val="14"/>
              </w:rPr>
              <w:t>Food and pharmaceutical packaging</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American Biaxis</w:t>
            </w:r>
            <w:r>
              <w:rPr/>
              <w:br/>
            </w:r>
            <w:r>
              <w:rPr>
                <w:rFonts w:ascii="Arial" w:hAnsi="Arial"/>
                <w:sz w:val="14"/>
              </w:rPr>
              <w:t>CFP</w:t>
            </w:r>
            <w:r>
              <w:rPr/>
              <w:br/>
            </w:r>
            <w:r>
              <w:rPr>
                <w:rFonts w:ascii="Arial" w:hAnsi="Arial"/>
                <w:sz w:val="14"/>
              </w:rPr>
              <w:t>Daikin</w:t>
            </w:r>
            <w:r>
              <w:rPr/>
              <w:br/>
            </w:r>
            <w:r>
              <w:rPr>
                <w:rFonts w:ascii="Arial" w:hAnsi="Arial"/>
                <w:sz w:val="14"/>
              </w:rPr>
              <w:t>Kolon</w:t>
            </w:r>
            <w:r>
              <w:rPr/>
              <w:br/>
            </w:r>
            <w:r>
              <w:rPr>
                <w:rFonts w:ascii="Arial" w:hAnsi="Arial"/>
                <w:sz w:val="14"/>
              </w:rPr>
              <w:t>Unitika</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798" w:type="dxa"/>
            <w:tcBorders/>
            <w:shd w:fill="FFFFFF" w:val="clear"/>
          </w:tcPr>
          <w:p>
            <w:pPr>
              <w:pStyle w:val="TableContents"/>
              <w:spacing w:before="0" w:after="283"/>
              <w:jc w:val="left"/>
              <w:rPr>
                <w:rFonts w:ascii="Arial" w:hAnsi="Arial"/>
                <w:sz w:val="14"/>
              </w:rPr>
            </w:pPr>
            <w:r>
              <w:rPr>
                <w:rFonts w:ascii="Arial" w:hAnsi="Arial"/>
                <w:sz w:val="14"/>
              </w:rPr>
              <w:t>Specialty additives</w:t>
            </w:r>
          </w:p>
        </w:tc>
        <w:tc>
          <w:tcPr>
            <w:tcW w:w="360" w:type="dxa"/>
            <w:tcBorders/>
            <w:shd w:fill="FFFFFF" w:val="clear"/>
          </w:tcPr>
          <w:p>
            <w:pPr>
              <w:pStyle w:val="TableContents"/>
              <w:spacing w:before="0" w:after="283"/>
              <w:jc w:val="left"/>
              <w:rPr/>
            </w:pPr>
            <w:r>
              <w:rPr/>
              <w:t>      </w:t>
            </w:r>
          </w:p>
        </w:tc>
        <w:tc>
          <w:tcPr>
            <w:tcW w:w="2211" w:type="dxa"/>
            <w:tcBorders/>
            <w:shd w:fill="FFFFFF" w:val="clear"/>
          </w:tcPr>
          <w:p>
            <w:pPr>
              <w:pStyle w:val="TableContents"/>
              <w:spacing w:before="0" w:after="283"/>
              <w:jc w:val="left"/>
              <w:rPr/>
            </w:pPr>
            <w:r>
              <w:rPr>
                <w:rFonts w:ascii="Arial" w:hAnsi="Arial"/>
                <w:sz w:val="14"/>
              </w:rPr>
              <w:t>Polyethylene waxes</w:t>
            </w:r>
            <w:r>
              <w:rPr/>
              <w:br/>
            </w:r>
            <w:r>
              <w:rPr>
                <w:rFonts w:ascii="Arial" w:hAnsi="Arial"/>
                <w:sz w:val="14"/>
              </w:rPr>
              <w:t>Paraffin waxes and blends</w:t>
            </w:r>
            <w:r>
              <w:rPr/>
              <w:br/>
            </w:r>
            <w:r>
              <w:rPr>
                <w:rFonts w:ascii="Arial" w:hAnsi="Arial"/>
                <w:sz w:val="14"/>
              </w:rPr>
              <w:t>PVC lubricant systems</w:t>
            </w:r>
            <w:r>
              <w:rPr/>
              <w:br/>
            </w:r>
            <w:r>
              <w:rPr>
                <w:rFonts w:ascii="Arial" w:hAnsi="Arial"/>
                <w:sz w:val="14"/>
              </w:rPr>
              <w:t>Processing aids</w:t>
            </w:r>
            <w:r>
              <w:rPr/>
              <w:br/>
            </w:r>
            <w:r>
              <w:rPr>
                <w:rFonts w:ascii="Arial" w:hAnsi="Arial"/>
                <w:sz w:val="14"/>
              </w:rPr>
              <w:t>Luminescent pigments</w:t>
            </w:r>
          </w:p>
        </w:tc>
        <w:tc>
          <w:tcPr>
            <w:tcW w:w="360" w:type="dxa"/>
            <w:tcBorders/>
            <w:shd w:fill="FFFFFF" w:val="clear"/>
          </w:tcPr>
          <w:p>
            <w:pPr>
              <w:pStyle w:val="TableContents"/>
              <w:spacing w:before="0" w:after="283"/>
              <w:jc w:val="left"/>
              <w:rPr/>
            </w:pPr>
            <w:r>
              <w:rPr/>
              <w:t>      </w:t>
            </w:r>
          </w:p>
        </w:tc>
        <w:tc>
          <w:tcPr>
            <w:tcW w:w="2173" w:type="dxa"/>
            <w:tcBorders/>
            <w:shd w:fill="FFFFFF" w:val="clear"/>
          </w:tcPr>
          <w:p>
            <w:pPr>
              <w:pStyle w:val="TableContents"/>
              <w:spacing w:before="0" w:after="283"/>
              <w:jc w:val="left"/>
              <w:rPr/>
            </w:pPr>
            <w:r>
              <w:rPr>
                <w:rFonts w:ascii="Arial" w:hAnsi="Arial"/>
                <w:sz w:val="14"/>
              </w:rPr>
              <w:t>Coatings and inks</w:t>
            </w:r>
            <w:r>
              <w:rPr/>
              <w:br/>
            </w:r>
            <w:r>
              <w:rPr>
                <w:rFonts w:ascii="Arial" w:hAnsi="Arial"/>
                <w:sz w:val="14"/>
              </w:rPr>
              <w:t>PVC pipe, siding &amp; profiles</w:t>
            </w:r>
            <w:r>
              <w:rPr/>
              <w:br/>
            </w:r>
            <w:r>
              <w:rPr>
                <w:rFonts w:ascii="Arial" w:hAnsi="Arial"/>
                <w:sz w:val="14"/>
              </w:rPr>
              <w:t>Plastics</w:t>
            </w:r>
            <w:r>
              <w:rPr/>
              <w:br/>
            </w:r>
            <w:r>
              <w:rPr>
                <w:rFonts w:ascii="Arial" w:hAnsi="Arial"/>
                <w:sz w:val="14"/>
              </w:rPr>
              <w:t>Reflective coatings</w:t>
            </w:r>
            <w:r>
              <w:rPr/>
              <w:br/>
            </w:r>
            <w:r>
              <w:rPr>
                <w:rFonts w:ascii="Arial" w:hAnsi="Arial"/>
                <w:sz w:val="14"/>
              </w:rPr>
              <w:t>Safety &amp; security applications</w:t>
            </w:r>
          </w:p>
        </w:tc>
        <w:tc>
          <w:tcPr>
            <w:tcW w:w="360" w:type="dxa"/>
            <w:tcBorders/>
            <w:shd w:fill="FFFFFF" w:val="clear"/>
          </w:tcPr>
          <w:p>
            <w:pPr>
              <w:pStyle w:val="TableContents"/>
              <w:spacing w:before="0" w:after="283"/>
              <w:jc w:val="left"/>
              <w:rPr/>
            </w:pPr>
            <w:r>
              <w:rPr/>
              <w:t>      </w:t>
            </w:r>
          </w:p>
        </w:tc>
        <w:tc>
          <w:tcPr>
            <w:tcW w:w="1943" w:type="dxa"/>
            <w:tcBorders/>
            <w:shd w:fill="FFFFFF" w:val="clear"/>
          </w:tcPr>
          <w:p>
            <w:pPr>
              <w:pStyle w:val="TableContents"/>
              <w:spacing w:before="0" w:after="283"/>
              <w:jc w:val="left"/>
              <w:rPr/>
            </w:pPr>
            <w:r>
              <w:rPr>
                <w:rFonts w:ascii="Arial" w:hAnsi="Arial"/>
                <w:sz w:val="14"/>
              </w:rPr>
              <w:t>BASF</w:t>
            </w:r>
            <w:r>
              <w:rPr/>
              <w:br/>
            </w:r>
            <w:r>
              <w:rPr>
                <w:rFonts w:ascii="Arial" w:hAnsi="Arial"/>
                <w:sz w:val="14"/>
              </w:rPr>
              <w:t>Clariant</w:t>
            </w:r>
            <w:r>
              <w:rPr/>
              <w:br/>
            </w:r>
            <w:r>
              <w:rPr>
                <w:rFonts w:ascii="Arial" w:hAnsi="Arial"/>
                <w:sz w:val="14"/>
              </w:rPr>
              <w:t>Eastman</w:t>
            </w:r>
          </w:p>
        </w:tc>
      </w:tr>
      <w:tr>
        <w:trPr/>
        <w:tc>
          <w:tcPr>
            <w:tcW w:w="10205" w:type="dxa"/>
            <w:gridSpan w:val="7"/>
            <w:tcBorders/>
            <w:shd w:fill="FFFFFF" w:val="clear"/>
          </w:tcPr>
          <w:p>
            <w:pPr>
              <w:pStyle w:val="HorizontalLine"/>
              <w:pBdr>
                <w:bottom w:val="single" w:sz="6" w:space="0" w:color="000000"/>
              </w:pBdr>
              <w:spacing w:before="0" w:after="283"/>
              <w:rPr/>
            </w:pPr>
            <w:r>
              <w:rPr/>
            </w:r>
          </w:p>
        </w:tc>
      </w:tr>
    </w:tbl>
    <w:p>
      <w:pPr>
        <w:pStyle w:val="TextBody"/>
        <w:jc w:val="center"/>
        <w:rPr>
          <w:rFonts w:ascii="Arial" w:hAnsi="Arial"/>
        </w:rPr>
      </w:pPr>
      <w:r>
        <w:rPr>
          <w:rFonts w:ascii="Arial" w:hAnsi="Arial"/>
        </w:rPr>
        <w:t>5</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2619"/>
        <w:gridCol w:w="360"/>
        <w:gridCol w:w="1835"/>
        <w:gridCol w:w="360"/>
        <w:gridCol w:w="2729"/>
        <w:gridCol w:w="360"/>
        <w:gridCol w:w="1942"/>
      </w:tblGrid>
      <w:tr>
        <w:trPr/>
        <w:tc>
          <w:tcPr>
            <w:tcW w:w="2619" w:type="dxa"/>
            <w:tcBorders/>
            <w:shd w:fill="FFFFFF" w:val="clear"/>
            <w:vAlign w:val="bottom"/>
          </w:tcPr>
          <w:p>
            <w:pPr>
              <w:pStyle w:val="TableContents"/>
              <w:pageBreakBefore/>
              <w:spacing w:before="0" w:after="0"/>
              <w:jc w:val="left"/>
              <w:rPr>
                <w:rFonts w:ascii="Arial" w:hAnsi="Arial"/>
                <w:b/>
              </w:rPr>
            </w:pPr>
            <w:r>
              <w:rPr>
                <w:rFonts w:ascii="Arial" w:hAnsi="Arial"/>
                <w:b/>
              </w:rPr>
              <w:t>Product/Service Classes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835" w:type="dxa"/>
            <w:tcBorders/>
            <w:shd w:fill="FFFFFF" w:val="clear"/>
            <w:vAlign w:val="bottom"/>
          </w:tcPr>
          <w:p>
            <w:pPr>
              <w:pStyle w:val="TableContents"/>
              <w:spacing w:before="0" w:after="0"/>
              <w:jc w:val="left"/>
              <w:rPr>
                <w:rFonts w:ascii="Arial" w:hAnsi="Arial"/>
                <w:b/>
              </w:rPr>
            </w:pPr>
            <w:r>
              <w:rPr>
                <w:rFonts w:ascii="Arial" w:hAnsi="Arial"/>
                <w:b/>
              </w:rPr>
              <w:t>Major Products/Services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2729" w:type="dxa"/>
            <w:tcBorders/>
            <w:shd w:fill="FFFFFF" w:val="clear"/>
            <w:vAlign w:val="bottom"/>
          </w:tcPr>
          <w:p>
            <w:pPr>
              <w:pStyle w:val="TableContents"/>
              <w:spacing w:before="0" w:after="0"/>
              <w:jc w:val="left"/>
              <w:rPr>
                <w:rFonts w:ascii="Arial" w:hAnsi="Arial"/>
                <w:b/>
              </w:rPr>
            </w:pPr>
            <w:r>
              <w:rPr>
                <w:rFonts w:ascii="Arial" w:hAnsi="Arial"/>
                <w:b/>
              </w:rPr>
              <w:t>Major Customers/Uses</w:t>
            </w:r>
          </w:p>
          <w:p>
            <w:pPr>
              <w:pStyle w:val="HorizontalLine"/>
              <w:pBdr>
                <w:bottom w:val="single" w:sz="6" w:space="0" w:color="000000"/>
              </w:pBdr>
              <w:spacing w:before="0" w:after="283"/>
              <w:rPr/>
            </w:pPr>
            <w:r>
              <w:rPr/>
            </w:r>
          </w:p>
        </w:tc>
        <w:tc>
          <w:tcPr>
            <w:tcW w:w="360" w:type="dxa"/>
            <w:tcBorders/>
            <w:shd w:fill="FFFFFF" w:val="clear"/>
            <w:vAlign w:val="bottom"/>
          </w:tcPr>
          <w:p>
            <w:pPr>
              <w:pStyle w:val="TableContents"/>
              <w:spacing w:before="0" w:after="283"/>
              <w:jc w:val="left"/>
              <w:rPr/>
            </w:pPr>
            <w:r>
              <w:rPr/>
              <w:t>      </w:t>
            </w:r>
          </w:p>
        </w:tc>
        <w:tc>
          <w:tcPr>
            <w:tcW w:w="1942" w:type="dxa"/>
            <w:tcBorders/>
            <w:shd w:fill="FFFFFF" w:val="clear"/>
            <w:vAlign w:val="bottom"/>
          </w:tcPr>
          <w:p>
            <w:pPr>
              <w:pStyle w:val="TableContents"/>
              <w:spacing w:before="0" w:after="0"/>
              <w:jc w:val="left"/>
              <w:rPr>
                <w:rFonts w:ascii="Arial" w:hAnsi="Arial"/>
                <w:b/>
              </w:rPr>
            </w:pPr>
            <w:r>
              <w:rPr>
                <w:rFonts w:ascii="Arial" w:hAnsi="Arial"/>
                <w:b/>
              </w:rPr>
              <w:t>Key Competitors</w:t>
            </w:r>
          </w:p>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Electronic chemicals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Ultra high-purity HF</w:t>
            </w:r>
            <w:r>
              <w:rPr/>
              <w:br/>
            </w:r>
            <w:r>
              <w:rPr>
                <w:rFonts w:ascii="Arial" w:hAnsi="Arial"/>
                <w:sz w:val="14"/>
              </w:rPr>
              <w:t>Inorganic acids</w:t>
            </w:r>
            <w:r>
              <w:rPr/>
              <w:br/>
            </w:r>
            <w:r>
              <w:rPr>
                <w:rFonts w:ascii="Arial" w:hAnsi="Arial"/>
                <w:sz w:val="14"/>
              </w:rPr>
              <w:t>Hi-purity solvents</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rFonts w:ascii="Arial" w:hAnsi="Arial"/>
                <w:sz w:val="14"/>
              </w:rPr>
            </w:pPr>
            <w:r>
              <w:rPr>
                <w:rFonts w:ascii="Arial" w:hAnsi="Arial"/>
                <w:sz w:val="14"/>
              </w:rPr>
              <w:t>Semiconductors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Air Products</w:t>
            </w:r>
            <w:r>
              <w:rPr/>
              <w:br/>
            </w:r>
            <w:r>
              <w:rPr>
                <w:rFonts w:ascii="Arial" w:hAnsi="Arial"/>
                <w:sz w:val="14"/>
              </w:rPr>
              <w:t>Arch</w:t>
            </w:r>
            <w:r>
              <w:rPr/>
              <w:br/>
            </w:r>
            <w:r>
              <w:rPr>
                <w:rFonts w:ascii="Arial" w:hAnsi="Arial"/>
                <w:sz w:val="14"/>
              </w:rPr>
              <w:t>E. Merck</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Semiconductor materials and services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Interconnect-dielectrics</w:t>
            </w:r>
            <w:r>
              <w:rPr/>
              <w:br/>
            </w:r>
            <w:r>
              <w:rPr>
                <w:rFonts w:ascii="Arial" w:hAnsi="Arial"/>
                <w:sz w:val="14"/>
              </w:rPr>
              <w:t>Interconnect-metals</w:t>
            </w:r>
            <w:r>
              <w:rPr/>
              <w:br/>
            </w:r>
            <w:r>
              <w:rPr>
                <w:rFonts w:ascii="Arial" w:hAnsi="Arial"/>
                <w:sz w:val="14"/>
              </w:rPr>
              <w:t>Semiconductor packaging materials</w:t>
            </w:r>
            <w:r>
              <w:rPr/>
              <w:br/>
            </w:r>
            <w:r>
              <w:rPr>
                <w:rFonts w:ascii="Arial" w:hAnsi="Arial"/>
                <w:sz w:val="14"/>
              </w:rPr>
              <w:t>Advanced polymers</w:t>
            </w:r>
            <w:r>
              <w:rPr/>
              <w:br/>
            </w:r>
            <w:r>
              <w:rPr>
                <w:rFonts w:ascii="Arial" w:hAnsi="Arial"/>
                <w:sz w:val="14"/>
              </w:rPr>
              <w:t>Sapphire substrates</w:t>
            </w:r>
            <w:r>
              <w:rPr/>
              <w:br/>
            </w:r>
            <w:r>
              <w:rPr>
                <w:rFonts w:ascii="Arial" w:hAnsi="Arial"/>
                <w:sz w:val="14"/>
              </w:rPr>
              <w:t>Anti-reflective coatings</w:t>
            </w:r>
            <w:r>
              <w:rPr/>
              <w:br/>
            </w:r>
            <w:r>
              <w:rPr>
                <w:rFonts w:ascii="Arial" w:hAnsi="Arial"/>
                <w:sz w:val="14"/>
              </w:rPr>
              <w:t>Thermo-couples</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pPr>
            <w:r>
              <w:rPr>
                <w:rFonts w:ascii="Arial" w:hAnsi="Arial"/>
                <w:sz w:val="14"/>
              </w:rPr>
              <w:t>Semiconductors</w:t>
            </w:r>
            <w:r>
              <w:rPr/>
              <w:br/>
            </w:r>
            <w:r>
              <w:rPr>
                <w:rFonts w:ascii="Arial" w:hAnsi="Arial"/>
                <w:sz w:val="14"/>
              </w:rPr>
              <w:t>Microelectronics</w:t>
            </w:r>
            <w:r>
              <w:rPr/>
              <w:br/>
            </w:r>
            <w:r>
              <w:rPr>
                <w:rFonts w:ascii="Arial" w:hAnsi="Arial"/>
                <w:sz w:val="14"/>
              </w:rPr>
              <w:t>Telecommunications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BASF</w:t>
            </w:r>
            <w:r>
              <w:rPr/>
              <w:br/>
            </w:r>
            <w:r>
              <w:rPr>
                <w:rFonts w:ascii="Arial" w:hAnsi="Arial"/>
                <w:sz w:val="14"/>
              </w:rPr>
              <w:t>Brewer</w:t>
            </w:r>
            <w:r>
              <w:rPr/>
              <w:br/>
            </w:r>
            <w:r>
              <w:rPr>
                <w:rFonts w:ascii="Arial" w:hAnsi="Arial"/>
                <w:sz w:val="14"/>
              </w:rPr>
              <w:t>Dow Corning</w:t>
            </w:r>
            <w:r>
              <w:rPr/>
              <w:br/>
            </w:r>
            <w:r>
              <w:rPr>
                <w:rFonts w:ascii="Arial" w:hAnsi="Arial"/>
                <w:sz w:val="14"/>
              </w:rPr>
              <w:t>Foxconn</w:t>
            </w:r>
            <w:r>
              <w:rPr/>
              <w:br/>
            </w:r>
            <w:r>
              <w:rPr>
                <w:rFonts w:ascii="Arial" w:hAnsi="Arial"/>
                <w:sz w:val="14"/>
              </w:rPr>
              <w:t>Japan Energy</w:t>
            </w:r>
            <w:r>
              <w:rPr/>
              <w:br/>
            </w:r>
            <w:r>
              <w:rPr>
                <w:rFonts w:ascii="Arial" w:hAnsi="Arial"/>
                <w:sz w:val="14"/>
              </w:rPr>
              <w:t>Kyocera</w:t>
            </w:r>
            <w:r>
              <w:rPr/>
              <w:br/>
            </w:r>
            <w:r>
              <w:rPr>
                <w:rFonts w:ascii="Arial" w:hAnsi="Arial"/>
                <w:sz w:val="14"/>
              </w:rPr>
              <w:t>Shinko</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Catalysts, adsorbents and specialties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Catalysts</w:t>
            </w:r>
            <w:r>
              <w:rPr/>
              <w:br/>
            </w:r>
            <w:r>
              <w:rPr>
                <w:rFonts w:ascii="Arial" w:hAnsi="Arial"/>
                <w:sz w:val="14"/>
              </w:rPr>
              <w:t>Molecular sieves</w:t>
            </w:r>
            <w:r>
              <w:rPr/>
              <w:br/>
            </w:r>
            <w:r>
              <w:rPr>
                <w:rFonts w:ascii="Arial" w:hAnsi="Arial"/>
                <w:sz w:val="14"/>
              </w:rPr>
              <w:t>Adsorbents</w:t>
            </w:r>
            <w:r>
              <w:rPr/>
              <w:br/>
            </w:r>
            <w:r>
              <w:rPr>
                <w:rFonts w:ascii="Arial" w:hAnsi="Arial"/>
                <w:sz w:val="14"/>
              </w:rPr>
              <w:t>Customer catalyst manufacturing</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rFonts w:ascii="Arial" w:hAnsi="Arial"/>
                <w:sz w:val="14"/>
              </w:rPr>
            </w:pPr>
            <w:r>
              <w:rPr>
                <w:rFonts w:ascii="Arial" w:hAnsi="Arial"/>
                <w:sz w:val="14"/>
              </w:rPr>
              <w:t>Petroleum, refining, petrochemical, and manufacturing industries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Akzo Nobel</w:t>
            </w:r>
            <w:r>
              <w:rPr/>
              <w:br/>
            </w:r>
            <w:r>
              <w:rPr>
                <w:rFonts w:ascii="Arial" w:hAnsi="Arial"/>
                <w:sz w:val="14"/>
              </w:rPr>
              <w:t>Axens</w:t>
            </w:r>
            <w:r>
              <w:rPr/>
              <w:br/>
            </w:r>
            <w:r>
              <w:rPr>
                <w:rFonts w:ascii="Arial" w:hAnsi="Arial"/>
                <w:sz w:val="14"/>
              </w:rPr>
              <w:t>BASF</w:t>
            </w:r>
            <w:r>
              <w:rPr/>
              <w:br/>
            </w:r>
            <w:r>
              <w:rPr>
                <w:rFonts w:ascii="Arial" w:hAnsi="Arial"/>
                <w:sz w:val="14"/>
              </w:rPr>
              <w:t>Davison</w:t>
            </w:r>
            <w:r>
              <w:rPr/>
              <w:br/>
            </w:r>
            <w:r>
              <w:rPr>
                <w:rFonts w:ascii="Arial" w:hAnsi="Arial"/>
                <w:sz w:val="14"/>
              </w:rPr>
              <w:t>Grace</w:t>
            </w:r>
            <w:r>
              <w:rPr/>
              <w:br/>
            </w:r>
            <w:r>
              <w:rPr>
                <w:rFonts w:ascii="Arial" w:hAnsi="Arial"/>
                <w:sz w:val="14"/>
              </w:rPr>
              <w:t>Haldor</w:t>
            </w:r>
            <w:r>
              <w:rPr/>
              <w:br/>
            </w:r>
            <w:r>
              <w:rPr>
                <w:rFonts w:ascii="Arial" w:hAnsi="Arial"/>
                <w:sz w:val="14"/>
              </w:rPr>
              <w:t>Shell/Criterion</w:t>
            </w:r>
            <w:r>
              <w:rPr/>
              <w:br/>
            </w:r>
            <w:r>
              <w:rPr>
                <w:rFonts w:ascii="Arial" w:hAnsi="Arial"/>
                <w:sz w:val="14"/>
              </w:rPr>
              <w:t>Sud Chemie</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Process technology and equipment</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Design of process units and systems</w:t>
            </w:r>
            <w:r>
              <w:rPr/>
              <w:br/>
            </w:r>
            <w:r>
              <w:rPr>
                <w:rFonts w:ascii="Arial" w:hAnsi="Arial"/>
                <w:sz w:val="14"/>
              </w:rPr>
              <w:t>Engineered products</w:t>
            </w:r>
            <w:r>
              <w:rPr/>
              <w:br/>
            </w:r>
            <w:r>
              <w:rPr>
                <w:rFonts w:ascii="Arial" w:hAnsi="Arial"/>
                <w:sz w:val="14"/>
              </w:rPr>
              <w:t>Proprietary equipment</w:t>
            </w:r>
            <w:r>
              <w:rPr/>
              <w:br/>
            </w:r>
            <w:r>
              <w:rPr>
                <w:rFonts w:ascii="Arial" w:hAnsi="Arial"/>
                <w:sz w:val="14"/>
              </w:rPr>
              <w:t>Technical personnel and training development</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rFonts w:ascii="Arial" w:hAnsi="Arial"/>
                <w:sz w:val="14"/>
              </w:rPr>
            </w:pPr>
            <w:r>
              <w:rPr>
                <w:rFonts w:ascii="Arial" w:hAnsi="Arial"/>
                <w:sz w:val="14"/>
              </w:rPr>
              <w:t>Petroleum refining, petrochemical, and gas processing</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ABB Lummus</w:t>
            </w:r>
            <w:r>
              <w:rPr/>
              <w:br/>
            </w:r>
            <w:r>
              <w:rPr>
                <w:rFonts w:ascii="Arial" w:hAnsi="Arial"/>
                <w:sz w:val="14"/>
              </w:rPr>
              <w:t>Axens</w:t>
            </w:r>
            <w:r>
              <w:rPr/>
              <w:br/>
            </w:r>
            <w:r>
              <w:rPr>
                <w:rFonts w:ascii="Arial" w:hAnsi="Arial"/>
                <w:sz w:val="14"/>
              </w:rPr>
              <w:t>Exxon-Mobil</w:t>
            </w:r>
            <w:r>
              <w:rPr/>
              <w:br/>
            </w:r>
            <w:r>
              <w:rPr>
                <w:rFonts w:ascii="Arial" w:hAnsi="Arial"/>
                <w:sz w:val="14"/>
              </w:rPr>
              <w:t>Haldor</w:t>
            </w:r>
            <w:r>
              <w:rPr/>
              <w:br/>
            </w:r>
            <w:r>
              <w:rPr>
                <w:rFonts w:ascii="Arial" w:hAnsi="Arial"/>
                <w:sz w:val="14"/>
              </w:rPr>
              <w:t>Koch Glitch</w:t>
            </w:r>
            <w:r>
              <w:rPr/>
              <w:br/>
            </w:r>
            <w:r>
              <w:rPr>
                <w:rFonts w:ascii="Arial" w:hAnsi="Arial"/>
                <w:sz w:val="14"/>
              </w:rPr>
              <w:t>Phillips</w:t>
            </w:r>
            <w:r>
              <w:rPr/>
              <w:br/>
            </w:r>
            <w:r>
              <w:rPr>
                <w:rFonts w:ascii="Arial" w:hAnsi="Arial"/>
                <w:sz w:val="14"/>
              </w:rPr>
              <w:t>Shell/Criterion</w:t>
            </w:r>
            <w:r>
              <w:rPr/>
              <w:br/>
            </w:r>
            <w:r>
              <w:rPr>
                <w:rFonts w:ascii="Arial" w:hAnsi="Arial"/>
                <w:sz w:val="14"/>
              </w:rPr>
              <w:t>Stratco</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pPr>
            <w:r>
              <w:rPr/>
              <w:br/>
            </w:r>
            <w:r>
              <w:rPr>
                <w:rFonts w:ascii="Arial" w:hAnsi="Arial"/>
                <w:b/>
              </w:rPr>
              <w:t>Transportation Systems</w:t>
            </w:r>
          </w:p>
        </w:tc>
        <w:tc>
          <w:tcPr>
            <w:tcW w:w="360" w:type="dxa"/>
            <w:tcBorders/>
            <w:shd w:fill="FFFFFF" w:val="clear"/>
            <w:vAlign w:val="center"/>
          </w:tcPr>
          <w:p>
            <w:pPr>
              <w:pStyle w:val="TableContents"/>
              <w:spacing w:before="0" w:after="283"/>
              <w:rPr/>
            </w:pPr>
            <w:r>
              <w:rPr/>
              <w:t> </w:t>
            </w:r>
          </w:p>
        </w:tc>
        <w:tc>
          <w:tcPr>
            <w:tcW w:w="183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2729"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942" w:type="dxa"/>
            <w:tcBorders/>
            <w:shd w:fill="FFFFFF" w:val="clear"/>
            <w:vAlign w:val="center"/>
          </w:tcPr>
          <w:p>
            <w:pPr>
              <w:pStyle w:val="TableContents"/>
              <w:spacing w:before="0" w:after="283"/>
              <w:rPr/>
            </w:pPr>
            <w:r>
              <w:rPr/>
              <w:t> </w:t>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Charge-air systems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rFonts w:ascii="Arial" w:hAnsi="Arial"/>
                <w:sz w:val="14"/>
              </w:rPr>
            </w:pPr>
            <w:r>
              <w:rPr>
                <w:rFonts w:ascii="Arial" w:hAnsi="Arial"/>
                <w:sz w:val="14"/>
              </w:rPr>
              <w:t>Turbochargers for gasoline and diesel engines</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pPr>
            <w:r>
              <w:rPr>
                <w:rFonts w:ascii="Arial" w:hAnsi="Arial"/>
                <w:sz w:val="14"/>
              </w:rPr>
              <w:t>Passenger car, truck and off-highway OEMs</w:t>
            </w:r>
            <w:r>
              <w:rPr/>
              <w:br/>
            </w:r>
            <w:r>
              <w:rPr>
                <w:rFonts w:ascii="Arial" w:hAnsi="Arial"/>
                <w:sz w:val="14"/>
              </w:rPr>
              <w:t>Engine manufacturers</w:t>
            </w:r>
            <w:r>
              <w:rPr/>
              <w:br/>
            </w:r>
            <w:r>
              <w:rPr>
                <w:rFonts w:ascii="Arial" w:hAnsi="Arial"/>
                <w:sz w:val="14"/>
              </w:rPr>
              <w:t>Aftermarket distributors and dealers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Borg-Warner</w:t>
            </w:r>
            <w:r>
              <w:rPr/>
              <w:br/>
            </w:r>
            <w:r>
              <w:rPr>
                <w:rFonts w:ascii="Arial" w:hAnsi="Arial"/>
                <w:sz w:val="14"/>
              </w:rPr>
              <w:t>Holset</w:t>
            </w:r>
            <w:r>
              <w:rPr/>
              <w:br/>
            </w:r>
            <w:r>
              <w:rPr>
                <w:rFonts w:ascii="Arial" w:hAnsi="Arial"/>
                <w:sz w:val="14"/>
              </w:rPr>
              <w:t>IHI</w:t>
            </w:r>
            <w:r>
              <w:rPr/>
              <w:br/>
            </w:r>
            <w:r>
              <w:rPr>
                <w:rFonts w:ascii="Arial" w:hAnsi="Arial"/>
                <w:sz w:val="14"/>
              </w:rPr>
              <w:t>MHI</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Thermal systems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Exhaust gas coolers</w:t>
            </w:r>
            <w:r>
              <w:rPr/>
              <w:br/>
            </w:r>
            <w:r>
              <w:rPr>
                <w:rFonts w:ascii="Arial" w:hAnsi="Arial"/>
                <w:sz w:val="14"/>
              </w:rPr>
              <w:t>Charge-air coolers</w:t>
            </w:r>
            <w:r>
              <w:rPr/>
              <w:br/>
            </w:r>
            <w:r>
              <w:rPr>
                <w:rFonts w:ascii="Arial" w:hAnsi="Arial"/>
                <w:sz w:val="14"/>
              </w:rPr>
              <w:t>Aluminum radiators</w:t>
            </w:r>
            <w:r>
              <w:rPr/>
              <w:br/>
            </w:r>
            <w:r>
              <w:rPr>
                <w:rFonts w:ascii="Arial" w:hAnsi="Arial"/>
                <w:sz w:val="14"/>
              </w:rPr>
              <w:t>Aluminum cooling modules</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pPr>
            <w:r>
              <w:rPr>
                <w:rFonts w:ascii="Arial" w:hAnsi="Arial"/>
                <w:sz w:val="14"/>
              </w:rPr>
              <w:t>Passenger car, truck and off-highway OEMs</w:t>
            </w:r>
            <w:r>
              <w:rPr/>
              <w:br/>
            </w:r>
            <w:r>
              <w:rPr>
                <w:rFonts w:ascii="Arial" w:hAnsi="Arial"/>
                <w:sz w:val="14"/>
              </w:rPr>
              <w:t>Engine manufacturers</w:t>
            </w:r>
            <w:r>
              <w:rPr/>
              <w:br/>
            </w:r>
            <w:r>
              <w:rPr>
                <w:rFonts w:ascii="Arial" w:hAnsi="Arial"/>
                <w:sz w:val="14"/>
              </w:rPr>
              <w:t>Aftermarket distributors and dealers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Behr</w:t>
            </w:r>
            <w:r>
              <w:rPr/>
              <w:br/>
            </w:r>
            <w:r>
              <w:rPr>
                <w:rFonts w:ascii="Arial" w:hAnsi="Arial"/>
                <w:sz w:val="14"/>
              </w:rPr>
              <w:t>Modine</w:t>
            </w:r>
            <w:r>
              <w:rPr/>
              <w:br/>
            </w:r>
            <w:r>
              <w:rPr>
                <w:rFonts w:ascii="Arial" w:hAnsi="Arial"/>
                <w:sz w:val="14"/>
              </w:rPr>
              <w:t>Valeo</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Aftermarket filters, spark plugs, electronic components and car care products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Oil, air, fuel, transmission and coolant filters</w:t>
            </w:r>
            <w:r>
              <w:rPr/>
              <w:br/>
            </w:r>
            <w:r>
              <w:rPr>
                <w:rFonts w:ascii="Arial" w:hAnsi="Arial"/>
                <w:sz w:val="14"/>
              </w:rPr>
              <w:t>PCV valves</w:t>
            </w:r>
            <w:r>
              <w:rPr/>
              <w:br/>
            </w:r>
            <w:r>
              <w:rPr>
                <w:rFonts w:ascii="Arial" w:hAnsi="Arial"/>
                <w:sz w:val="14"/>
              </w:rPr>
              <w:t>Spark plugs</w:t>
            </w:r>
            <w:r>
              <w:rPr/>
              <w:br/>
            </w:r>
            <w:r>
              <w:rPr>
                <w:rFonts w:ascii="Arial" w:hAnsi="Arial"/>
                <w:sz w:val="14"/>
              </w:rPr>
              <w:t>Wire and cable</w:t>
            </w:r>
            <w:r>
              <w:rPr/>
              <w:br/>
            </w:r>
            <w:r>
              <w:rPr>
                <w:rFonts w:ascii="Arial" w:hAnsi="Arial"/>
                <w:sz w:val="14"/>
              </w:rPr>
              <w:t>Antifreeze/coolant</w:t>
            </w:r>
            <w:r>
              <w:rPr/>
              <w:br/>
            </w:r>
            <w:r>
              <w:rPr>
                <w:rFonts w:ascii="Arial" w:hAnsi="Arial"/>
                <w:sz w:val="14"/>
              </w:rPr>
              <w:t>Windshield washer fluids</w:t>
            </w:r>
            <w:r>
              <w:rPr/>
              <w:br/>
            </w:r>
            <w:r>
              <w:rPr>
                <w:rFonts w:ascii="Arial" w:hAnsi="Arial"/>
                <w:sz w:val="14"/>
              </w:rPr>
              <w:t>Waxes, washes and specialty cleaners</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pPr>
            <w:r>
              <w:rPr>
                <w:rFonts w:ascii="Arial" w:hAnsi="Arial"/>
                <w:sz w:val="14"/>
              </w:rPr>
              <w:t>Automotive and heavy vehicle aftermarket channels, OEMs and Original Equipment Service Providers (OES)</w:t>
            </w:r>
            <w:r>
              <w:rPr/>
              <w:br/>
            </w:r>
            <w:r>
              <w:rPr>
                <w:rFonts w:ascii="Arial" w:hAnsi="Arial"/>
                <w:sz w:val="14"/>
              </w:rPr>
              <w:t>Auto supply retailers</w:t>
            </w:r>
            <w:r>
              <w:rPr/>
              <w:br/>
            </w:r>
            <w:r>
              <w:rPr>
                <w:rFonts w:ascii="Arial" w:hAnsi="Arial"/>
                <w:sz w:val="14"/>
              </w:rPr>
              <w:t>Specialty installers</w:t>
            </w:r>
            <w:r>
              <w:rPr/>
              <w:br/>
            </w:r>
            <w:r>
              <w:rPr>
                <w:rFonts w:ascii="Arial" w:hAnsi="Arial"/>
                <w:sz w:val="14"/>
              </w:rPr>
              <w:t>Mass merchandisers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AC Delco</w:t>
            </w:r>
            <w:r>
              <w:rPr/>
              <w:br/>
            </w:r>
            <w:r>
              <w:rPr>
                <w:rFonts w:ascii="Arial" w:hAnsi="Arial"/>
                <w:sz w:val="14"/>
              </w:rPr>
              <w:t>Bosch</w:t>
            </w:r>
            <w:r>
              <w:rPr/>
              <w:br/>
            </w:r>
            <w:r>
              <w:rPr>
                <w:rFonts w:ascii="Arial" w:hAnsi="Arial"/>
                <w:sz w:val="14"/>
              </w:rPr>
              <w:t>Champion</w:t>
            </w:r>
            <w:r>
              <w:rPr/>
              <w:br/>
            </w:r>
            <w:r>
              <w:rPr>
                <w:rFonts w:ascii="Arial" w:hAnsi="Arial"/>
                <w:sz w:val="14"/>
              </w:rPr>
              <w:t>Mann &amp; Hummel</w:t>
            </w:r>
            <w:r>
              <w:rPr/>
              <w:br/>
            </w:r>
            <w:r>
              <w:rPr>
                <w:rFonts w:ascii="Arial" w:hAnsi="Arial"/>
                <w:sz w:val="14"/>
              </w:rPr>
              <w:t>NGK</w:t>
            </w:r>
            <w:r>
              <w:rPr/>
              <w:br/>
            </w:r>
            <w:r>
              <w:rPr>
                <w:rFonts w:ascii="Arial" w:hAnsi="Arial"/>
                <w:sz w:val="14"/>
              </w:rPr>
              <w:t>Peak/Old World Industries</w:t>
            </w:r>
            <w:r>
              <w:rPr/>
              <w:br/>
            </w:r>
            <w:r>
              <w:rPr>
                <w:rFonts w:ascii="Arial" w:hAnsi="Arial"/>
                <w:sz w:val="14"/>
              </w:rPr>
              <w:t>Purolator</w:t>
            </w:r>
            <w:r>
              <w:rPr/>
              <w:br/>
            </w:r>
            <w:r>
              <w:rPr>
                <w:rFonts w:ascii="Arial" w:hAnsi="Arial"/>
                <w:sz w:val="14"/>
              </w:rPr>
              <w:t>STP/ArmorAll</w:t>
            </w:r>
            <w:r>
              <w:rPr/>
              <w:br/>
            </w:r>
            <w:r>
              <w:rPr>
                <w:rFonts w:ascii="Arial" w:hAnsi="Arial"/>
                <w:sz w:val="14"/>
              </w:rPr>
              <w:t>Turtle Wax</w:t>
            </w:r>
            <w:r>
              <w:rPr/>
              <w:br/>
            </w:r>
            <w:r>
              <w:rPr>
                <w:rFonts w:ascii="Arial" w:hAnsi="Arial"/>
                <w:sz w:val="14"/>
              </w:rPr>
              <w:t>Zerex/Valvoline</w:t>
            </w:r>
          </w:p>
        </w:tc>
      </w:tr>
      <w:tr>
        <w:trPr/>
        <w:tc>
          <w:tcPr>
            <w:tcW w:w="10205" w:type="dxa"/>
            <w:gridSpan w:val="7"/>
            <w:tcBorders/>
            <w:shd w:fill="FFFFFF" w:val="clear"/>
          </w:tcPr>
          <w:p>
            <w:pPr>
              <w:pStyle w:val="HorizontalLine"/>
              <w:pBdr>
                <w:bottom w:val="single" w:sz="6" w:space="0" w:color="000000"/>
              </w:pBdr>
              <w:spacing w:before="0" w:after="283"/>
              <w:rPr/>
            </w:pPr>
            <w:r>
              <w:rPr/>
            </w:r>
          </w:p>
        </w:tc>
      </w:tr>
      <w:tr>
        <w:trPr/>
        <w:tc>
          <w:tcPr>
            <w:tcW w:w="2619" w:type="dxa"/>
            <w:tcBorders/>
            <w:shd w:fill="FFFFFF" w:val="clear"/>
          </w:tcPr>
          <w:p>
            <w:pPr>
              <w:pStyle w:val="TableContents"/>
              <w:spacing w:before="0" w:after="283"/>
              <w:jc w:val="left"/>
              <w:rPr>
                <w:rFonts w:ascii="Arial" w:hAnsi="Arial"/>
                <w:sz w:val="14"/>
              </w:rPr>
            </w:pPr>
            <w:r>
              <w:rPr>
                <w:rFonts w:ascii="Arial" w:hAnsi="Arial"/>
                <w:sz w:val="14"/>
              </w:rPr>
              <w:t>Brake hard parts and other friction materials</w:t>
            </w:r>
          </w:p>
        </w:tc>
        <w:tc>
          <w:tcPr>
            <w:tcW w:w="360" w:type="dxa"/>
            <w:tcBorders/>
            <w:shd w:fill="FFFFFF" w:val="clear"/>
          </w:tcPr>
          <w:p>
            <w:pPr>
              <w:pStyle w:val="TableContents"/>
              <w:spacing w:before="0" w:after="283"/>
              <w:jc w:val="left"/>
              <w:rPr/>
            </w:pPr>
            <w:r>
              <w:rPr/>
              <w:t>      </w:t>
            </w:r>
          </w:p>
        </w:tc>
        <w:tc>
          <w:tcPr>
            <w:tcW w:w="1835" w:type="dxa"/>
            <w:tcBorders/>
            <w:shd w:fill="FFFFFF" w:val="clear"/>
          </w:tcPr>
          <w:p>
            <w:pPr>
              <w:pStyle w:val="TableContents"/>
              <w:spacing w:before="0" w:after="283"/>
              <w:jc w:val="left"/>
              <w:rPr/>
            </w:pPr>
            <w:r>
              <w:rPr>
                <w:rFonts w:ascii="Arial" w:hAnsi="Arial"/>
                <w:sz w:val="14"/>
              </w:rPr>
              <w:t>Disc brake pads and shoes</w:t>
            </w:r>
            <w:r>
              <w:rPr/>
              <w:br/>
            </w:r>
            <w:r>
              <w:rPr>
                <w:rFonts w:ascii="Arial" w:hAnsi="Arial"/>
                <w:sz w:val="14"/>
              </w:rPr>
              <w:t>Drum brake linings</w:t>
            </w:r>
            <w:r>
              <w:rPr/>
              <w:br/>
            </w:r>
            <w:r>
              <w:rPr>
                <w:rFonts w:ascii="Arial" w:hAnsi="Arial"/>
                <w:sz w:val="14"/>
              </w:rPr>
              <w:t>Brake blocks</w:t>
            </w:r>
            <w:r>
              <w:rPr/>
              <w:br/>
            </w:r>
            <w:r>
              <w:rPr>
                <w:rFonts w:ascii="Arial" w:hAnsi="Arial"/>
                <w:sz w:val="14"/>
              </w:rPr>
              <w:t>Disc and drum brake components</w:t>
            </w:r>
            <w:r>
              <w:rPr/>
              <w:br/>
            </w:r>
            <w:r>
              <w:rPr>
                <w:rFonts w:ascii="Arial" w:hAnsi="Arial"/>
                <w:sz w:val="14"/>
              </w:rPr>
              <w:t>Brake hydraulic components</w:t>
            </w:r>
            <w:r>
              <w:rPr/>
              <w:br/>
            </w:r>
            <w:r>
              <w:rPr>
                <w:rFonts w:ascii="Arial" w:hAnsi="Arial"/>
                <w:sz w:val="14"/>
              </w:rPr>
              <w:t>Brake fluid</w:t>
            </w:r>
            <w:r>
              <w:rPr/>
              <w:br/>
            </w:r>
            <w:r>
              <w:rPr>
                <w:rFonts w:ascii="Arial" w:hAnsi="Arial"/>
                <w:sz w:val="14"/>
              </w:rPr>
              <w:t>Aircraft brake linings</w:t>
            </w:r>
            <w:r>
              <w:rPr/>
              <w:br/>
            </w:r>
            <w:r>
              <w:rPr>
                <w:rFonts w:ascii="Arial" w:hAnsi="Arial"/>
                <w:sz w:val="14"/>
              </w:rPr>
              <w:t>Railway linings</w:t>
            </w:r>
          </w:p>
        </w:tc>
        <w:tc>
          <w:tcPr>
            <w:tcW w:w="360" w:type="dxa"/>
            <w:tcBorders/>
            <w:shd w:fill="FFFFFF" w:val="clear"/>
          </w:tcPr>
          <w:p>
            <w:pPr>
              <w:pStyle w:val="TableContents"/>
              <w:spacing w:before="0" w:after="283"/>
              <w:jc w:val="left"/>
              <w:rPr/>
            </w:pPr>
            <w:r>
              <w:rPr/>
              <w:t>      </w:t>
            </w:r>
          </w:p>
        </w:tc>
        <w:tc>
          <w:tcPr>
            <w:tcW w:w="2729" w:type="dxa"/>
            <w:tcBorders/>
            <w:shd w:fill="FFFFFF" w:val="clear"/>
          </w:tcPr>
          <w:p>
            <w:pPr>
              <w:pStyle w:val="TableContents"/>
              <w:spacing w:before="0" w:after="283"/>
              <w:jc w:val="left"/>
              <w:rPr/>
            </w:pPr>
            <w:r>
              <w:rPr>
                <w:rFonts w:ascii="Arial" w:hAnsi="Arial"/>
                <w:sz w:val="14"/>
              </w:rPr>
              <w:t>Automotive and heavy vehicle OEMs, OES, brake manufacturers and aftermarket channels</w:t>
            </w:r>
            <w:r>
              <w:rPr/>
              <w:br/>
            </w:r>
            <w:r>
              <w:rPr>
                <w:rFonts w:ascii="Arial" w:hAnsi="Arial"/>
                <w:sz w:val="14"/>
              </w:rPr>
              <w:t>Mass merchandisers</w:t>
            </w:r>
            <w:r>
              <w:rPr/>
              <w:br/>
            </w:r>
            <w:r>
              <w:rPr>
                <w:rFonts w:ascii="Arial" w:hAnsi="Arial"/>
                <w:sz w:val="14"/>
              </w:rPr>
              <w:t>Installers</w:t>
            </w:r>
            <w:r>
              <w:rPr/>
              <w:br/>
            </w:r>
            <w:r>
              <w:rPr>
                <w:rFonts w:ascii="Arial" w:hAnsi="Arial"/>
                <w:sz w:val="14"/>
              </w:rPr>
              <w:t>Railway and commercial/ military aircraft OEMs and brake manufacturers</w:t>
            </w:r>
          </w:p>
        </w:tc>
        <w:tc>
          <w:tcPr>
            <w:tcW w:w="360" w:type="dxa"/>
            <w:tcBorders/>
            <w:shd w:fill="FFFFFF" w:val="clear"/>
          </w:tcPr>
          <w:p>
            <w:pPr>
              <w:pStyle w:val="TableContents"/>
              <w:spacing w:before="0" w:after="283"/>
              <w:jc w:val="left"/>
              <w:rPr/>
            </w:pPr>
            <w:r>
              <w:rPr/>
              <w:t>      </w:t>
            </w:r>
          </w:p>
        </w:tc>
        <w:tc>
          <w:tcPr>
            <w:tcW w:w="1942" w:type="dxa"/>
            <w:tcBorders/>
            <w:shd w:fill="FFFFFF" w:val="clear"/>
          </w:tcPr>
          <w:p>
            <w:pPr>
              <w:pStyle w:val="TableContents"/>
              <w:spacing w:before="0" w:after="283"/>
              <w:jc w:val="left"/>
              <w:rPr/>
            </w:pPr>
            <w:r>
              <w:rPr>
                <w:rFonts w:ascii="Arial" w:hAnsi="Arial"/>
                <w:sz w:val="14"/>
              </w:rPr>
              <w:t>Akebono</w:t>
            </w:r>
            <w:r>
              <w:rPr/>
              <w:br/>
            </w:r>
            <w:r>
              <w:rPr>
                <w:rFonts w:ascii="Arial" w:hAnsi="Arial"/>
                <w:sz w:val="14"/>
              </w:rPr>
              <w:t>Federal-Mogul</w:t>
            </w:r>
            <w:r>
              <w:rPr/>
              <w:br/>
            </w:r>
            <w:r>
              <w:rPr>
                <w:rFonts w:ascii="Arial" w:hAnsi="Arial"/>
                <w:sz w:val="14"/>
              </w:rPr>
              <w:t>ITT Galfer</w:t>
            </w:r>
            <w:r>
              <w:rPr/>
              <w:br/>
            </w:r>
            <w:r>
              <w:rPr>
                <w:rFonts w:ascii="Arial" w:hAnsi="Arial"/>
                <w:sz w:val="14"/>
              </w:rPr>
              <w:t>JBI</w:t>
            </w:r>
            <w:r>
              <w:rPr/>
              <w:br/>
            </w:r>
            <w:r>
              <w:rPr>
                <w:rFonts w:ascii="Arial" w:hAnsi="Arial"/>
                <w:sz w:val="14"/>
              </w:rPr>
              <w:t>TMD</w:t>
            </w:r>
          </w:p>
        </w:tc>
      </w:tr>
    </w:tbl>
    <w:p>
      <w:pPr>
        <w:pStyle w:val="TextBody"/>
        <w:jc w:val="left"/>
        <w:rPr>
          <w:rFonts w:ascii="Arial" w:hAnsi="Arial"/>
          <w:b/>
        </w:rPr>
      </w:pPr>
      <w:r>
        <w:rPr>
          <w:rFonts w:ascii="Arial" w:hAnsi="Arial"/>
          <w:b/>
        </w:rPr>
        <w:t>Aerospace Sales</w:t>
      </w:r>
    </w:p>
    <w:p>
      <w:pPr>
        <w:pStyle w:val="TextBody"/>
        <w:jc w:val="left"/>
        <w:rPr/>
      </w:pPr>
      <w:r>
        <w:rPr/>
        <w:t>      </w:t>
      </w:r>
      <w:r>
        <w:rPr>
          <w:rFonts w:ascii="Arial" w:hAnsi="Arial"/>
        </w:rPr>
        <w:t>Our sales to aerospace customers were 35 percent of our total sales in 2006 and 38 percent of our total sales in each of 2005 and 2004. Our sales to commercial aerospace original equipment manufacturers were 10, 9 and 8 percent of our total sales in 2006, 2005 and 2004, respectively. In addition, our sales to commercial aftermarket customers of aerospace products and services were 11, 15 and 16 percent of our total sales in 2006, 2005 and 2004, respectively. Our Aerospace results of operations can be impacted by various industry and economic conditions. See “Item 1A. Risk Factors.”</w:t>
      </w:r>
    </w:p>
    <w:p>
      <w:pPr>
        <w:pStyle w:val="TextBody"/>
        <w:jc w:val="center"/>
        <w:rPr>
          <w:rFonts w:ascii="Arial" w:hAnsi="Arial"/>
        </w:rPr>
      </w:pPr>
      <w:r>
        <w:rPr>
          <w:rFonts w:ascii="Arial" w:hAnsi="Arial"/>
        </w:rPr>
        <w:t>6</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U.S. Government Sales</w:t>
      </w:r>
    </w:p>
    <w:p>
      <w:pPr>
        <w:pStyle w:val="TextBody"/>
        <w:jc w:val="left"/>
        <w:rPr/>
      </w:pPr>
      <w:r>
        <w:rPr/>
        <w:t>      </w:t>
      </w:r>
      <w:r>
        <w:rPr>
          <w:rFonts w:ascii="Arial" w:hAnsi="Arial"/>
        </w:rPr>
        <w:t>Sales to the U.S. Government (principally by our Aerospace segment), acting through its various departments and agencies and through prime contractors, amounted to $3,688, $3,719 and $3,464 million in 2006, 2005 and 2004, respectively, which included sales to the U.S. Department of Defense, as a prime contractor and subcontractor, of $3,052, $2,939 and $2,808 million in 2006, 2005 and 2004, respectively. U.S. defense spending increased in 2006 and is also expected to increase in 2007. We do not expect to be significantly affected by any proposed changes in 2007 federal spending due principally to the varied mix of the government programs which impact us (OEM production, engineering development programs, aftermarket spares and repairs and overhaul programs). Our contracts with the U.S. Government are subject to audits, investigations, and termination by the government. See “Item 1A. Risk Factors.”</w:t>
      </w:r>
    </w:p>
    <w:p>
      <w:pPr>
        <w:pStyle w:val="TextBody"/>
        <w:jc w:val="left"/>
        <w:rPr>
          <w:rFonts w:ascii="Arial" w:hAnsi="Arial"/>
          <w:b/>
        </w:rPr>
      </w:pPr>
      <w:r>
        <w:rPr>
          <w:rFonts w:ascii="Arial" w:hAnsi="Arial"/>
          <w:b/>
        </w:rPr>
        <w:t>Backlog</w:t>
      </w:r>
    </w:p>
    <w:p>
      <w:pPr>
        <w:pStyle w:val="TextBody"/>
        <w:jc w:val="left"/>
        <w:rPr/>
      </w:pPr>
      <w:r>
        <w:rPr/>
        <w:t>      </w:t>
      </w:r>
      <w:r>
        <w:rPr>
          <w:rFonts w:ascii="Arial" w:hAnsi="Arial"/>
        </w:rPr>
        <w:t>Our total backlog at December 31, 2006 and 2005 was $10,674 and $9,327 million, respectively. We anticipate that approximately $8,162 million of the 2006 backlog will be filled in 2007. We believe that backlog is not necessarily a reliable indicator of our future sales because a substantial portion of the orders constituting this backlog may be canceled at the customer's option.</w:t>
      </w:r>
    </w:p>
    <w:p>
      <w:pPr>
        <w:pStyle w:val="TextBody"/>
        <w:jc w:val="left"/>
        <w:rPr>
          <w:rFonts w:ascii="Arial" w:hAnsi="Arial"/>
          <w:b/>
        </w:rPr>
      </w:pPr>
      <w:r>
        <w:rPr>
          <w:rFonts w:ascii="Arial" w:hAnsi="Arial"/>
          <w:b/>
        </w:rPr>
        <w:t>Competition</w:t>
      </w:r>
    </w:p>
    <w:p>
      <w:pPr>
        <w:pStyle w:val="TextBody"/>
        <w:jc w:val="left"/>
        <w:rPr/>
      </w:pPr>
      <w:r>
        <w:rPr/>
        <w:t>      </w:t>
      </w:r>
      <w:r>
        <w:rPr>
          <w:rFonts w:ascii="Arial" w:hAnsi="Arial"/>
        </w:rPr>
        <w:t>We are subject to active competition in substantially all product and service areas. Competition is expected to continue in all geographic regions. Competitive conditions vary widely among the thousands of products and services provided by us, and vary country by country. Depending on the particular customer or market involved, our businesses compete on a variety of factors, such as price, quality, reliability, delivery, customer service, performance, applied technology, product innovation and product recognition. Brand identity, service to customers and quality are generally important competitive factors for our products and services, and there is considerable price competition. Other competitive factors for certain products include breadth of product line, research and development efforts and technical and managerial capability. While our competitive position varies among our products and services, we believe we are a significant competitor in each of our major product and service classes. However, a number of our products and services are sold in competition with those of a large number of other companies, some of which have substantial financial resources and significant technological capabilities. In addition, some of our products compete with the captive component divisions of original equipment manufacturers.</w:t>
      </w:r>
    </w:p>
    <w:p>
      <w:pPr>
        <w:pStyle w:val="TextBody"/>
        <w:jc w:val="left"/>
        <w:rPr>
          <w:rFonts w:ascii="Arial" w:hAnsi="Arial"/>
          <w:b/>
        </w:rPr>
      </w:pPr>
      <w:r>
        <w:rPr>
          <w:rFonts w:ascii="Arial" w:hAnsi="Arial"/>
          <w:b/>
        </w:rPr>
        <w:t>International Operations</w:t>
      </w:r>
    </w:p>
    <w:p>
      <w:pPr>
        <w:pStyle w:val="TextBody"/>
        <w:jc w:val="left"/>
        <w:rPr/>
      </w:pPr>
      <w:r>
        <w:rPr/>
        <w:t>      </w:t>
      </w:r>
      <w:r>
        <w:rPr>
          <w:rFonts w:ascii="Arial" w:hAnsi="Arial"/>
        </w:rPr>
        <w:t>We are engaged in manufacturing, sales, service and research and development mainly in the United States, Europe, Canada, Asia and Latin America. U.S. exports and foreign manufactured products are significant to our operations. U.S. exports comprised 11, 10 and 9 percent of our total sales in 2006, 2005 and 2004, respectively. Foreign manufactured products and services, mainly in Europe, were 37, 35 and 35 percent of our total sales in 2006, 2005 and 2004, respectively.</w:t>
      </w:r>
    </w:p>
    <w:p>
      <w:pPr>
        <w:pStyle w:val="TextBody"/>
        <w:jc w:val="left"/>
        <w:rPr/>
      </w:pPr>
      <w:r>
        <w:rPr/>
        <w:t>      </w:t>
      </w:r>
      <w:r>
        <w:rPr>
          <w:rFonts w:ascii="Arial" w:hAnsi="Arial"/>
        </w:rPr>
        <w:t>Approximately 19 percent of total 2006 sales of Aerospace-related products and services were exports of U.S. manufactured products and systems and performance of services such as aircraft repair and overhaul. Exports were principally made to Europe, Canada, Asia and Latin America. Foreign manufactured products and systems and performance of services comprised approximately 14 percent of total 2006 Aerospace sales. The principal manufacturing facilities outside the U.S. are in Europe, with less significant operations in Canada and Asia.</w:t>
      </w:r>
    </w:p>
    <w:p>
      <w:pPr>
        <w:pStyle w:val="TextBody"/>
        <w:jc w:val="left"/>
        <w:rPr/>
      </w:pPr>
      <w:r>
        <w:rPr/>
        <w:t>      </w:t>
      </w:r>
      <w:r>
        <w:rPr>
          <w:rFonts w:ascii="Arial" w:hAnsi="Arial"/>
        </w:rPr>
        <w:t>Approximately 2 percent of total 2006 sales of Automation and Control Solutions products were exports of U.S. manufactured products. Foreign manufactured products and performance of services accounted for 55 percent of total 2006 sales of Automation and Control Solutions. The principal manufacturing facilities outside the U.S. are in Europe with less significant operations in Asia, Canada and Latin America.</w:t>
      </w:r>
    </w:p>
    <w:p>
      <w:pPr>
        <w:pStyle w:val="TextBody"/>
        <w:jc w:val="left"/>
        <w:rPr/>
      </w:pPr>
      <w:r>
        <w:rPr/>
        <w:t>      </w:t>
      </w:r>
      <w:r>
        <w:rPr>
          <w:rFonts w:ascii="Arial" w:hAnsi="Arial"/>
        </w:rPr>
        <w:t>Approximately 25 percent of total 2006 sales of Specialty Materials products were exports of U.S. manufactured products. Exports were principally made to Asia, Europe, Latin America and Canada.</w:t>
      </w:r>
    </w:p>
    <w:p>
      <w:pPr>
        <w:pStyle w:val="TextBody"/>
        <w:jc w:val="center"/>
        <w:rPr>
          <w:rFonts w:ascii="Arial" w:hAnsi="Arial"/>
        </w:rPr>
      </w:pPr>
      <w:r>
        <w:rPr>
          <w:rFonts w:ascii="Arial" w:hAnsi="Arial"/>
        </w:rPr>
        <w:t>7</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Foreign manufactured products comprised 22 percent of total 2006 sales of Specialty Materials. The principal manufacturing facilities outside the U.S. are in Europe, with less significant operations in Asia and Canada.</w:t>
      </w:r>
    </w:p>
    <w:p>
      <w:pPr>
        <w:pStyle w:val="TextBody"/>
        <w:jc w:val="left"/>
        <w:rPr>
          <w:rFonts w:ascii="Arial" w:hAnsi="Arial"/>
        </w:rPr>
      </w:pPr>
      <w:r>
        <w:rPr>
          <w:rFonts w:ascii="Arial" w:hAnsi="Arial"/>
        </w:rPr>
        <w:t>Exports of U.S. manufactured products comprised 1 percent of total 2006 sales of Transportation Systems products. Foreign manufactured products accounted for 63 percent of total 2006 sales of Transportation Systems. The principal manufacturing facilities outside the U.S. are in Europe, with less significant operations in Asia, Latin America and Canada.</w:t>
      </w:r>
    </w:p>
    <w:p>
      <w:pPr>
        <w:pStyle w:val="TextBody"/>
        <w:jc w:val="left"/>
        <w:rPr>
          <w:rFonts w:ascii="Arial" w:hAnsi="Arial"/>
        </w:rPr>
      </w:pPr>
      <w:r>
        <w:rPr>
          <w:rFonts w:ascii="Arial" w:hAnsi="Arial"/>
        </w:rPr>
        <w:t>Financial information including net sales and long-lived assets related to geographic areas is included in Note 24 of Notes to Financial Statements in “Item 8. Financial Statements and Supplementary Data”. Information regarding the economic, political, regulatory and other risks associated with international operations is included in “Item 1A. Risk Factors.”</w:t>
      </w:r>
    </w:p>
    <w:p>
      <w:pPr>
        <w:pStyle w:val="TextBody"/>
        <w:jc w:val="left"/>
        <w:rPr>
          <w:rFonts w:ascii="Arial" w:hAnsi="Arial"/>
          <w:b/>
        </w:rPr>
      </w:pPr>
      <w:r>
        <w:rPr>
          <w:rFonts w:ascii="Arial" w:hAnsi="Arial"/>
          <w:b/>
        </w:rPr>
        <w:t>Raw Materials</w:t>
      </w:r>
    </w:p>
    <w:p>
      <w:pPr>
        <w:pStyle w:val="TextBody"/>
        <w:jc w:val="left"/>
        <w:rPr/>
      </w:pPr>
      <w:r>
        <w:rPr/>
        <w:t>      </w:t>
      </w:r>
      <w:r>
        <w:rPr>
          <w:rFonts w:ascii="Arial" w:hAnsi="Arial"/>
        </w:rPr>
        <w:t>The principal raw materials used in our operations are generally readily available. We experienced no significant or unusual problems in the purchase of key raw materials and commodities in 2006. We are not dependent on any one supplier for a material amount of our raw materials, except related to phenol, a raw material used in our Specialty Materials segment. We purchase phenol under a supply agreement with one supplier. We have no reason to believe there is any material risk to this supply.</w:t>
      </w:r>
    </w:p>
    <w:p>
      <w:pPr>
        <w:pStyle w:val="TextBody"/>
        <w:jc w:val="left"/>
        <w:rPr/>
      </w:pPr>
      <w:r>
        <w:rPr/>
        <w:t>      </w:t>
      </w:r>
      <w:r>
        <w:rPr>
          <w:rFonts w:ascii="Arial" w:hAnsi="Arial"/>
        </w:rPr>
        <w:t>We are highly dependent on our suppliers and subcontractors in order to meet commitments to our customers. In addition, many major components and product equipment items are procured or subcontracted on a sole-source basis with a number of domestic and foreign companies. We maintain a qualification and performance surveillance process to control risk associated with such reliance on third parties. While we believe that sources of supply for raw materials and components are generally adequate, it is difficult to predict what effects shortages or price increases may have in the future.</w:t>
      </w:r>
    </w:p>
    <w:p>
      <w:pPr>
        <w:pStyle w:val="TextBody"/>
        <w:jc w:val="left"/>
        <w:rPr/>
      </w:pPr>
      <w:r>
        <w:rPr/>
        <w:t>      </w:t>
      </w:r>
      <w:r>
        <w:rPr>
          <w:rFonts w:ascii="Arial" w:hAnsi="Arial"/>
        </w:rPr>
        <w:t>The costs of certain key raw materials, including natural gas, benzene (the key component in phenol) and fluorspar in our Specialty Materials' business, steel and nickel in our Transportation Systems business, and nickel, titanium and other metals in our Aerospace business, were at historically high levels in 2006 and are expected to remain at high price levels. In addition, in 2006 certain large long-term fixed supplier price agreements expired, primarily relating to components used by our Aerospace business, which in the aggregate, subjected us to higher volatility in certain component costs. We will continue to attempt to offset raw material cost increases with formula price agreements, price increases and hedging activities where feasible. We have no reason to believe a shortage of raw materials will cause any material adverse impact during 2007. See “Item 1A. Risk Factors” for further discussion.</w:t>
      </w:r>
    </w:p>
    <w:p>
      <w:pPr>
        <w:pStyle w:val="TextBody"/>
        <w:jc w:val="left"/>
        <w:rPr>
          <w:rFonts w:ascii="Arial" w:hAnsi="Arial"/>
          <w:b/>
        </w:rPr>
      </w:pPr>
      <w:r>
        <w:rPr>
          <w:rFonts w:ascii="Arial" w:hAnsi="Arial"/>
          <w:b/>
        </w:rPr>
        <w:t>Patents, Trademarks, Licenses and Distribution Rights</w:t>
      </w:r>
    </w:p>
    <w:p>
      <w:pPr>
        <w:pStyle w:val="TextBody"/>
        <w:jc w:val="left"/>
        <w:rPr/>
      </w:pPr>
      <w:r>
        <w:rPr/>
        <w:t>      </w:t>
      </w:r>
      <w:r>
        <w:rPr>
          <w:rFonts w:ascii="Arial" w:hAnsi="Arial"/>
        </w:rPr>
        <w:t>Our reportable segments are not dependent upon any single patent or related group of patents, or any licenses or distribution rights. We own, or are licensed under, a large number of patents, patent applications and trademarks acquired over a period of many years, which relate to many of our products or improvements to those products and which are of importance to our business. From time to time, new patents and trademarks are obtained, and patent and trademark licenses and rights are acquired from others. We also have distribution rights of varying terms for a number of products and services produced by other companies. In our judgment, those rights are adequate for the conduct of our business. We believe that, in the aggregate, the rights under our patents, trademarks and licenses are generally important to our operations, but we do not consider any patent, trademark or related group of patents, or any licensing or distribution rights related to a specific process or product, to be of material importance in relation to our total business. See “Item 1A. Risk Factors” for further discussion.</w:t>
      </w:r>
    </w:p>
    <w:p>
      <w:pPr>
        <w:pStyle w:val="TextBody"/>
        <w:jc w:val="left"/>
        <w:rPr/>
      </w:pPr>
      <w:r>
        <w:rPr/>
        <w:t>      </w:t>
      </w:r>
      <w:r>
        <w:rPr>
          <w:rFonts w:ascii="Arial" w:hAnsi="Arial"/>
        </w:rPr>
        <w:t>We have registered trademarks for a number of our products and services, including Honeywell, UOP, Prestone, FRAM, Autolite, Bendix, Jurid, Holts, Garrett, Ademco, Fire-Lite, Notifier, System Sensor, MK, Novar, Genetron, Enovate, Spectra, Aclar, Simoniz and Redex.</w:t>
      </w:r>
    </w:p>
    <w:p>
      <w:pPr>
        <w:pStyle w:val="TextBody"/>
        <w:jc w:val="center"/>
        <w:rPr>
          <w:rFonts w:ascii="Arial" w:hAnsi="Arial"/>
        </w:rPr>
      </w:pPr>
      <w:r>
        <w:rPr>
          <w:rFonts w:ascii="Arial" w:hAnsi="Arial"/>
        </w:rPr>
        <w:t>8</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Research and Development</w:t>
      </w:r>
    </w:p>
    <w:p>
      <w:pPr>
        <w:pStyle w:val="TextBody"/>
        <w:jc w:val="left"/>
        <w:rPr/>
      </w:pPr>
      <w:r>
        <w:rPr/>
        <w:t>      </w:t>
      </w:r>
      <w:r>
        <w:rPr>
          <w:rFonts w:ascii="Arial" w:hAnsi="Arial"/>
        </w:rPr>
        <w:t>Our research activities are directed toward the discovery and development of new products, technologies and processes and the development of new uses for existing products. The Company has research and development activities in the U.S., Europe, India and China.</w:t>
      </w:r>
    </w:p>
    <w:p>
      <w:pPr>
        <w:pStyle w:val="TextBody"/>
        <w:jc w:val="left"/>
        <w:rPr/>
      </w:pPr>
      <w:r>
        <w:rPr/>
        <w:t>      </w:t>
      </w:r>
      <w:r>
        <w:rPr>
          <w:rFonts w:ascii="Arial" w:hAnsi="Arial"/>
        </w:rPr>
        <w:t>Research and development (R&amp;D) expense totaled $1,411, $1,072 and $917 million in 2006, 2005 and 2004, respectively. The increase in R&amp;D expense in 2006 compared to 2005 of 32 percent was primarily due to the impact of additional R&amp;D expense for UOP in Specialty Materials as well as product, design and development costs in Aerospace and Automation and Control Solutions. The increase in research and development expense in 2005 compared with 2004 of 17 percent resulted primarily from design and developments costs associated with new aircraft platforms in Aerospace and new product development costs in Automation and Control Solutions. Customer-sponsored (principally the U.S. Government) R&amp;D activities amounted to an additional $777, $694 and $593 million in 2006, 2005 and 2004, respectively.</w:t>
      </w:r>
    </w:p>
    <w:p>
      <w:pPr>
        <w:pStyle w:val="TextBody"/>
        <w:jc w:val="left"/>
        <w:rPr>
          <w:rFonts w:ascii="Arial" w:hAnsi="Arial"/>
          <w:b/>
        </w:rPr>
      </w:pPr>
      <w:r>
        <w:rPr>
          <w:rFonts w:ascii="Arial" w:hAnsi="Arial"/>
          <w:b/>
        </w:rPr>
        <w:t>Environment</w:t>
      </w:r>
    </w:p>
    <w:p>
      <w:pPr>
        <w:pStyle w:val="TextBody"/>
        <w:jc w:val="left"/>
        <w:rPr/>
      </w:pPr>
      <w:r>
        <w:rPr/>
        <w:t>      </w:t>
      </w:r>
      <w:r>
        <w:rPr>
          <w:rFonts w:ascii="Arial" w:hAnsi="Arial"/>
        </w:rPr>
        <w:t>We are subject to various federal, state, local and foreign government requirements regulating the discharge of materials into the environment or otherwise relating to the protection of the environment. It is our policy to comply with these requirements, and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pStyle w:val="TextBody"/>
        <w:jc w:val="left"/>
        <w:rPr/>
      </w:pPr>
      <w:r>
        <w:rPr/>
        <w:t>      </w:t>
      </w:r>
      <w:r>
        <w:rPr>
          <w:rFonts w:ascii="Arial" w:hAnsi="Arial"/>
        </w:rPr>
        <w:t>We are and have been engaged in the handling, manufacture, use and disposal of many substances classified as hazardous or toxic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possible, however,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pStyle w:val="TextBody"/>
        <w:jc w:val="left"/>
        <w:rPr/>
      </w:pPr>
      <w:r>
        <w:rPr/>
        <w:t>      </w:t>
      </w:r>
      <w:r>
        <w:rPr>
          <w:rFonts w:ascii="Arial" w:hAnsi="Arial"/>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superfund priority list. Although, under some court interpretations of these laws, there is a possibility that a responsible party might have to bear more than its proportional share of the cleanup costs if it is unable to obtain appropriate contribution from other responsible parties, we have not had to bear significantly more than our proportional share in multi-party situations taken as a whole.</w:t>
      </w:r>
    </w:p>
    <w:p>
      <w:pPr>
        <w:pStyle w:val="TextBody"/>
        <w:jc w:val="left"/>
        <w:rPr/>
      </w:pPr>
      <w:r>
        <w:rPr/>
        <w:t>      </w:t>
      </w:r>
      <w:r>
        <w:rPr>
          <w:rFonts w:ascii="Arial" w:hAnsi="Arial"/>
        </w:rPr>
        <w:t>Further information, including the current status of significant environmental matters and the financial impact incurred for remediation of such environmental matters, if any, is included in “Item 7. Management's Discussion and Analysis of Financial Condition and Results of Operations,” in Note 21 of Notes to Financial Statements in “Item 8. Financial Statements and Supplementary Data,” and in “Item 1A. Risk Factors.”</w:t>
      </w:r>
    </w:p>
    <w:p>
      <w:pPr>
        <w:pStyle w:val="TextBody"/>
        <w:jc w:val="left"/>
        <w:rPr>
          <w:rFonts w:ascii="Arial" w:hAnsi="Arial"/>
          <w:b/>
        </w:rPr>
      </w:pPr>
      <w:r>
        <w:rPr>
          <w:rFonts w:ascii="Arial" w:hAnsi="Arial"/>
          <w:b/>
        </w:rPr>
        <w:t>Employees</w:t>
      </w:r>
    </w:p>
    <w:p>
      <w:pPr>
        <w:pStyle w:val="TextBody"/>
        <w:jc w:val="left"/>
        <w:rPr/>
      </w:pPr>
      <w:r>
        <w:rPr/>
        <w:t>      </w:t>
      </w:r>
      <w:r>
        <w:rPr>
          <w:rFonts w:ascii="Arial" w:hAnsi="Arial"/>
        </w:rPr>
        <w:t>We have approximately 118,000 employees at December 31, 2006, of which approximately 56,000 were located in the United States.</w:t>
      </w:r>
    </w:p>
    <w:p>
      <w:pPr>
        <w:pStyle w:val="TextBody"/>
        <w:jc w:val="center"/>
        <w:rPr>
          <w:rFonts w:ascii="Arial" w:hAnsi="Arial"/>
        </w:rPr>
      </w:pPr>
      <w:r>
        <w:rPr>
          <w:rFonts w:ascii="Arial" w:hAnsi="Arial"/>
        </w:rPr>
        <w:t>9</w:t>
      </w:r>
    </w:p>
    <w:p>
      <w:pPr>
        <w:pStyle w:val="HorizontalLine"/>
        <w:pBdr>
          <w:bottom w:val="single" w:sz="20" w:space="0" w:color="000000"/>
        </w:pBdr>
        <w:rPr/>
      </w:pPr>
      <w:r>
        <w:rPr/>
      </w:r>
      <w:r>
        <w:br w:type="page"/>
      </w:r>
    </w:p>
    <w:p>
      <w:pPr>
        <w:pStyle w:val="TextBody"/>
        <w:jc w:val="left"/>
        <w:rPr>
          <w:rFonts w:ascii="Arial" w:hAnsi="Arial"/>
          <w:b/>
        </w:rPr>
      </w:pPr>
      <w:bookmarkStart w:id="5" w:name="Risk"/>
      <w:bookmarkEnd w:id="5"/>
      <w:r>
        <w:rPr>
          <w:rFonts w:ascii="Arial" w:hAnsi="Arial"/>
          <w:b/>
        </w:rPr>
        <w:t>Item 1A. Risk Factors</w:t>
      </w:r>
    </w:p>
    <w:p>
      <w:pPr>
        <w:pStyle w:val="TextBody"/>
        <w:jc w:val="left"/>
        <w:rPr>
          <w:rFonts w:ascii="Arial" w:hAnsi="Arial"/>
          <w:b/>
        </w:rPr>
      </w:pPr>
      <w:r>
        <w:rPr>
          <w:rFonts w:ascii="Arial" w:hAnsi="Arial"/>
          <w:b/>
        </w:rPr>
        <w:t>Cautionary Statement about Forward-Looking Statements</w:t>
      </w:r>
    </w:p>
    <w:p>
      <w:pPr>
        <w:pStyle w:val="TextBody"/>
        <w:jc w:val="left"/>
        <w:rPr/>
      </w:pPr>
      <w:r>
        <w:rPr/>
        <w:t>      </w:t>
      </w:r>
      <w:r>
        <w:rPr>
          <w:rFonts w:ascii="Arial" w:hAnsi="Arial"/>
        </w:rPr>
        <w:t>We have described many of the trends and other factors that drive our business and future results in “Item 7. Management's Discussion and Analysis of Financial Condition and Results of Operations”, including the discussion of economic and other factors and areas of focus for 2007 for the Company and/or each of our segments. These sections and other parts of this report (including this Item 1A) contain “forward-looking statements” within the meaning of Section 21E of the Securities Exchange Act of 1934.</w:t>
      </w:r>
    </w:p>
    <w:p>
      <w:pPr>
        <w:pStyle w:val="TextBody"/>
        <w:jc w:val="left"/>
        <w:rPr/>
      </w:pPr>
      <w:r>
        <w:rPr/>
        <w:t>      </w:t>
      </w:r>
      <w:r>
        <w:rPr>
          <w:rFonts w:ascii="Arial" w:hAnsi="Arial"/>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w:t>
      </w:r>
    </w:p>
    <w:p>
      <w:pPr>
        <w:pStyle w:val="TextBody"/>
        <w:jc w:val="left"/>
        <w:rPr>
          <w:rFonts w:ascii="Arial" w:hAnsi="Arial"/>
          <w:b/>
        </w:rPr>
      </w:pPr>
      <w:r>
        <w:rPr>
          <w:rFonts w:ascii="Arial" w:hAnsi="Arial"/>
          <w:b/>
        </w:rPr>
        <w:t>Risk Factors</w:t>
      </w:r>
    </w:p>
    <w:p>
      <w:pPr>
        <w:pStyle w:val="TextBody"/>
        <w:jc w:val="left"/>
        <w:rPr/>
      </w:pPr>
      <w:r>
        <w:rPr/>
        <w:t>      </w:t>
      </w:r>
      <w:r>
        <w:rPr>
          <w:rFonts w:ascii="Arial" w:hAnsi="Arial"/>
        </w:rPr>
        <w:t>Our business, operating results, cash flows and financial condition are subject to various risks and uncertainties, including, without limitation, those set forth below, any one of which could cause our actual results to vary materially from recent results or from our anticipated future results.</w:t>
      </w:r>
    </w:p>
    <w:p>
      <w:pPr>
        <w:pStyle w:val="TextBody"/>
        <w:jc w:val="left"/>
        <w:rPr>
          <w:rFonts w:ascii="Arial" w:hAnsi="Arial"/>
          <w:b/>
          <w:i/>
        </w:rPr>
      </w:pPr>
      <w:r>
        <w:rPr>
          <w:rFonts w:ascii="Arial" w:hAnsi="Arial"/>
          <w:b/>
          <w:i/>
        </w:rPr>
        <w:t>Industry and economic conditions may adversely affect the market and operating conditions of our customers, which in turn can affect demand for our products and services and our results of operations.</w:t>
      </w:r>
    </w:p>
    <w:p>
      <w:pPr>
        <w:pStyle w:val="TextBody"/>
        <w:jc w:val="left"/>
        <w:rPr/>
      </w:pPr>
      <w:r>
        <w:rPr/>
        <w:t>      </w:t>
      </w:r>
      <w:r>
        <w:rPr>
          <w:rFonts w:ascii="Arial" w:hAnsi="Arial"/>
        </w:rPr>
        <w:t>The operating results of our segments are impacted by general industry and economic conditions that can cause changes in spending and capital investment patterns, demand for our products and services and the level of our manufacturing costs. The operating results of our Aerospace segment, which generated 35 percent of our consolidated revenues in 2006, are directly tied to cyclical industry and economic conditions, including global demand for air travel as reflected in new aircraft production and/or the retirement of older aircraft, global flying hours, and business and general aviation aircraft utilization rates, as well as the level and mix of U.S. Government appropriations for defense and space programs (as further discussed in other risk factors below). The challenging operating environment faced by the commercial airline industry is expected to continue and may be influenced by a wide variety of factors including aircraft fuel prices, labor issues, airline consolidation, airline insolvencies, terrorism and safety concerns, and changes in regulations. Future terrorist actions or pandemic health issues could dramatically reduce both the demand for air travel and our Aerospace aftermarket sales and margins. The operating results of our Automation and Control Solutions (ACS) segment, which generated 35 percent of our consolidated revenues in 2006, are impacted by the level of global residential and commercial construction (including retrofits and upgrades), capital spending on building and process automation, industrial plant capacity utilization and expansion, and material price inflation. Specialty Materials' operating results, which generated 15 percent of our consolidated revenues in 2006, are impacted by global gross domestic product and capacity utilization for chemical, industrial, refining and petrochemical plants. Transportation Systems' operating results, which generated 15 percent of our consolidated revenues in 2006, are impacted by global production and demand for automobiles and trucks equipped with turbochargers, regulatory changes regarding automobile and truck emissions and consumer spending for automotive aftermarket and car care products.</w:t>
      </w:r>
    </w:p>
    <w:p>
      <w:pPr>
        <w:pStyle w:val="TextBody"/>
        <w:jc w:val="center"/>
        <w:rPr>
          <w:rFonts w:ascii="Arial" w:hAnsi="Arial"/>
        </w:rPr>
      </w:pPr>
      <w:r>
        <w:rPr>
          <w:rFonts w:ascii="Arial" w:hAnsi="Arial"/>
        </w:rPr>
        <w:t>10</w:t>
      </w:r>
    </w:p>
    <w:p>
      <w:pPr>
        <w:pStyle w:val="HorizontalLine"/>
        <w:pBdr>
          <w:bottom w:val="single" w:sz="20" w:space="0" w:color="000000"/>
        </w:pBdr>
        <w:rPr/>
      </w:pPr>
      <w:r>
        <w:rPr/>
      </w:r>
      <w:r>
        <w:br w:type="page"/>
      </w:r>
    </w:p>
    <w:p>
      <w:pPr>
        <w:pStyle w:val="TextBody"/>
        <w:jc w:val="left"/>
        <w:rPr>
          <w:rFonts w:ascii="Arial" w:hAnsi="Arial"/>
          <w:b/>
          <w:i/>
        </w:rPr>
      </w:pPr>
      <w:r>
        <w:rPr>
          <w:rFonts w:ascii="Arial" w:hAnsi="Arial"/>
          <w:b/>
          <w:i/>
        </w:rPr>
        <w:t>Raw material price fluctuations and the ability of key suppliers to meet quality and delivery requirements can increase the cost of our products and services and impact our ability to meet commitments to customers.</w:t>
      </w:r>
    </w:p>
    <w:p>
      <w:pPr>
        <w:pStyle w:val="TextBody"/>
        <w:jc w:val="left"/>
        <w:rPr/>
      </w:pPr>
      <w:r>
        <w:rPr/>
        <w:t>      </w:t>
      </w:r>
      <w:r>
        <w:rPr>
          <w:rFonts w:ascii="Arial" w:hAnsi="Arial"/>
        </w:rPr>
        <w:t>The cost of raw materials is a key element in the cost of our products, particularly in our Specialty Materials (fluorspar, benzene (the key component in phenol) and natural gas), Transportation Systems (nickel and steel) and Aerospace (nickel, titanium and other metals) segments. Our inability to offset material price inflation through increased prices to customers, long-term fixed price contracts with suppliers, productivity actions or through commodity hedges could adversely affect our results of operations.</w:t>
      </w:r>
    </w:p>
    <w:p>
      <w:pPr>
        <w:pStyle w:val="TextBody"/>
        <w:jc w:val="left"/>
        <w:rPr/>
      </w:pPr>
      <w:r>
        <w:rPr/>
        <w:t>      </w:t>
      </w:r>
      <w:r>
        <w:rPr>
          <w:rFonts w:ascii="Arial" w:hAnsi="Arial"/>
        </w:rPr>
        <w:t>Our manufacturing operations are also highly dependent upon the delivery of materials by outside suppliers and their assembly of major components and subsystems used in our products in a timely manner and in full compliance with purchase order terms and conditions, quality standards, and applicable laws and regulations. We also depend in limited instances on sole source suppliers. Our suppliers may fail to perform according to specifications as and when required and we may be unable to identify alternate suppliers or to otherwise mitigate the consequences of their non-performance. The supply chains for our businesses could also be disrupted by external events such as natural disasters, pandemic health issues, terrorist actions, labor disputes or governmental actions. Our inability to fill our supply needs would jeopardize our ability to fulfill obligations under commercial and government contracts, which could, in turn, result in reduced sales and profits, contract penalties or terminations, and damage to customer relationships.</w:t>
      </w:r>
    </w:p>
    <w:p>
      <w:pPr>
        <w:pStyle w:val="TextBody"/>
        <w:jc w:val="left"/>
        <w:rPr>
          <w:rFonts w:ascii="Arial" w:hAnsi="Arial"/>
          <w:b/>
          <w:i/>
        </w:rPr>
      </w:pPr>
      <w:r>
        <w:rPr>
          <w:rFonts w:ascii="Arial" w:hAnsi="Arial"/>
          <w:b/>
          <w:i/>
        </w:rPr>
        <w:t>Our future growth is largely dependent upon our ability to develop new technologies that achieve market acceptance with acceptable margins.</w:t>
      </w:r>
    </w:p>
    <w:p>
      <w:pPr>
        <w:pStyle w:val="TextBody"/>
        <w:jc w:val="left"/>
        <w:rPr/>
      </w:pPr>
      <w:r>
        <w:rPr/>
        <w:t>      </w:t>
      </w:r>
      <w:r>
        <w:rPr>
          <w:rFonts w:ascii="Arial" w:hAnsi="Arial"/>
        </w:rPr>
        <w:t>Our businesses operate in global markets that are characterized by rapidly changing technologies and evolving industry standards. Accordingly, our future growth rate depends upon a number of factors, including our ability to (i) identify emerging technological trends in our target end-markets, (ii) develop and maintain competitive products, (iii) enhance our products by adding innovative features that differentiate our products from those of our competitors, and (iv) develop, manufacture and bring products to market quickly and cost-effectively.</w:t>
      </w:r>
    </w:p>
    <w:p>
      <w:pPr>
        <w:pStyle w:val="TextBody"/>
        <w:jc w:val="left"/>
        <w:rPr/>
      </w:pPr>
      <w:r>
        <w:rPr/>
        <w:t>      </w:t>
      </w:r>
      <w:r>
        <w:rPr>
          <w:rFonts w:ascii="Arial" w:hAnsi="Arial"/>
        </w:rPr>
        <w:t>Our ability to develop new products based on technological innovation can affect our competitive position and requires the investment of significant resources. These development efforts divert resources from other potential investments in our businesses, and they may not lead to the development of new technologies or products on a timely basis or that meet the needs of our customers as fully as competitive offerings. In addition, the markets for our products may not develop or grow as we currently anticipate. The failure of our technologies or products to gain market acceptance due to more attractive offerings by our competitors could significantly reduce our revenues and adversely affect our competitive standing and prospects.</w:t>
      </w:r>
    </w:p>
    <w:p>
      <w:pPr>
        <w:pStyle w:val="TextBody"/>
        <w:jc w:val="left"/>
        <w:rPr/>
      </w:pPr>
      <w:r>
        <w:rPr/>
        <w:t>      </w:t>
      </w:r>
      <w:r>
        <w:rPr>
          <w:rFonts w:ascii="Arial" w:hAnsi="Arial"/>
        </w:rPr>
        <w:t>Protecting our intellectual property is critical to our innovation efforts. We own or are licensed under a large number of U.S. and foreign patents and patent applications, trademarks and copyrights. Our intellectual property rights may be challenged, invalidated or infringed upon by third parties or we may be unable to maintain, renew or enter into new licenses of third party proprietary intellectual property on commercially reasonable terms. In some non-U.S. countries, laws affecting intellectual property are uncertain in their application, which can affect the scope or enforceability of our patents and other intellectual property rights. 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pStyle w:val="TextBody"/>
        <w:jc w:val="left"/>
        <w:rPr>
          <w:rFonts w:ascii="Arial" w:hAnsi="Arial"/>
          <w:b/>
          <w:i/>
        </w:rPr>
      </w:pPr>
      <w:r>
        <w:rPr>
          <w:rFonts w:ascii="Arial" w:hAnsi="Arial"/>
          <w:b/>
          <w:i/>
        </w:rPr>
        <w:t>An increasing percentage of our sales and operations is in non-U.S. jurisdictions and is subject to the economic, political, regulatory and other risks of international operations.</w:t>
      </w:r>
    </w:p>
    <w:p>
      <w:pPr>
        <w:pStyle w:val="TextBody"/>
        <w:jc w:val="left"/>
        <w:rPr/>
      </w:pPr>
      <w:r>
        <w:rPr/>
        <w:t>      </w:t>
      </w:r>
      <w:r>
        <w:rPr>
          <w:rFonts w:ascii="Arial" w:hAnsi="Arial"/>
        </w:rPr>
        <w:t>Our international operations, including U.S. exports, comprise a growing proportion of our operating results and our strategy calls for increasing sales to and operations in overseas markets, including developing markets such as China, India and the Middle East. In 2006, 48 percent of our total sales</w:t>
      </w:r>
    </w:p>
    <w:p>
      <w:pPr>
        <w:pStyle w:val="TextBody"/>
        <w:jc w:val="center"/>
        <w:rPr>
          <w:rFonts w:ascii="Arial" w:hAnsi="Arial"/>
        </w:rPr>
      </w:pPr>
      <w:r>
        <w:rPr>
          <w:rFonts w:ascii="Arial" w:hAnsi="Arial"/>
        </w:rPr>
        <w:t>11</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(including products manufactured in the U.S. and in international locations) were outside of the U.S. including 28 percent in Europe and 10 percent in Asia. Risks related to international operations include exchange control regulations, wage and price controls, employment regulations, foreign investment laws, import and trade restrictions (including embargoes), changes in regulations regarding transactions with state-owned enterprises, nationalization of private enterprises, government instability and our ability to hire and maintain qualified staff in these regions. The cost of compliance with increasingly complex and often conflicting regulations worldwide can also impair our flexibility in modifying product, marketing, pricing or other strategies for growing our businesses, as well as our ability to improve productivity and maintain acceptable operating margins.</w:t>
      </w:r>
    </w:p>
    <w:p>
      <w:pPr>
        <w:pStyle w:val="TextBody"/>
        <w:jc w:val="left"/>
        <w:rPr>
          <w:rFonts w:ascii="Arial" w:hAnsi="Arial"/>
        </w:rPr>
      </w:pPr>
      <w:r>
        <w:rPr>
          <w:rFonts w:ascii="Arial" w:hAnsi="Arial"/>
        </w:rPr>
        <w:t>As we continue to grow our businesses internationally, our operating results could be effected by the relative strength of the European and Asian economies and the impact of exchange rate fluctuations. We do have a policy to reduce the risk of volatility through hedging activities, but such activities bear a financial cost and may not always be available to us and may not be successful in eliminating such volatility.</w:t>
      </w:r>
    </w:p>
    <w:p>
      <w:pPr>
        <w:pStyle w:val="TextBody"/>
        <w:jc w:val="left"/>
        <w:rPr>
          <w:rFonts w:ascii="Arial" w:hAnsi="Arial"/>
          <w:b/>
          <w:i/>
        </w:rPr>
      </w:pPr>
      <w:r>
        <w:rPr>
          <w:rFonts w:ascii="Arial" w:hAnsi="Arial"/>
          <w:b/>
          <w:i/>
        </w:rPr>
        <w:t>We may be required to recognize impairment charges for our long-lived assets.</w:t>
      </w:r>
    </w:p>
    <w:p>
      <w:pPr>
        <w:pStyle w:val="TextBody"/>
        <w:jc w:val="left"/>
        <w:rPr/>
      </w:pPr>
      <w:r>
        <w:rPr/>
        <w:t>      </w:t>
      </w:r>
      <w:r>
        <w:rPr>
          <w:rFonts w:ascii="Arial" w:hAnsi="Arial"/>
        </w:rPr>
        <w:t>At December 31, 2006, the net carrying value of long-lived assets (property, plant and equipment, goodwill and other intangible assets) totaled approximately $14.5 billion. In accordance with generally accepted accounting principles, we periodically assess our long-lived assets to determine if they are impaired. Significant negative industry or economic trends, disruptions to our business, unexpected significant changes or planned changes in use of the assets, divestitures and market capitalization declines may result in impairments to goodwill and other long-lived assets. Future impairment charges could significantly affect our results of operations in the periods recognized. Impairment charges would also reduce our consolidated shareowners' equity and increase our debt-to-total-capitalization ratio, which could negatively impact our access to the public debt and equity markets.</w:t>
      </w:r>
    </w:p>
    <w:p>
      <w:pPr>
        <w:pStyle w:val="TextBody"/>
        <w:jc w:val="left"/>
        <w:rPr>
          <w:rFonts w:ascii="Arial" w:hAnsi="Arial"/>
          <w:b/>
          <w:i/>
        </w:rPr>
      </w:pPr>
      <w:r>
        <w:rPr>
          <w:rFonts w:ascii="Arial" w:hAnsi="Arial"/>
          <w:b/>
          <w:i/>
        </w:rPr>
        <w:t>A change in the level of U.S. Government defense and space funding or the mix of programs to which such funding is allocated could adversely impact sales of Aerospace's defense and space-related product and services.</w:t>
      </w:r>
    </w:p>
    <w:p>
      <w:pPr>
        <w:pStyle w:val="TextBody"/>
        <w:jc w:val="left"/>
        <w:rPr/>
      </w:pPr>
      <w:r>
        <w:rPr/>
        <w:t>      </w:t>
      </w:r>
      <w:r>
        <w:rPr>
          <w:rFonts w:ascii="Arial" w:hAnsi="Arial"/>
        </w:rPr>
        <w:t>Sales of our defense and space-related products and services are largely dependent upon government budgets, particularly the U.S. defense budget. Sales as a prime contractor and subcontractor to the U. S. Department of Defense comprised approximately 27 and 10 percent of Aerospace and total sales, respectively, for the year ended December 31, 2006. Although U.S. defense spending increased in 2006 and is expected to increase again in 2007, we cannot predict the extent to which funding for individual programs will be included, increased or reduced as part of the 2008 and subsequent budgets ultimately approved by Congress, or be included in the scope of separate supplemental appropriations. We also cannot predict the impact of potential changes in priorities due to military transformation and planning and/or the nature of war-related activity on existing, follow-on or replacement programs. A shift in defense spending to programs in which we do not participate and/or reductions in funding for or termination of existing programs could adversely impact our results of operations.</w:t>
      </w:r>
    </w:p>
    <w:p>
      <w:pPr>
        <w:pStyle w:val="TextBody"/>
        <w:jc w:val="left"/>
        <w:rPr>
          <w:rFonts w:ascii="Arial" w:hAnsi="Arial"/>
          <w:b/>
          <w:i/>
        </w:rPr>
      </w:pPr>
      <w:r>
        <w:rPr>
          <w:rFonts w:ascii="Arial" w:hAnsi="Arial"/>
          <w:b/>
          <w:i/>
        </w:rPr>
        <w:t>As a supplier of military and other equipment to the U. S. Government, we are subject to unusual risks, such as the right of the U.S. Government to terminate contracts for convenience and to conduct audits and investigations of our operations and performance.</w:t>
      </w:r>
    </w:p>
    <w:p>
      <w:pPr>
        <w:pStyle w:val="TextBody"/>
        <w:jc w:val="left"/>
        <w:rPr/>
      </w:pPr>
      <w:r>
        <w:rPr/>
        <w:t>      </w:t>
      </w:r>
      <w:r>
        <w:rPr>
          <w:rFonts w:ascii="Arial" w:hAnsi="Arial"/>
        </w:rPr>
        <w:t>In addition to normal business risks, companies like Honeywell that supply military and other equipment to the U.S. Government are subject to unusual risks, including dependence on Congressional appropriations and administrative allotment of funds, changes in governmental procurement legislations and regulations and other policies that reflect military and political developments, significant changes in contract scheduling, complexity of designs and the rapidity with which they become obsolete, necessity for constant design improvements, intense competition for U.S. Government business necessitating increases in time and investment for design and development, difficulty of forecasting costs and schedules when bidding on developmental and highly sophisticated technical work, and other factors characteristic of the</w:t>
      </w:r>
    </w:p>
    <w:p>
      <w:pPr>
        <w:pStyle w:val="TextBody"/>
        <w:jc w:val="center"/>
        <w:rPr>
          <w:rFonts w:ascii="Arial" w:hAnsi="Arial"/>
        </w:rPr>
      </w:pPr>
      <w:r>
        <w:rPr>
          <w:rFonts w:ascii="Arial" w:hAnsi="Arial"/>
        </w:rPr>
        <w:t>12</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industry. Changes are customary over the life of U.S. Government contracts, particularly development contracts, and generally result in adjustments of contract prices.</w:t>
      </w:r>
    </w:p>
    <w:p>
      <w:pPr>
        <w:pStyle w:val="TextBody"/>
        <w:jc w:val="left"/>
        <w:rPr>
          <w:rFonts w:ascii="Arial" w:hAnsi="Arial"/>
        </w:rPr>
      </w:pPr>
      <w:r>
        <w:rPr>
          <w:rFonts w:ascii="Arial" w:hAnsi="Arial"/>
        </w:rPr>
        <w:t>Our contracts with the U.S. Government are subject to audits. Like many other government contractors, we have received audit reports that recommend downward price adjustments to certain contracts to comply with various government regulations. We have made adjustments and paid voluntary refunds in appropriate cases and may do so in the future.</w:t>
      </w:r>
    </w:p>
    <w:p>
      <w:pPr>
        <w:pStyle w:val="TextBody"/>
        <w:jc w:val="left"/>
        <w:rPr>
          <w:rFonts w:ascii="Arial" w:hAnsi="Arial"/>
        </w:rPr>
      </w:pPr>
      <w:r>
        <w:rPr>
          <w:rFonts w:ascii="Arial" w:hAnsi="Arial"/>
        </w:rPr>
        <w:t>U.S. Government contracts are subject to termination by the government, either for the convenience of the government or for our failure to perform under the applicable contract. In the case of a termination for convenience, we are typically entitled to reimbursement for our allowable costs incurred, plus termination costs and a reasonable profit. If a contract is terminated by the government for our failure to perform we could be liable for additional costs incurred by the government in acquiring undelivered goods or services from any other source and any other damages suffered by the government.</w:t>
      </w:r>
    </w:p>
    <w:p>
      <w:pPr>
        <w:pStyle w:val="TextBody"/>
        <w:jc w:val="left"/>
        <w:rPr>
          <w:rFonts w:ascii="Arial" w:hAnsi="Arial"/>
        </w:rPr>
      </w:pPr>
      <w:r>
        <w:rPr>
          <w:rFonts w:ascii="Arial" w:hAnsi="Arial"/>
        </w:rPr>
        <w:t>We are also subject to government investigations of business practices and compliance with government procurement regulations. If Honeywell or one of its businesses were charged with wrongdoing as a result of any such investigation or other government investigations (including violations of certain environmental or export laws), it could be suspended from bidding on or receiving awards of new government contracts pending the completion of legal proceedings. The U.S. Government also reserves the right to debar a contractor from receiving new government contracts for fraudulent, criminal or other egregious misconduct. Debarment generally does not exceed three years.</w:t>
      </w:r>
    </w:p>
    <w:p>
      <w:pPr>
        <w:pStyle w:val="TextBody"/>
        <w:jc w:val="left"/>
        <w:rPr>
          <w:rFonts w:ascii="Arial" w:hAnsi="Arial"/>
          <w:b/>
          <w:i/>
        </w:rPr>
      </w:pPr>
      <w:r>
        <w:rPr>
          <w:rFonts w:ascii="Arial" w:hAnsi="Arial"/>
          <w:b/>
          <w:i/>
        </w:rPr>
        <w:t>Changes in legislation or government regulations or policies can have a significant impact on our results of operations.</w:t>
      </w:r>
    </w:p>
    <w:p>
      <w:pPr>
        <w:pStyle w:val="TextBody"/>
        <w:jc w:val="left"/>
        <w:rPr/>
      </w:pPr>
      <w:r>
        <w:rPr/>
        <w:t>      </w:t>
      </w:r>
      <w:r>
        <w:rPr>
          <w:rFonts w:ascii="Arial" w:hAnsi="Arial"/>
        </w:rPr>
        <w:t>The sales and margins of each of our segments are directly impacted by government regulations. Safety and performance regulations (including mandates of the Federal Aviation Administration and other similar international regulatory bodies requiring the installation of equipment on aircraft), product certification requirements and government procurement practices can impact Aerospace sales, research and development expenditures, operating costs and profitability. The demand for and cost of providing Automation and Control Solutions products, services and solutions can be impacted by fire, security, safety, health care and energy efficiency standards and regulations. Specialty Materials' results of operations can be affected by environmental (e.g. government regulation of fluorocarbons), safety and energy efficiency standards and regulations, while emissions and energy efficiency standards and regulations can impact the demand for turbochargers in our Transportation Systems segment.</w:t>
      </w:r>
    </w:p>
    <w:p>
      <w:pPr>
        <w:pStyle w:val="TextBody"/>
        <w:jc w:val="left"/>
        <w:rPr>
          <w:rFonts w:ascii="Arial" w:hAnsi="Arial"/>
          <w:b/>
          <w:i/>
        </w:rPr>
      </w:pPr>
      <w:r>
        <w:rPr>
          <w:rFonts w:ascii="Arial" w:hAnsi="Arial"/>
          <w:b/>
          <w:i/>
        </w:rPr>
        <w:t>Completed acquisitions may not perform as anticipated or be integrated as planned, and divestitures may not occur as planned.</w:t>
      </w:r>
    </w:p>
    <w:p>
      <w:pPr>
        <w:pStyle w:val="TextBody"/>
        <w:jc w:val="left"/>
        <w:rPr/>
      </w:pPr>
      <w:r>
        <w:rPr/>
        <w:t>      </w:t>
      </w:r>
      <w:r>
        <w:rPr>
          <w:rFonts w:ascii="Arial" w:hAnsi="Arial"/>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discovery of unanticipated issues or liabilities, (iii) the failure to integrate acquired businesses into Honeywell on schedule and/or to achieve synergies within the plan and timeframe, and/or (iv) the inability to dispose of non-core assets and businesses on satisfactory terms and conditions and within the expected time frame.</w:t>
      </w:r>
    </w:p>
    <w:p>
      <w:pPr>
        <w:pStyle w:val="TextBody"/>
        <w:jc w:val="left"/>
        <w:rPr>
          <w:rFonts w:ascii="Arial" w:hAnsi="Arial"/>
          <w:b/>
          <w:i/>
        </w:rPr>
      </w:pPr>
      <w:r>
        <w:rPr>
          <w:rFonts w:ascii="Arial" w:hAnsi="Arial"/>
          <w:b/>
          <w:i/>
        </w:rPr>
        <w:t>We cannot predict with certainty the outcome of litigation matters, government proceedings and other contingencies and uncertainties.</w:t>
      </w:r>
    </w:p>
    <w:p>
      <w:pPr>
        <w:pStyle w:val="TextBody"/>
        <w:jc w:val="left"/>
        <w:rPr/>
      </w:pPr>
      <w:r>
        <w:rPr/>
        <w:t>      </w:t>
      </w:r>
      <w:r>
        <w:rPr>
          <w:rFonts w:ascii="Arial" w:hAnsi="Arial"/>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and environmental, health and safety matters. Resolution of these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w:t>
      </w:r>
    </w:p>
    <w:p>
      <w:pPr>
        <w:pStyle w:val="TextBody"/>
        <w:jc w:val="center"/>
        <w:rPr>
          <w:rFonts w:ascii="Arial" w:hAnsi="Arial"/>
        </w:rPr>
      </w:pPr>
      <w:r>
        <w:rPr>
          <w:rFonts w:ascii="Arial" w:hAnsi="Arial"/>
        </w:rPr>
        <w:t>13</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impact of evidentiary requirements, and we may be required to pay damage awards or settlements, or become subject to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It also is not possible to obtain insurance to protect against all our operational risks and liabilities. The incurrence of significant liabilities for which there is no or insufficient insurance coverage could adversely affect our results of operations, cash flows, liquidity and financial condition.</w:t>
      </w:r>
    </w:p>
    <w:p>
      <w:pPr>
        <w:pStyle w:val="TextBody"/>
        <w:jc w:val="left"/>
        <w:rPr>
          <w:rFonts w:ascii="Arial" w:hAnsi="Arial"/>
          <w:b/>
          <w:i/>
        </w:rPr>
      </w:pPr>
      <w:r>
        <w:rPr>
          <w:rFonts w:ascii="Arial" w:hAnsi="Arial"/>
          <w:b/>
          <w:i/>
        </w:rPr>
        <w:t>Our operations and the prior operations of predecessor companies expose us to the risk of material environmental liabilities.</w:t>
      </w:r>
    </w:p>
    <w:p>
      <w:pPr>
        <w:pStyle w:val="TextBody"/>
        <w:jc w:val="left"/>
        <w:rPr/>
      </w:pPr>
      <w:r>
        <w:rPr/>
        <w:t>      </w:t>
      </w:r>
      <w:r>
        <w:rPr>
          <w:rFonts w:ascii="Arial" w:hAnsi="Arial"/>
        </w:rPr>
        <w:t>Mainly because of past operations and operations of predecessor companies, we are subject to potentially material liabilities related to the remediation of environmental hazards and to personal injuries or property damages that may be caused by hazardous substance releases and exposures. We have incurred remedial response and voluntary clean-up costs for site contamination and are a party to lawsuits and claims associated with environmental and safety matters, including past production of products containing toxic substances. Additional lawsuits, claims and costs involving environmental matters are likely to continue to arise in the future. We are subject to various federal, state, local and foreign government requirements regulating the discharge of materials into the environment or otherwise relating to the protection of the environment. These laws and regulations can impose substantial fines and criminal sanctions for violations, and require installation of costly equipment or operational changes to limit emissions and/or decrease the likelihood of accidental hazardous substance releases. We incur, and expect to continue to incur capital and operating costs to comply with these laws and regulations. In addition, changes in laws, regulations and enforcement of policies, the discovery of previously unknown contamination or new technology or information related to individual sites, or the imposition of new clean-up requirements or remedial techniques could require us to incur costs in the future that would have a negative effect on our financial condition or results of operations.</w:t>
      </w:r>
    </w:p>
    <w:p>
      <w:pPr>
        <w:pStyle w:val="TextBody"/>
        <w:jc w:val="left"/>
        <w:rPr>
          <w:rFonts w:ascii="Arial" w:hAnsi="Arial"/>
          <w:b/>
          <w:i/>
        </w:rPr>
      </w:pPr>
      <w:r>
        <w:rPr>
          <w:rFonts w:ascii="Arial" w:hAnsi="Arial"/>
          <w:b/>
          <w:i/>
        </w:rPr>
        <w:t>Our expenses include significant costs related to employee health and retiree health and income benefits.</w:t>
      </w:r>
    </w:p>
    <w:p>
      <w:pPr>
        <w:pStyle w:val="TextBody"/>
        <w:jc w:val="left"/>
        <w:rPr/>
      </w:pPr>
      <w:r>
        <w:rPr/>
        <w:t>      </w:t>
      </w:r>
      <w:r>
        <w:rPr>
          <w:rFonts w:ascii="Arial" w:hAnsi="Arial"/>
        </w:rPr>
        <w:t>With approximately 118,000 employees, including 56,000 in the U.S, our expenses relating to employee health and retiree health and income benefits are significant. In recent years, we have experienced significant increases in certain of these costs, largely as a result of economic factors beyond our control, in particular, ongoing increases in health care costs well in excess of the rate of inflation. Continued increasing health-care costs, and changes in other assumptions used to calculate retiree health and income benefit expenses, may affect our future profitability.</w:t>
      </w:r>
    </w:p>
    <w:p>
      <w:pPr>
        <w:pStyle w:val="TextBody"/>
        <w:jc w:val="left"/>
        <w:rPr>
          <w:rFonts w:ascii="Arial" w:hAnsi="Arial"/>
          <w:b/>
          <w:i/>
        </w:rPr>
      </w:pPr>
      <w:r>
        <w:rPr>
          <w:rFonts w:ascii="Arial" w:hAnsi="Arial"/>
          <w:b/>
          <w:i/>
        </w:rPr>
        <w:t>Additional tax expense or additional tax exposures could affect our future profitability</w:t>
      </w:r>
    </w:p>
    <w:p>
      <w:pPr>
        <w:pStyle w:val="TextBody"/>
        <w:jc w:val="left"/>
        <w:rPr/>
      </w:pPr>
      <w:r>
        <w:rPr/>
        <w:t>      </w:t>
      </w:r>
      <w:r>
        <w:rPr>
          <w:rFonts w:ascii="Arial" w:hAnsi="Arial"/>
        </w:rPr>
        <w:t>We are subject to income taxes in both the United States and various foreign jurisdictions, and our domestic and international tax liabilities are dependent upon the distribution of income among these different jurisdictions. In 2006, our tax expense represented 25.7 percent of our income before tax, and includes estimates of additional tax which may be incurred for tax exposures and reflects various estimates and assumptions, including assessments of future earnings of the Company that could effect the valuation of our deferred tax assets. Our future results could be adversely affected by changes in the effective tax rate as a result of a change in the mix of earnings in countries with differing statutory tax rates, changes in the overall profitability of the Company, changes in tax legislation, changes in the valuation of deferred tax assets and liabilities, and continuing assessments of our tax exposures.</w:t>
      </w:r>
    </w:p>
    <w:p>
      <w:pPr>
        <w:pStyle w:val="TextBody"/>
        <w:jc w:val="left"/>
        <w:rPr>
          <w:rFonts w:ascii="Arial" w:hAnsi="Arial"/>
          <w:b/>
        </w:rPr>
      </w:pPr>
      <w:bookmarkStart w:id="6" w:name="Unresolved"/>
      <w:bookmarkEnd w:id="6"/>
      <w:r>
        <w:rPr>
          <w:rFonts w:ascii="Arial" w:hAnsi="Arial"/>
          <w:b/>
        </w:rPr>
        <w:t>Item 1B. Unresolved Staff Comments</w:t>
      </w:r>
    </w:p>
    <w:p>
      <w:pPr>
        <w:pStyle w:val="TextBody"/>
        <w:jc w:val="left"/>
        <w:rPr/>
      </w:pPr>
      <w:r>
        <w:rPr/>
        <w:t>      </w:t>
      </w:r>
      <w:r>
        <w:rPr>
          <w:rFonts w:ascii="Arial" w:hAnsi="Arial"/>
        </w:rPr>
        <w:t>Not Applicable</w:t>
      </w:r>
    </w:p>
    <w:p>
      <w:pPr>
        <w:pStyle w:val="TextBody"/>
        <w:jc w:val="left"/>
        <w:rPr>
          <w:rFonts w:ascii="Arial" w:hAnsi="Arial"/>
          <w:b/>
        </w:rPr>
      </w:pPr>
      <w:bookmarkStart w:id="7" w:name="Properties"/>
      <w:bookmarkEnd w:id="7"/>
      <w:r>
        <w:rPr>
          <w:rFonts w:ascii="Arial" w:hAnsi="Arial"/>
          <w:b/>
        </w:rPr>
        <w:t>Item 2. Properties</w:t>
      </w:r>
    </w:p>
    <w:p>
      <w:pPr>
        <w:pStyle w:val="TextBody"/>
        <w:jc w:val="left"/>
        <w:rPr/>
      </w:pPr>
      <w:r>
        <w:rPr/>
        <w:t>      </w:t>
      </w:r>
      <w:r>
        <w:rPr>
          <w:rFonts w:ascii="Arial" w:hAnsi="Arial"/>
        </w:rPr>
        <w:t>We have approximately 1,300 locations consisting of plants, research laboratories, sales offices and other facilities. Our headquarters and administrative complex is located at Morris Township, New Jersey. Our plants are generally located to serve large marketing areas and to provide accessibility to raw materials</w:t>
      </w:r>
    </w:p>
    <w:p>
      <w:pPr>
        <w:pStyle w:val="TextBody"/>
        <w:jc w:val="center"/>
        <w:rPr>
          <w:rFonts w:ascii="Arial" w:hAnsi="Arial"/>
        </w:rPr>
      </w:pPr>
      <w:r>
        <w:rPr>
          <w:rFonts w:ascii="Arial" w:hAnsi="Arial"/>
        </w:rPr>
        <w:t>14</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and labor pools. Our properties are generally maintained in good operating condition. Utilization of these plants may vary with sales to customers and other business conditions; however, no major operating facility is significantly idle. We own or lease warehouses, railroad cars, barges, automobiles, trucks, airplanes and materials handling and data processing equipment. We also lease space for administrative and sales staffs. Our properties and equipment are in good operating condition and are adequate for our present needs. We do not anticipate difficulty in renewing existing leases as they expire or in finding alternative facilities.</w:t>
      </w:r>
    </w:p>
    <w:p>
      <w:pPr>
        <w:pStyle w:val="TextBody"/>
        <w:jc w:val="left"/>
        <w:rPr>
          <w:rFonts w:ascii="Arial" w:hAnsi="Arial"/>
        </w:rPr>
      </w:pPr>
      <w:r>
        <w:rPr>
          <w:rFonts w:ascii="Arial" w:hAnsi="Arial"/>
        </w:rPr>
        <w:t>Our principal plants, which are owned in fee unless otherwise indicated, are as follows:</w:t>
      </w:r>
    </w:p>
    <w:tbl>
      <w:tblPr>
        <w:tblW w:w="5000" w:type="pct"/>
        <w:jc w:val="left"/>
        <w:tblInd w:w="0" w:type="dxa"/>
        <w:tblCellMar>
          <w:top w:w="0" w:type="dxa"/>
          <w:left w:w="0" w:type="dxa"/>
          <w:bottom w:w="0" w:type="dxa"/>
          <w:right w:w="0" w:type="dxa"/>
        </w:tblCellMar>
      </w:tblPr>
      <w:tblGrid>
        <w:gridCol w:w="119"/>
        <w:gridCol w:w="3220"/>
        <w:gridCol w:w="240"/>
        <w:gridCol w:w="3853"/>
        <w:gridCol w:w="300"/>
        <w:gridCol w:w="2473"/>
      </w:tblGrid>
      <w:tr>
        <w:trPr/>
        <w:tc>
          <w:tcPr>
            <w:tcW w:w="119" w:type="dxa"/>
            <w:tcBorders/>
            <w:shd w:fill="FFFFFF" w:val="clear"/>
            <w:vAlign w:val="center"/>
          </w:tcPr>
          <w:p>
            <w:pPr>
              <w:pStyle w:val="TableContents"/>
              <w:spacing w:before="0" w:after="283"/>
              <w:rPr/>
            </w:pPr>
            <w:r>
              <w:rPr/>
              <w:t> </w:t>
            </w:r>
          </w:p>
        </w:tc>
        <w:tc>
          <w:tcPr>
            <w:tcW w:w="3220" w:type="dxa"/>
            <w:tcBorders/>
            <w:shd w:fill="FFFFFF" w:val="clear"/>
            <w:vAlign w:val="center"/>
          </w:tcPr>
          <w:p>
            <w:pPr>
              <w:pStyle w:val="TableContents"/>
              <w:spacing w:before="0" w:after="283"/>
              <w:rPr/>
            </w:pPr>
            <w:r>
              <w:rPr/>
              <w:t> </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b/>
                <w:u w:val="single"/>
              </w:rPr>
            </w:pPr>
            <w:r>
              <w:rPr>
                <w:rFonts w:ascii="Arial" w:hAnsi="Arial"/>
                <w:b/>
                <w:u w:val="single"/>
              </w:rPr>
              <w:t>Aerospace</w:t>
            </w:r>
          </w:p>
        </w:tc>
        <w:tc>
          <w:tcPr>
            <w:tcW w:w="300" w:type="dxa"/>
            <w:tcBorders/>
            <w:shd w:fill="FFFFFF" w:val="clear"/>
            <w:vAlign w:val="center"/>
          </w:tcPr>
          <w:p>
            <w:pPr>
              <w:pStyle w:val="TableContents"/>
              <w:spacing w:before="0" w:after="283"/>
              <w:rPr/>
            </w:pPr>
            <w:r>
              <w:rPr/>
              <w:t> </w:t>
            </w:r>
          </w:p>
        </w:tc>
        <w:tc>
          <w:tcPr>
            <w:tcW w:w="2473" w:type="dxa"/>
            <w:tcBorders/>
            <w:shd w:fill="FFFFFF" w:val="clear"/>
            <w:vAlign w:val="center"/>
          </w:tcPr>
          <w:p>
            <w:pPr>
              <w:pStyle w:val="TableContents"/>
              <w:spacing w:before="0" w:after="283"/>
              <w:rPr/>
            </w:pPr>
            <w:r>
              <w:rPr/>
              <w:t> </w:t>
            </w:r>
          </w:p>
        </w:tc>
      </w:tr>
      <w:tr>
        <w:trPr/>
        <w:tc>
          <w:tcPr>
            <w:tcW w:w="119" w:type="dxa"/>
            <w:tcBorders/>
            <w:shd w:fill="FFFFFF" w:val="clear"/>
          </w:tcPr>
          <w:p>
            <w:pPr>
              <w:pStyle w:val="TableContents"/>
              <w:spacing w:before="0" w:after="283"/>
              <w:jc w:val="left"/>
              <w:rPr/>
            </w:pPr>
            <w:r>
              <w:rPr/>
              <w:t>  </w:t>
            </w:r>
          </w:p>
        </w:tc>
        <w:tc>
          <w:tcPr>
            <w:tcW w:w="3220" w:type="dxa"/>
            <w:tcBorders/>
            <w:shd w:fill="FFFFFF" w:val="clear"/>
          </w:tcPr>
          <w:p>
            <w:pPr>
              <w:pStyle w:val="TableContents"/>
              <w:spacing w:before="0" w:after="283"/>
              <w:jc w:val="left"/>
              <w:rPr>
                <w:rFonts w:ascii="Arial" w:hAnsi="Arial"/>
              </w:rPr>
            </w:pPr>
            <w:r>
              <w:rPr>
                <w:rFonts w:ascii="Arial" w:hAnsi="Arial"/>
              </w:rPr>
              <w:t>Anniston, AL</w:t>
              <w:br/>
              <w:t>Glendale, AZ</w:t>
              <w:br/>
              <w:t>Phoenix, AZ</w:t>
              <w:br/>
              <w:t>Tempe, AZ</w:t>
              <w:br/>
              <w:t>Tucson, AZ</w:t>
              <w:br/>
              <w:t>Torrance, CA (partially leased)</w:t>
              <w:br/>
              <w:t>Clearwater, FL</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rPr>
            </w:pPr>
            <w:r>
              <w:rPr>
                <w:rFonts w:ascii="Arial" w:hAnsi="Arial"/>
              </w:rPr>
              <w:t>South Bend, IN</w:t>
              <w:br/>
              <w:t>Olathe, KS</w:t>
              <w:br/>
              <w:t>Minneapolis, MN</w:t>
              <w:br/>
              <w:t>Plymouth, MN</w:t>
              <w:br/>
              <w:t>Rocky Mount, NC</w:t>
              <w:br/>
              <w:t>Teterboro, NJ</w:t>
            </w:r>
          </w:p>
        </w:tc>
        <w:tc>
          <w:tcPr>
            <w:tcW w:w="300" w:type="dxa"/>
            <w:tcBorders/>
            <w:shd w:fill="FFFFFF" w:val="clear"/>
          </w:tcPr>
          <w:p>
            <w:pPr>
              <w:pStyle w:val="TableContents"/>
              <w:spacing w:before="0" w:after="283"/>
              <w:jc w:val="left"/>
              <w:rPr/>
            </w:pPr>
            <w:r>
              <w:rPr/>
              <w:t>     </w:t>
            </w:r>
          </w:p>
        </w:tc>
        <w:tc>
          <w:tcPr>
            <w:tcW w:w="2473" w:type="dxa"/>
            <w:tcBorders/>
            <w:shd w:fill="FFFFFF" w:val="clear"/>
          </w:tcPr>
          <w:p>
            <w:pPr>
              <w:pStyle w:val="TableContents"/>
              <w:spacing w:before="0" w:after="283"/>
              <w:jc w:val="left"/>
              <w:rPr>
                <w:rFonts w:ascii="Arial" w:hAnsi="Arial"/>
              </w:rPr>
            </w:pPr>
            <w:r>
              <w:rPr>
                <w:rFonts w:ascii="Arial" w:hAnsi="Arial"/>
              </w:rPr>
              <w:t>Albuquerque, NM</w:t>
              <w:br/>
              <w:t>Urbana, OH</w:t>
              <w:br/>
              <w:t>Greer, SC</w:t>
              <w:br/>
              <w:t>Redmond, WA (leased)</w:t>
              <w:br/>
              <w:t>Toronto, Canada</w:t>
              <w:br/>
              <w:t>Raunheim, Germany</w:t>
              <w:br/>
              <w:t>Singapore</w:t>
              <w:br/>
              <w:t>Yeovil, UK</w:t>
            </w:r>
          </w:p>
        </w:tc>
      </w:tr>
      <w:tr>
        <w:trPr/>
        <w:tc>
          <w:tcPr>
            <w:tcW w:w="119" w:type="dxa"/>
            <w:tcBorders/>
            <w:shd w:fill="FFFFFF" w:val="clear"/>
            <w:vAlign w:val="center"/>
          </w:tcPr>
          <w:p>
            <w:pPr>
              <w:pStyle w:val="TableContents"/>
              <w:spacing w:before="0" w:after="283"/>
              <w:rPr/>
            </w:pPr>
            <w:r>
              <w:rPr/>
              <w:t> </w:t>
            </w:r>
          </w:p>
        </w:tc>
        <w:tc>
          <w:tcPr>
            <w:tcW w:w="3220" w:type="dxa"/>
            <w:tcBorders/>
            <w:shd w:fill="FFFFFF" w:val="clear"/>
            <w:vAlign w:val="center"/>
          </w:tcPr>
          <w:p>
            <w:pPr>
              <w:pStyle w:val="TableContents"/>
              <w:spacing w:before="0" w:after="283"/>
              <w:rPr/>
            </w:pPr>
            <w:r>
              <w:rPr/>
              <w:t> </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b/>
                <w:u w:val="single"/>
              </w:rPr>
            </w:pPr>
            <w:r>
              <w:rPr>
                <w:rFonts w:ascii="Arial" w:hAnsi="Arial"/>
                <w:b/>
                <w:u w:val="single"/>
              </w:rPr>
              <w:t>Automation and Control Solutions</w:t>
            </w:r>
          </w:p>
        </w:tc>
        <w:tc>
          <w:tcPr>
            <w:tcW w:w="300" w:type="dxa"/>
            <w:tcBorders/>
            <w:shd w:fill="FFFFFF" w:val="clear"/>
            <w:vAlign w:val="center"/>
          </w:tcPr>
          <w:p>
            <w:pPr>
              <w:pStyle w:val="TableContents"/>
              <w:spacing w:before="0" w:after="283"/>
              <w:rPr/>
            </w:pPr>
            <w:r>
              <w:rPr/>
              <w:t> </w:t>
            </w:r>
          </w:p>
        </w:tc>
        <w:tc>
          <w:tcPr>
            <w:tcW w:w="2473" w:type="dxa"/>
            <w:tcBorders/>
            <w:shd w:fill="FFFFFF" w:val="clear"/>
            <w:vAlign w:val="center"/>
          </w:tcPr>
          <w:p>
            <w:pPr>
              <w:pStyle w:val="TableContents"/>
              <w:spacing w:before="0" w:after="283"/>
              <w:rPr/>
            </w:pPr>
            <w:r>
              <w:rPr/>
              <w:t> </w:t>
            </w:r>
          </w:p>
        </w:tc>
      </w:tr>
      <w:tr>
        <w:trPr/>
        <w:tc>
          <w:tcPr>
            <w:tcW w:w="119" w:type="dxa"/>
            <w:tcBorders/>
            <w:shd w:fill="FFFFFF" w:val="clear"/>
          </w:tcPr>
          <w:p>
            <w:pPr>
              <w:pStyle w:val="TableContents"/>
              <w:spacing w:before="0" w:after="283"/>
              <w:jc w:val="left"/>
              <w:rPr/>
            </w:pPr>
            <w:r>
              <w:rPr/>
              <w:t>  </w:t>
            </w:r>
          </w:p>
        </w:tc>
        <w:tc>
          <w:tcPr>
            <w:tcW w:w="3220" w:type="dxa"/>
            <w:tcBorders/>
            <w:shd w:fill="FFFFFF" w:val="clear"/>
          </w:tcPr>
          <w:p>
            <w:pPr>
              <w:pStyle w:val="TableContents"/>
              <w:spacing w:before="0" w:after="283"/>
              <w:jc w:val="left"/>
              <w:rPr>
                <w:rFonts w:ascii="Arial" w:hAnsi="Arial"/>
              </w:rPr>
            </w:pPr>
            <w:r>
              <w:rPr>
                <w:rFonts w:ascii="Arial" w:hAnsi="Arial"/>
              </w:rPr>
              <w:t>Phoenix, AZ</w:t>
              <w:br/>
              <w:t>San Diego, CA (leased)</w:t>
              <w:br/>
              <w:t>Northford, CT</w:t>
              <w:br/>
              <w:t>Freeport, IL</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rPr>
            </w:pPr>
            <w:r>
              <w:rPr>
                <w:rFonts w:ascii="Arial" w:hAnsi="Arial"/>
              </w:rPr>
              <w:t>Golden Valley, MN</w:t>
              <w:br/>
              <w:t>Murfreesboro, TN (leased)</w:t>
              <w:br/>
              <w:t>Pleasant Prairie, WI (leased)</w:t>
              <w:br/>
              <w:t>Neuss, Germany</w:t>
            </w:r>
          </w:p>
        </w:tc>
        <w:tc>
          <w:tcPr>
            <w:tcW w:w="300" w:type="dxa"/>
            <w:tcBorders/>
            <w:shd w:fill="FFFFFF" w:val="clear"/>
          </w:tcPr>
          <w:p>
            <w:pPr>
              <w:pStyle w:val="TableContents"/>
              <w:spacing w:before="0" w:after="283"/>
              <w:jc w:val="left"/>
              <w:rPr/>
            </w:pPr>
            <w:r>
              <w:rPr/>
              <w:t>     </w:t>
            </w:r>
          </w:p>
        </w:tc>
        <w:tc>
          <w:tcPr>
            <w:tcW w:w="2473" w:type="dxa"/>
            <w:tcBorders/>
            <w:shd w:fill="FFFFFF" w:val="clear"/>
          </w:tcPr>
          <w:p>
            <w:pPr>
              <w:pStyle w:val="TableContents"/>
              <w:spacing w:before="0" w:after="283"/>
              <w:jc w:val="left"/>
              <w:rPr>
                <w:rFonts w:ascii="Arial" w:hAnsi="Arial"/>
              </w:rPr>
            </w:pPr>
            <w:r>
              <w:rPr>
                <w:rFonts w:ascii="Arial" w:hAnsi="Arial"/>
              </w:rPr>
              <w:t>Chihuahua, Mexico</w:t>
              <w:br/>
              <w:t>Juarez, Mexico</w:t>
              <w:br/>
              <w:t>(partially leased)</w:t>
              <w:br/>
              <w:t>Tijuana, Mexico</w:t>
              <w:br/>
              <w:t>(leased)</w:t>
              <w:br/>
              <w:t>Emmen, Netherlands</w:t>
              <w:br/>
              <w:t>Newhouse, Scotland</w:t>
            </w:r>
          </w:p>
        </w:tc>
      </w:tr>
      <w:tr>
        <w:trPr/>
        <w:tc>
          <w:tcPr>
            <w:tcW w:w="119" w:type="dxa"/>
            <w:tcBorders/>
            <w:shd w:fill="FFFFFF" w:val="clear"/>
            <w:vAlign w:val="center"/>
          </w:tcPr>
          <w:p>
            <w:pPr>
              <w:pStyle w:val="TableContents"/>
              <w:spacing w:before="0" w:after="283"/>
              <w:rPr/>
            </w:pPr>
            <w:r>
              <w:rPr/>
              <w:t> </w:t>
            </w:r>
          </w:p>
        </w:tc>
        <w:tc>
          <w:tcPr>
            <w:tcW w:w="3220" w:type="dxa"/>
            <w:tcBorders/>
            <w:shd w:fill="FFFFFF" w:val="clear"/>
            <w:vAlign w:val="center"/>
          </w:tcPr>
          <w:p>
            <w:pPr>
              <w:pStyle w:val="TableContents"/>
              <w:spacing w:before="0" w:after="283"/>
              <w:rPr/>
            </w:pPr>
            <w:r>
              <w:rPr/>
              <w:t> </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b/>
                <w:u w:val="single"/>
              </w:rPr>
            </w:pPr>
            <w:r>
              <w:rPr>
                <w:rFonts w:ascii="Arial" w:hAnsi="Arial"/>
                <w:b/>
                <w:u w:val="single"/>
              </w:rPr>
              <w:t>Specialty Materials</w:t>
            </w:r>
          </w:p>
        </w:tc>
        <w:tc>
          <w:tcPr>
            <w:tcW w:w="300" w:type="dxa"/>
            <w:tcBorders/>
            <w:shd w:fill="FFFFFF" w:val="clear"/>
            <w:vAlign w:val="center"/>
          </w:tcPr>
          <w:p>
            <w:pPr>
              <w:pStyle w:val="TableContents"/>
              <w:spacing w:before="0" w:after="283"/>
              <w:rPr/>
            </w:pPr>
            <w:r>
              <w:rPr/>
              <w:t> </w:t>
            </w:r>
          </w:p>
        </w:tc>
        <w:tc>
          <w:tcPr>
            <w:tcW w:w="2473" w:type="dxa"/>
            <w:tcBorders/>
            <w:shd w:fill="FFFFFF" w:val="clear"/>
            <w:vAlign w:val="center"/>
          </w:tcPr>
          <w:p>
            <w:pPr>
              <w:pStyle w:val="TableContents"/>
              <w:spacing w:before="0" w:after="283"/>
              <w:rPr/>
            </w:pPr>
            <w:r>
              <w:rPr/>
              <w:t> </w:t>
            </w:r>
          </w:p>
        </w:tc>
      </w:tr>
      <w:tr>
        <w:trPr/>
        <w:tc>
          <w:tcPr>
            <w:tcW w:w="119" w:type="dxa"/>
            <w:tcBorders/>
            <w:shd w:fill="FFFFFF" w:val="clear"/>
          </w:tcPr>
          <w:p>
            <w:pPr>
              <w:pStyle w:val="TableContents"/>
              <w:spacing w:before="0" w:after="283"/>
              <w:jc w:val="left"/>
              <w:rPr/>
            </w:pPr>
            <w:r>
              <w:rPr/>
              <w:t>  </w:t>
            </w:r>
          </w:p>
        </w:tc>
        <w:tc>
          <w:tcPr>
            <w:tcW w:w="3220" w:type="dxa"/>
            <w:tcBorders/>
            <w:shd w:fill="FFFFFF" w:val="clear"/>
          </w:tcPr>
          <w:p>
            <w:pPr>
              <w:pStyle w:val="TableContents"/>
              <w:spacing w:before="0" w:after="283"/>
              <w:jc w:val="left"/>
              <w:rPr>
                <w:rFonts w:ascii="Arial" w:hAnsi="Arial"/>
              </w:rPr>
            </w:pPr>
            <w:r>
              <w:rPr>
                <w:rFonts w:ascii="Arial" w:hAnsi="Arial"/>
              </w:rPr>
              <w:t>Mobile, AL</w:t>
              <w:br/>
              <w:t>Metropolis, IL</w:t>
              <w:br/>
              <w:t>Baton Rouge, LA</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rPr>
            </w:pPr>
            <w:r>
              <w:rPr>
                <w:rFonts w:ascii="Arial" w:hAnsi="Arial"/>
              </w:rPr>
              <w:t>Geismar, LA</w:t>
              <w:br/>
              <w:t>Pottsville, PA</w:t>
              <w:br/>
              <w:t>Orange, TX</w:t>
              <w:br/>
              <w:t>Chesterfield, VA</w:t>
            </w:r>
          </w:p>
        </w:tc>
        <w:tc>
          <w:tcPr>
            <w:tcW w:w="300" w:type="dxa"/>
            <w:tcBorders/>
            <w:shd w:fill="FFFFFF" w:val="clear"/>
          </w:tcPr>
          <w:p>
            <w:pPr>
              <w:pStyle w:val="TableContents"/>
              <w:spacing w:before="0" w:after="283"/>
              <w:jc w:val="left"/>
              <w:rPr/>
            </w:pPr>
            <w:r>
              <w:rPr/>
              <w:t>     </w:t>
            </w:r>
          </w:p>
        </w:tc>
        <w:tc>
          <w:tcPr>
            <w:tcW w:w="2473" w:type="dxa"/>
            <w:tcBorders/>
            <w:shd w:fill="FFFFFF" w:val="clear"/>
          </w:tcPr>
          <w:p>
            <w:pPr>
              <w:pStyle w:val="TableContents"/>
              <w:spacing w:before="0" w:after="283"/>
              <w:jc w:val="left"/>
              <w:rPr>
                <w:rFonts w:ascii="Arial" w:hAnsi="Arial"/>
              </w:rPr>
            </w:pPr>
            <w:r>
              <w:rPr>
                <w:rFonts w:ascii="Arial" w:hAnsi="Arial"/>
              </w:rPr>
              <w:t>Colonial Heights, VA</w:t>
              <w:br/>
              <w:t>Hopewell, VA</w:t>
              <w:br/>
              <w:t>Spokane, WA</w:t>
              <w:br/>
              <w:t>Seelze, Germany</w:t>
              <w:br/>
              <w:t>Chonburi, Thailand</w:t>
            </w:r>
          </w:p>
        </w:tc>
      </w:tr>
      <w:tr>
        <w:trPr/>
        <w:tc>
          <w:tcPr>
            <w:tcW w:w="119" w:type="dxa"/>
            <w:tcBorders/>
            <w:shd w:fill="FFFFFF" w:val="clear"/>
            <w:vAlign w:val="center"/>
          </w:tcPr>
          <w:p>
            <w:pPr>
              <w:pStyle w:val="TableContents"/>
              <w:spacing w:before="0" w:after="283"/>
              <w:rPr/>
            </w:pPr>
            <w:r>
              <w:rPr/>
              <w:t> </w:t>
            </w:r>
          </w:p>
        </w:tc>
        <w:tc>
          <w:tcPr>
            <w:tcW w:w="3220" w:type="dxa"/>
            <w:tcBorders/>
            <w:shd w:fill="FFFFFF" w:val="clear"/>
            <w:vAlign w:val="center"/>
          </w:tcPr>
          <w:p>
            <w:pPr>
              <w:pStyle w:val="TableContents"/>
              <w:spacing w:before="0" w:after="283"/>
              <w:rPr/>
            </w:pPr>
            <w:r>
              <w:rPr/>
              <w:t> </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b/>
                <w:u w:val="single"/>
              </w:rPr>
            </w:pPr>
            <w:r>
              <w:rPr>
                <w:rFonts w:ascii="Arial" w:hAnsi="Arial"/>
                <w:b/>
                <w:u w:val="single"/>
              </w:rPr>
              <w:t>Transportation Systems</w:t>
            </w:r>
          </w:p>
        </w:tc>
        <w:tc>
          <w:tcPr>
            <w:tcW w:w="300" w:type="dxa"/>
            <w:tcBorders/>
            <w:shd w:fill="FFFFFF" w:val="clear"/>
            <w:vAlign w:val="center"/>
          </w:tcPr>
          <w:p>
            <w:pPr>
              <w:pStyle w:val="TableContents"/>
              <w:spacing w:before="0" w:after="283"/>
              <w:rPr/>
            </w:pPr>
            <w:r>
              <w:rPr/>
              <w:t> </w:t>
            </w:r>
          </w:p>
        </w:tc>
        <w:tc>
          <w:tcPr>
            <w:tcW w:w="2473" w:type="dxa"/>
            <w:tcBorders/>
            <w:shd w:fill="FFFFFF" w:val="clear"/>
            <w:vAlign w:val="center"/>
          </w:tcPr>
          <w:p>
            <w:pPr>
              <w:pStyle w:val="TableContents"/>
              <w:spacing w:before="0" w:after="283"/>
              <w:rPr/>
            </w:pPr>
            <w:r>
              <w:rPr/>
              <w:t> </w:t>
            </w:r>
          </w:p>
        </w:tc>
      </w:tr>
      <w:tr>
        <w:trPr/>
        <w:tc>
          <w:tcPr>
            <w:tcW w:w="119" w:type="dxa"/>
            <w:tcBorders/>
            <w:shd w:fill="FFFFFF" w:val="clear"/>
          </w:tcPr>
          <w:p>
            <w:pPr>
              <w:pStyle w:val="TableContents"/>
              <w:spacing w:before="0" w:after="283"/>
              <w:jc w:val="left"/>
              <w:rPr/>
            </w:pPr>
            <w:r>
              <w:rPr/>
              <w:t>  </w:t>
            </w:r>
          </w:p>
        </w:tc>
        <w:tc>
          <w:tcPr>
            <w:tcW w:w="3220" w:type="dxa"/>
            <w:tcBorders/>
            <w:shd w:fill="FFFFFF" w:val="clear"/>
          </w:tcPr>
          <w:p>
            <w:pPr>
              <w:pStyle w:val="TableContents"/>
              <w:spacing w:before="0" w:after="283"/>
              <w:jc w:val="left"/>
              <w:rPr>
                <w:rFonts w:ascii="Arial" w:hAnsi="Arial"/>
              </w:rPr>
            </w:pPr>
            <w:r>
              <w:rPr>
                <w:rFonts w:ascii="Arial" w:hAnsi="Arial"/>
              </w:rPr>
              <w:t>Stratford, Canada</w:t>
            </w:r>
          </w:p>
        </w:tc>
        <w:tc>
          <w:tcPr>
            <w:tcW w:w="240" w:type="dxa"/>
            <w:tcBorders/>
            <w:shd w:fill="FFFFFF" w:val="clear"/>
          </w:tcPr>
          <w:p>
            <w:pPr>
              <w:pStyle w:val="TableContents"/>
              <w:spacing w:before="0" w:after="283"/>
              <w:jc w:val="center"/>
              <w:rPr/>
            </w:pPr>
            <w:r>
              <w:rPr/>
              <w:t>    </w:t>
            </w:r>
          </w:p>
        </w:tc>
        <w:tc>
          <w:tcPr>
            <w:tcW w:w="3853" w:type="dxa"/>
            <w:tcBorders/>
            <w:shd w:fill="FFFFFF" w:val="clear"/>
          </w:tcPr>
          <w:p>
            <w:pPr>
              <w:pStyle w:val="TableContents"/>
              <w:spacing w:before="0" w:after="283"/>
              <w:jc w:val="center"/>
              <w:rPr>
                <w:rFonts w:ascii="Arial" w:hAnsi="Arial"/>
              </w:rPr>
            </w:pPr>
            <w:r>
              <w:rPr>
                <w:rFonts w:ascii="Arial" w:hAnsi="Arial"/>
              </w:rPr>
              <w:t>Thaon-Les-Vosges, France</w:t>
              <w:br/>
              <w:t>Glinde, Germany</w:t>
            </w:r>
          </w:p>
        </w:tc>
        <w:tc>
          <w:tcPr>
            <w:tcW w:w="300" w:type="dxa"/>
            <w:tcBorders/>
            <w:shd w:fill="FFFFFF" w:val="clear"/>
          </w:tcPr>
          <w:p>
            <w:pPr>
              <w:pStyle w:val="TableContents"/>
              <w:spacing w:before="0" w:after="283"/>
              <w:jc w:val="left"/>
              <w:rPr/>
            </w:pPr>
            <w:r>
              <w:rPr/>
              <w:t>     </w:t>
            </w:r>
          </w:p>
        </w:tc>
        <w:tc>
          <w:tcPr>
            <w:tcW w:w="2473" w:type="dxa"/>
            <w:tcBorders/>
            <w:shd w:fill="FFFFFF" w:val="clear"/>
          </w:tcPr>
          <w:p>
            <w:pPr>
              <w:pStyle w:val="TableContents"/>
              <w:spacing w:before="0" w:after="283"/>
              <w:jc w:val="left"/>
              <w:rPr>
                <w:rFonts w:ascii="Arial" w:hAnsi="Arial"/>
              </w:rPr>
            </w:pPr>
            <w:r>
              <w:rPr>
                <w:rFonts w:ascii="Arial" w:hAnsi="Arial"/>
              </w:rPr>
              <w:t>Atessa, Italy</w:t>
              <w:br/>
              <w:t>Ansan, Korea (leased)</w:t>
              <w:br/>
              <w:t>Mexicali, Mexico</w:t>
              <w:br/>
              <w:t>Bucharest, Romania</w:t>
            </w:r>
          </w:p>
        </w:tc>
      </w:tr>
    </w:tbl>
    <w:p>
      <w:pPr>
        <w:pStyle w:val="TextBody"/>
        <w:jc w:val="left"/>
        <w:rPr>
          <w:rFonts w:ascii="Arial" w:hAnsi="Arial"/>
          <w:b/>
        </w:rPr>
      </w:pPr>
      <w:bookmarkStart w:id="8" w:name="Legal"/>
      <w:bookmarkEnd w:id="8"/>
      <w:r>
        <w:rPr>
          <w:rFonts w:ascii="Arial" w:hAnsi="Arial"/>
          <w:b/>
        </w:rPr>
        <w:t>Item 3. Legal Proceedings</w:t>
      </w:r>
    </w:p>
    <w:p>
      <w:pPr>
        <w:pStyle w:val="TextBody"/>
        <w:jc w:val="left"/>
        <w:rPr/>
      </w:pPr>
      <w:r>
        <w:rPr/>
        <w:t>      </w:t>
      </w:r>
      <w:r>
        <w:rPr>
          <w:rFonts w:ascii="Arial" w:hAnsi="Arial"/>
        </w:rPr>
        <w:t>We are subject to a number of lawsuits, investigations and claims (some of which involve substantial amounts) arising out of the conduct of our business. See a discussion of environmental, asbestos and other litigation matters in Note 21 of Notes to Financial Statements in “Item 8. Financial Statements and Supplementary Data.”</w:t>
      </w:r>
    </w:p>
    <w:p>
      <w:pPr>
        <w:pStyle w:val="TextBody"/>
        <w:jc w:val="left"/>
        <w:rPr>
          <w:rFonts w:ascii="Arial" w:hAnsi="Arial"/>
          <w:b/>
          <w:u w:val="single"/>
        </w:rPr>
      </w:pPr>
      <w:r>
        <w:rPr>
          <w:rFonts w:ascii="Arial" w:hAnsi="Arial"/>
          <w:b/>
          <w:u w:val="single"/>
        </w:rPr>
        <w:t>Environmental Matters Involving Potential Monetary Sanctions in Excess of $100,000</w:t>
      </w:r>
    </w:p>
    <w:p>
      <w:pPr>
        <w:pStyle w:val="TextBody"/>
        <w:jc w:val="left"/>
        <w:rPr/>
      </w:pPr>
      <w:r>
        <w:rPr/>
        <w:t>      </w:t>
      </w:r>
      <w:r>
        <w:rPr>
          <w:rFonts w:ascii="Arial" w:hAnsi="Arial"/>
        </w:rPr>
        <w:t>As previously reported, three incidents occurred during 2003 at Honeywell's Baton Rouge, Louisiana chemical plant, including a release of chlorine, a release of antimony pentachloride (which resulted in an employee fatality), and an employee exposure to hydrofluoric acid. The United States Environmental Protection Agency and the United States Department of Justice have conducted investigations of these incidents, including a federal grand jury convened to investigate the employee fatality. As a result of that investigation, we have signed a plea agreement with the U.S. Attorney under which Honeywell will plead guilty to a misdemeanor charge and pay $12 million in combined restitution and fines. The plea agreement has been filed, but the plea and the sentence still are subject to Court acceptance, which we expect to receive. Honeywell has been served with several civil lawsuits</w:t>
      </w:r>
    </w:p>
    <w:p>
      <w:pPr>
        <w:pStyle w:val="TextBody"/>
        <w:jc w:val="center"/>
        <w:rPr>
          <w:rFonts w:ascii="Arial" w:hAnsi="Arial"/>
        </w:rPr>
      </w:pPr>
      <w:r>
        <w:rPr>
          <w:rFonts w:ascii="Arial" w:hAnsi="Arial"/>
        </w:rPr>
        <w:t>15</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regarding these incidents, for which we believe we have adequate insurance coverage to the extent that there is any liability. We are also engaged in discussions with the Louisiana Department of Environmental Quality (LADEQ) to resolve alleged civil environmental violations at our Baton Rouge and Geismar, Louisiana facilities that, in part, overlap with the subject of the federal investigation.</w:t>
      </w:r>
    </w:p>
    <w:p>
      <w:pPr>
        <w:pStyle w:val="TextBody"/>
        <w:jc w:val="left"/>
        <w:rPr/>
      </w:pPr>
      <w:r>
        <w:rPr/>
        <w:t>      </w:t>
      </w:r>
      <w:r>
        <w:rPr>
          <w:rFonts w:ascii="Arial" w:hAnsi="Arial"/>
        </w:rPr>
        <w:t>Although we cannot predict the outcome of the matters described below, we believe that sufficient provisions have been made in our financial statements for these matters. We do not believe that the matters described below will have a material adverse effect on our consolidated financial position, results of operations or operating cash flows.</w:t>
      </w:r>
    </w:p>
    <w:p>
      <w:pPr>
        <w:pStyle w:val="TextBody"/>
        <w:jc w:val="left"/>
        <w:rPr/>
      </w:pPr>
      <w:r>
        <w:rPr/>
        <w:t>      </w:t>
      </w:r>
      <w:r>
        <w:rPr>
          <w:rFonts w:ascii="Arial" w:hAnsi="Arial"/>
        </w:rPr>
        <w:t>Honeywell is a defendant in a lawsuit filed by the Arizona Attorney General's office on behalf of the Arizona Department of Environmental Quality (ADEQ). The complaint alleges failure to make required disclosures, as well as unrelated environmental violations. Honeywell believes that the allegations in this matter are without merit and intends to vigorously defend against this lawsuit. ADEQ's most significant allegations have been dismissed over the course of the proceedings.</w:t>
      </w:r>
    </w:p>
    <w:p>
      <w:pPr>
        <w:pStyle w:val="TextBody"/>
        <w:jc w:val="left"/>
        <w:rPr/>
      </w:pPr>
      <w:r>
        <w:rPr/>
        <w:t>      </w:t>
      </w:r>
      <w:r>
        <w:rPr>
          <w:rFonts w:ascii="Arial" w:hAnsi="Arial"/>
        </w:rPr>
        <w:t>In February 2007, ADEQ has demanded penalties for alleged violations by Honeywell of the state's underground storage tank regulations at the aircraft engines plant in Phoenix, Arizona. Negotiations regarding the penalty are ongoing.</w:t>
      </w:r>
    </w:p>
    <w:p>
      <w:pPr>
        <w:pStyle w:val="TextBody"/>
        <w:jc w:val="left"/>
        <w:rPr/>
      </w:pPr>
      <w:r>
        <w:rPr/>
        <w:t>      </w:t>
      </w:r>
      <w:r>
        <w:rPr>
          <w:rFonts w:ascii="Arial" w:hAnsi="Arial"/>
        </w:rPr>
        <w:t>In the third quarter of 2006, Honeywell was advised that the State of Arizona intended to seek penalties for alleged failures of a facility located in Kingman, Arizona to comply with various provisions of the Resource Conservation and Recovery Act. We expect to resolve this matter with the State.</w:t>
      </w:r>
    </w:p>
    <w:p>
      <w:pPr>
        <w:pStyle w:val="TextBody"/>
        <w:jc w:val="left"/>
        <w:rPr/>
      </w:pPr>
      <w:r>
        <w:rPr/>
        <w:t>      </w:t>
      </w:r>
      <w:r>
        <w:rPr>
          <w:rFonts w:ascii="Arial" w:hAnsi="Arial"/>
        </w:rPr>
        <w:t>Honeywell received Notices of Violation from the Maricopa County Air Quality Department in July 2006 with respect to various air permitting compliance matters at one of its facilities located in Phoenix, Arizona. Honeywell believes it has taken appropriate corrective and preventive actions to address the concerns raised by the County.</w:t>
      </w:r>
    </w:p>
    <w:p>
      <w:pPr>
        <w:pStyle w:val="TextBody"/>
        <w:jc w:val="left"/>
        <w:rPr/>
      </w:pPr>
      <w:r>
        <w:rPr/>
        <w:t>      </w:t>
      </w:r>
      <w:r>
        <w:rPr>
          <w:rFonts w:ascii="Arial" w:hAnsi="Arial"/>
        </w:rPr>
        <w:t>The State of Illinois has brought a claim against Honeywell for penalties and past costs relating to releases of chlorinated solvents at a facility owned by a third party. The State claims that a predecessor company to Honeywell delivered solvents to the third party from 1969 until 1992; that spills occurred during those deliveries; and that Honeywell should pay a share of the penalties and state response costs connected with those spills. Honeywell believes it has strong defenses to the State's claims (including that the contamination arose primarily from releases unrelated to the predecessor's deliveries). We are engaged in discussions with the State regarding a negotiated resolution of this matter.</w:t>
      </w:r>
    </w:p>
    <w:p>
      <w:pPr>
        <w:pStyle w:val="TextBody"/>
        <w:jc w:val="left"/>
        <w:rPr>
          <w:rFonts w:ascii="Arial" w:hAnsi="Arial"/>
          <w:b/>
        </w:rPr>
      </w:pPr>
      <w:bookmarkStart w:id="9" w:name="Submission"/>
      <w:bookmarkEnd w:id="9"/>
      <w:r>
        <w:rPr>
          <w:rFonts w:ascii="Arial" w:hAnsi="Arial"/>
          <w:b/>
        </w:rPr>
        <w:t>Item 4. Submission of Matters to a Vote of Security Holders</w:t>
      </w:r>
    </w:p>
    <w:p>
      <w:pPr>
        <w:pStyle w:val="TextBody"/>
        <w:jc w:val="left"/>
        <w:rPr/>
      </w:pPr>
      <w:r>
        <w:rPr/>
        <w:t>      </w:t>
      </w:r>
      <w:r>
        <w:rPr>
          <w:rFonts w:ascii="Arial" w:hAnsi="Arial"/>
        </w:rPr>
        <w:t>Not Applicable.</w:t>
      </w:r>
    </w:p>
    <w:p>
      <w:pPr>
        <w:pStyle w:val="TextBody"/>
        <w:jc w:val="center"/>
        <w:rPr>
          <w:rFonts w:ascii="Arial" w:hAnsi="Arial"/>
        </w:rPr>
      </w:pPr>
      <w:r>
        <w:rPr>
          <w:rFonts w:ascii="Arial" w:hAnsi="Arial"/>
        </w:rPr>
        <w:t>16</w:t>
      </w:r>
    </w:p>
    <w:p>
      <w:pPr>
        <w:pStyle w:val="HorizontalLine"/>
        <w:pBdr>
          <w:bottom w:val="single" w:sz="20" w:space="0" w:color="000000"/>
        </w:pBdr>
        <w:rPr/>
      </w:pPr>
      <w:r>
        <w:rPr/>
      </w:r>
      <w:r>
        <w:br w:type="page"/>
      </w:r>
    </w:p>
    <w:p>
      <w:pPr>
        <w:pStyle w:val="TextBody"/>
        <w:jc w:val="left"/>
        <w:rPr>
          <w:rFonts w:ascii="Arial" w:hAnsi="Arial"/>
          <w:b/>
        </w:rPr>
      </w:pPr>
      <w:bookmarkStart w:id="10" w:name="Executive"/>
      <w:bookmarkEnd w:id="10"/>
      <w:r>
        <w:rPr>
          <w:rFonts w:ascii="Arial" w:hAnsi="Arial"/>
          <w:b/>
        </w:rPr>
        <w:t>Executive Officers of the Registrant</w:t>
      </w:r>
    </w:p>
    <w:p>
      <w:pPr>
        <w:pStyle w:val="TextBody"/>
        <w:jc w:val="left"/>
        <w:rPr/>
      </w:pPr>
      <w:r>
        <w:rPr/>
        <w:t>      </w:t>
      </w:r>
      <w:r>
        <w:rPr>
          <w:rFonts w:ascii="Arial" w:hAnsi="Arial"/>
        </w:rPr>
        <w:t>The executive officers of Honeywell, listed as follows, are elected annually by the Board of Directors. There are no family relationships among them.</w:t>
      </w:r>
    </w:p>
    <w:tbl>
      <w:tblPr>
        <w:tblW w:w="5000" w:type="pct"/>
        <w:jc w:val="left"/>
        <w:tblInd w:w="0" w:type="dxa"/>
        <w:tblCellMar>
          <w:top w:w="0" w:type="dxa"/>
          <w:left w:w="0" w:type="dxa"/>
          <w:bottom w:w="0" w:type="dxa"/>
          <w:right w:w="0" w:type="dxa"/>
        </w:tblCellMar>
      </w:tblPr>
      <w:tblGrid>
        <w:gridCol w:w="2959"/>
        <w:gridCol w:w="600"/>
        <w:gridCol w:w="6646"/>
      </w:tblGrid>
      <w:tr>
        <w:trPr/>
        <w:tc>
          <w:tcPr>
            <w:tcW w:w="2959" w:type="dxa"/>
            <w:tcBorders/>
            <w:shd w:fill="FFFFFF" w:val="clear"/>
            <w:vAlign w:val="bottom"/>
          </w:tcPr>
          <w:p>
            <w:pPr>
              <w:pStyle w:val="TableContents"/>
              <w:spacing w:before="0" w:after="0"/>
              <w:jc w:val="center"/>
              <w:rPr>
                <w:rFonts w:ascii="Arial" w:hAnsi="Arial"/>
                <w:b/>
              </w:rPr>
            </w:pPr>
            <w:r>
              <w:rPr>
                <w:rFonts w:ascii="Arial" w:hAnsi="Arial"/>
                <w:b/>
              </w:rPr>
              <w:t>Name, Age,</w:t>
              <w:br/>
              <w:t>Date  First</w:t>
              <w:br/>
              <w:t>Elected an</w:t>
              <w:br/>
              <w:t>Executive Officer</w:t>
            </w:r>
          </w:p>
          <w:p>
            <w:pPr>
              <w:pStyle w:val="HorizontalLine"/>
              <w:pBdr>
                <w:bottom w:val="single" w:sz="6" w:space="0" w:color="000000"/>
              </w:pBdr>
              <w:spacing w:before="0" w:after="283"/>
              <w:rPr/>
            </w:pPr>
            <w:r>
              <w:rPr/>
            </w:r>
          </w:p>
        </w:tc>
        <w:tc>
          <w:tcPr>
            <w:tcW w:w="600" w:type="dxa"/>
            <w:tcBorders/>
            <w:shd w:fill="FFFFFF" w:val="clear"/>
            <w:vAlign w:val="bottom"/>
          </w:tcPr>
          <w:p>
            <w:pPr>
              <w:pStyle w:val="TableContents"/>
              <w:spacing w:before="0" w:after="283"/>
              <w:jc w:val="center"/>
              <w:rPr/>
            </w:pPr>
            <w:r>
              <w:rPr/>
              <w:t>          </w:t>
            </w:r>
          </w:p>
        </w:tc>
        <w:tc>
          <w:tcPr>
            <w:tcW w:w="6646" w:type="dxa"/>
            <w:tcBorders/>
            <w:shd w:fill="FFFFFF" w:val="clear"/>
            <w:vAlign w:val="bottom"/>
          </w:tcPr>
          <w:p>
            <w:pPr>
              <w:pStyle w:val="TableContents"/>
              <w:spacing w:before="0" w:after="0"/>
              <w:jc w:val="center"/>
              <w:rPr>
                <w:rFonts w:ascii="Arial" w:hAnsi="Arial"/>
                <w:b/>
              </w:rPr>
            </w:pPr>
            <w:r>
              <w:rPr>
                <w:rFonts w:ascii="Arial" w:hAnsi="Arial"/>
                <w:b/>
              </w:rPr>
              <w:t>Business Experience</w:t>
            </w:r>
          </w:p>
          <w:p>
            <w:pPr>
              <w:pStyle w:val="HorizontalLine"/>
              <w:pBdr>
                <w:bottom w:val="single" w:sz="6" w:space="0" w:color="000000"/>
              </w:pBdr>
              <w:spacing w:before="0" w:after="283"/>
              <w:rPr/>
            </w:pPr>
            <w:r>
              <w:rPr/>
            </w:r>
          </w:p>
        </w:tc>
      </w:tr>
      <w:tr>
        <w:trPr/>
        <w:tc>
          <w:tcPr>
            <w:tcW w:w="2959" w:type="dxa"/>
            <w:tcBorders/>
            <w:shd w:fill="FFFFFF" w:val="clear"/>
          </w:tcPr>
          <w:p>
            <w:pPr>
              <w:pStyle w:val="TableContents"/>
              <w:spacing w:before="0" w:after="283"/>
              <w:jc w:val="left"/>
              <w:rPr/>
            </w:pPr>
            <w:r>
              <w:rPr/>
              <w:t>      </w:t>
            </w:r>
          </w:p>
        </w:tc>
        <w:tc>
          <w:tcPr>
            <w:tcW w:w="600" w:type="dxa"/>
            <w:tcBorders/>
            <w:shd w:fill="FFFFFF" w:val="clear"/>
            <w:vAlign w:val="center"/>
          </w:tcPr>
          <w:p>
            <w:pPr>
              <w:pStyle w:val="TableContents"/>
              <w:spacing w:before="0" w:after="283"/>
              <w:rPr/>
            </w:pPr>
            <w:r>
              <w:rPr/>
              <w:t> </w:t>
            </w:r>
          </w:p>
        </w:tc>
        <w:tc>
          <w:tcPr>
            <w:tcW w:w="6646" w:type="dxa"/>
            <w:tcBorders/>
            <w:shd w:fill="FFFFFF" w:val="clear"/>
            <w:vAlign w:val="center"/>
          </w:tcPr>
          <w:p>
            <w:pPr>
              <w:pStyle w:val="TableContents"/>
              <w:spacing w:before="0" w:after="283"/>
              <w:rPr/>
            </w:pPr>
            <w:r>
              <w:rPr/>
              <w:t> </w:t>
            </w:r>
          </w:p>
        </w:tc>
      </w:tr>
      <w:tr>
        <w:trPr/>
        <w:tc>
          <w:tcPr>
            <w:tcW w:w="2959" w:type="dxa"/>
            <w:tcBorders/>
            <w:shd w:fill="FFFFFF" w:val="clear"/>
          </w:tcPr>
          <w:p>
            <w:pPr>
              <w:pStyle w:val="TableContents"/>
              <w:spacing w:before="0" w:after="283"/>
              <w:jc w:val="left"/>
              <w:rPr>
                <w:rFonts w:ascii="Arial" w:hAnsi="Arial"/>
              </w:rPr>
            </w:pPr>
            <w:r>
              <w:rPr>
                <w:rFonts w:ascii="Arial" w:hAnsi="Arial"/>
              </w:rPr>
              <w:t>David M. Cote (a), 54</w:t>
              <w:br/>
              <w:t>      2002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Chairman of the Board and Chief Executive Officer since July 2002. President and Chief Executive Officer from February 2002 to June 2002. Chairman of the Board, President and Chief Executive Officer of TRW (manufacturer of aerospace and automotive products) from August 2001 to February 2002.</w:t>
            </w:r>
          </w:p>
        </w:tc>
      </w:tr>
      <w:tr>
        <w:trPr/>
        <w:tc>
          <w:tcPr>
            <w:tcW w:w="2959" w:type="dxa"/>
            <w:tcBorders/>
            <w:shd w:fill="FFFFFF" w:val="clear"/>
          </w:tcPr>
          <w:p>
            <w:pPr>
              <w:pStyle w:val="TableContents"/>
              <w:spacing w:before="0" w:after="283"/>
              <w:jc w:val="left"/>
              <w:rPr>
                <w:rFonts w:ascii="Arial" w:hAnsi="Arial"/>
              </w:rPr>
            </w:pPr>
            <w:r>
              <w:rPr>
                <w:rFonts w:ascii="Arial" w:hAnsi="Arial"/>
              </w:rPr>
              <w:t>Adriane M. Brown, 48</w:t>
              <w:br/>
              <w:t>      2005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President and Chief Executive Officer Transportation Systems since January 2005. Vice President and General Manager of Engine Systems &amp; Accessories from September 2001 to December 2004.</w:t>
            </w:r>
          </w:p>
        </w:tc>
      </w:tr>
      <w:tr>
        <w:trPr/>
        <w:tc>
          <w:tcPr>
            <w:tcW w:w="2959" w:type="dxa"/>
            <w:tcBorders/>
            <w:shd w:fill="FFFFFF" w:val="clear"/>
          </w:tcPr>
          <w:p>
            <w:pPr>
              <w:pStyle w:val="TableContents"/>
              <w:spacing w:before="0" w:after="283"/>
              <w:jc w:val="left"/>
              <w:rPr>
                <w:rFonts w:ascii="Arial" w:hAnsi="Arial"/>
              </w:rPr>
            </w:pPr>
            <w:r>
              <w:rPr>
                <w:rFonts w:ascii="Arial" w:hAnsi="Arial"/>
              </w:rPr>
              <w:t>Dr. Nance K. Dicciani, 59</w:t>
              <w:br/>
              <w:t>      2001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President and Chief Executive Officer Specialty Materials since November 2001.</w:t>
            </w:r>
          </w:p>
        </w:tc>
      </w:tr>
      <w:tr>
        <w:trPr/>
        <w:tc>
          <w:tcPr>
            <w:tcW w:w="2959" w:type="dxa"/>
            <w:tcBorders/>
            <w:shd w:fill="FFFFFF" w:val="clear"/>
          </w:tcPr>
          <w:p>
            <w:pPr>
              <w:pStyle w:val="TableContents"/>
              <w:spacing w:before="0" w:after="283"/>
              <w:jc w:val="left"/>
              <w:rPr>
                <w:rFonts w:ascii="Arial" w:hAnsi="Arial"/>
              </w:rPr>
            </w:pPr>
            <w:r>
              <w:rPr>
                <w:rFonts w:ascii="Arial" w:hAnsi="Arial"/>
              </w:rPr>
              <w:t>Roger Fradin, 53</w:t>
              <w:br/>
              <w:t>      2004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President and Chief Executive Officer Automation and Control Solutions since January 2004. President of Automation and Control Products from June 2002 to December 2003. President and Chief Executive Officer of Security and Fire Solutions from February 2000 to May 2002.</w:t>
            </w:r>
          </w:p>
        </w:tc>
      </w:tr>
      <w:tr>
        <w:trPr/>
        <w:tc>
          <w:tcPr>
            <w:tcW w:w="2959" w:type="dxa"/>
            <w:tcBorders/>
            <w:shd w:fill="FFFFFF" w:val="clear"/>
          </w:tcPr>
          <w:p>
            <w:pPr>
              <w:pStyle w:val="TableContents"/>
              <w:spacing w:before="0" w:after="283"/>
              <w:jc w:val="left"/>
              <w:rPr>
                <w:rFonts w:ascii="Arial" w:hAnsi="Arial"/>
              </w:rPr>
            </w:pPr>
            <w:r>
              <w:rPr>
                <w:rFonts w:ascii="Arial" w:hAnsi="Arial"/>
              </w:rPr>
              <w:t>Robert J. Gillette, 46</w:t>
              <w:br/>
              <w:t>      2001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President and Chief Executive Officer Aerospace since January 2005. President and Chief Executive Officer Transportation Systems from July 2001 to December 2004.</w:t>
            </w:r>
          </w:p>
        </w:tc>
      </w:tr>
      <w:tr>
        <w:trPr/>
        <w:tc>
          <w:tcPr>
            <w:tcW w:w="2959" w:type="dxa"/>
            <w:tcBorders/>
            <w:shd w:fill="FFFFFF" w:val="clear"/>
          </w:tcPr>
          <w:p>
            <w:pPr>
              <w:pStyle w:val="TableContents"/>
              <w:spacing w:before="0" w:after="283"/>
              <w:jc w:val="left"/>
              <w:rPr>
                <w:rFonts w:ascii="Arial" w:hAnsi="Arial"/>
              </w:rPr>
            </w:pPr>
            <w:r>
              <w:rPr>
                <w:rFonts w:ascii="Arial" w:hAnsi="Arial"/>
              </w:rPr>
              <w:t>David J. Anderson, 57</w:t>
              <w:br/>
              <w:t>      2003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Senior Vice President and Chief Financial Officer since June 2003. Senior Vice President and Chief Financial Officer of ITT Industries (global manufacturing company) from December 1999 to June 2003.</w:t>
            </w:r>
          </w:p>
        </w:tc>
      </w:tr>
      <w:tr>
        <w:trPr/>
        <w:tc>
          <w:tcPr>
            <w:tcW w:w="2959" w:type="dxa"/>
            <w:tcBorders/>
            <w:shd w:fill="FFFFFF" w:val="clear"/>
          </w:tcPr>
          <w:p>
            <w:pPr>
              <w:pStyle w:val="TableContents"/>
              <w:spacing w:before="0" w:after="283"/>
              <w:jc w:val="left"/>
              <w:rPr>
                <w:rFonts w:ascii="Arial" w:hAnsi="Arial"/>
              </w:rPr>
            </w:pPr>
            <w:r>
              <w:rPr>
                <w:rFonts w:ascii="Arial" w:hAnsi="Arial"/>
              </w:rPr>
              <w:t>Larry E. Kittelberger, 58</w:t>
              <w:br/>
              <w:t>      2001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Senior Vice President, Technology and Operations since October 2006. Senior Vice President Administration and Chief Information Officer from August 2001 to October 2006.</w:t>
            </w:r>
          </w:p>
        </w:tc>
      </w:tr>
      <w:tr>
        <w:trPr/>
        <w:tc>
          <w:tcPr>
            <w:tcW w:w="2959" w:type="dxa"/>
            <w:tcBorders/>
            <w:shd w:fill="FFFFFF" w:val="clear"/>
          </w:tcPr>
          <w:p>
            <w:pPr>
              <w:pStyle w:val="TableContents"/>
              <w:spacing w:before="0" w:after="283"/>
              <w:jc w:val="left"/>
              <w:rPr>
                <w:rFonts w:ascii="Arial" w:hAnsi="Arial"/>
              </w:rPr>
            </w:pPr>
            <w:r>
              <w:rPr>
                <w:rFonts w:ascii="Arial" w:hAnsi="Arial"/>
              </w:rPr>
              <w:t>Peter M. Kreindler, 61</w:t>
              <w:br/>
              <w:t>      1992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Senior Vice President and General Counsel since January 1992.</w:t>
            </w:r>
          </w:p>
        </w:tc>
      </w:tr>
      <w:tr>
        <w:trPr/>
        <w:tc>
          <w:tcPr>
            <w:tcW w:w="2959" w:type="dxa"/>
            <w:tcBorders/>
            <w:shd w:fill="FFFFFF" w:val="clear"/>
          </w:tcPr>
          <w:p>
            <w:pPr>
              <w:pStyle w:val="TableContents"/>
              <w:spacing w:before="0" w:after="283"/>
              <w:jc w:val="left"/>
              <w:rPr>
                <w:rFonts w:ascii="Arial" w:hAnsi="Arial"/>
              </w:rPr>
            </w:pPr>
            <w:r>
              <w:rPr>
                <w:rFonts w:ascii="Arial" w:hAnsi="Arial"/>
              </w:rPr>
              <w:t>Thomas W. Weidenkopf, 48</w:t>
              <w:br/>
              <w:t>      2002      </w:t>
            </w:r>
          </w:p>
        </w:tc>
        <w:tc>
          <w:tcPr>
            <w:tcW w:w="600" w:type="dxa"/>
            <w:tcBorders/>
            <w:shd w:fill="FFFFFF" w:val="clear"/>
          </w:tcPr>
          <w:p>
            <w:pPr>
              <w:pStyle w:val="TableContents"/>
              <w:spacing w:before="0" w:after="283"/>
              <w:jc w:val="left"/>
              <w:rPr/>
            </w:pPr>
            <w:r>
              <w:rPr/>
              <w:t>          </w:t>
            </w:r>
          </w:p>
        </w:tc>
        <w:tc>
          <w:tcPr>
            <w:tcW w:w="6646" w:type="dxa"/>
            <w:tcBorders/>
            <w:shd w:fill="FFFFFF" w:val="clear"/>
          </w:tcPr>
          <w:p>
            <w:pPr>
              <w:pStyle w:val="TableContents"/>
              <w:spacing w:before="0" w:after="283"/>
              <w:jc w:val="left"/>
              <w:rPr>
                <w:rFonts w:ascii="Arial" w:hAnsi="Arial"/>
              </w:rPr>
            </w:pPr>
            <w:r>
              <w:rPr>
                <w:rFonts w:ascii="Arial" w:hAnsi="Arial"/>
              </w:rPr>
              <w:t>Senior Vice President Human Resources and Communications since April 2002. Vice President of Human Resources, Aerospace, from March 1999 to March 2002.</w:t>
            </w:r>
          </w:p>
        </w:tc>
      </w:tr>
    </w:tbl>
    <w:p>
      <w:pPr>
        <w:pStyle w:val="HorizontalLine"/>
        <w:pBdr>
          <w:bottom w:val="single" w:sz="20" w:space="0" w:color="000000"/>
        </w:pBdr>
        <w:jc w:val="left"/>
        <w:rPr/>
      </w:pPr>
      <w:r>
        <w:rPr/>
      </w:r>
    </w:p>
    <w:p>
      <w:pPr>
        <w:pStyle w:val="TextBody"/>
        <w:jc w:val="left"/>
        <w:rPr>
          <w:rFonts w:ascii="Arial" w:hAnsi="Arial"/>
        </w:rPr>
      </w:pPr>
      <w:r>
        <w:rPr>
          <w:rFonts w:ascii="Arial" w:hAnsi="Arial"/>
        </w:rPr>
        <w:t>(a) Also a Director.</w:t>
      </w:r>
    </w:p>
    <w:p>
      <w:pPr>
        <w:pStyle w:val="TextBody"/>
        <w:jc w:val="center"/>
        <w:rPr>
          <w:rFonts w:ascii="Arial" w:hAnsi="Arial"/>
        </w:rPr>
      </w:pPr>
      <w:r>
        <w:rPr>
          <w:rFonts w:ascii="Arial" w:hAnsi="Arial"/>
        </w:rPr>
        <w:t>17</w:t>
      </w:r>
    </w:p>
    <w:p>
      <w:pPr>
        <w:pStyle w:val="HorizontalLine"/>
        <w:pBdr>
          <w:bottom w:val="single" w:sz="20" w:space="0" w:color="000000"/>
        </w:pBdr>
        <w:rPr/>
      </w:pPr>
      <w:r>
        <w:rPr/>
      </w:r>
      <w:r>
        <w:br w:type="page"/>
      </w:r>
    </w:p>
    <w:p>
      <w:pPr>
        <w:pStyle w:val="TextBody"/>
        <w:jc w:val="center"/>
        <w:rPr>
          <w:rFonts w:ascii="Arial" w:hAnsi="Arial"/>
          <w:b/>
        </w:rPr>
      </w:pPr>
      <w:bookmarkStart w:id="11" w:name="Market"/>
      <w:bookmarkEnd w:id="11"/>
      <w:r>
        <w:rPr>
          <w:rFonts w:ascii="Arial" w:hAnsi="Arial"/>
          <w:b/>
        </w:rPr>
        <w:t>Part II.</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283"/>
              <w:rPr>
                <w:rFonts w:ascii="Arial" w:hAnsi="Arial"/>
                <w:b/>
              </w:rPr>
            </w:pPr>
            <w:r>
              <w:rPr>
                <w:rFonts w:ascii="Arial" w:hAnsi="Arial"/>
                <w:b/>
              </w:rPr>
              <w:t>Item 5.</w:t>
            </w:r>
          </w:p>
        </w:tc>
        <w:tc>
          <w:tcPr>
            <w:tcW w:w="9492" w:type="dxa"/>
            <w:tcBorders/>
            <w:shd w:fill="auto" w:val="clear"/>
            <w:vAlign w:val="center"/>
          </w:tcPr>
          <w:p>
            <w:pPr>
              <w:pStyle w:val="TableContents"/>
              <w:spacing w:before="0" w:after="283"/>
              <w:rPr>
                <w:rFonts w:ascii="Arial" w:hAnsi="Arial"/>
                <w:b/>
              </w:rPr>
            </w:pPr>
            <w:r>
              <w:rPr>
                <w:rFonts w:ascii="Arial" w:hAnsi="Arial"/>
                <w:b/>
              </w:rPr>
              <w:t>Market for Registrant's Common Equity, Related Stockholder</w:t>
              <w:br/>
              <w:t>Matters and Issuer Purchases of Equity Securities</w:t>
            </w:r>
          </w:p>
        </w:tc>
      </w:tr>
    </w:tbl>
    <w:p>
      <w:pPr>
        <w:pStyle w:val="TextBody"/>
        <w:jc w:val="left"/>
        <w:rPr/>
      </w:pPr>
      <w:r>
        <w:rPr/>
        <w:t>      </w:t>
      </w:r>
      <w:r>
        <w:rPr>
          <w:rFonts w:ascii="Arial" w:hAnsi="Arial"/>
        </w:rPr>
        <w:t>Market and dividend information for Honeywell's common stock is included in Note 26 of Notes to Financial Statements in “Item 8. Financial Statements and Supplementary Data.”</w:t>
      </w:r>
    </w:p>
    <w:p>
      <w:pPr>
        <w:pStyle w:val="TextBody"/>
        <w:jc w:val="left"/>
        <w:rPr/>
      </w:pPr>
      <w:r>
        <w:rPr/>
        <w:t>      </w:t>
      </w:r>
      <w:r>
        <w:rPr>
          <w:rFonts w:ascii="Arial" w:hAnsi="Arial"/>
        </w:rPr>
        <w:t>The number of record holders of our common stock at December 31, 2006 was 74,473.</w:t>
      </w:r>
    </w:p>
    <w:p>
      <w:pPr>
        <w:pStyle w:val="TextBody"/>
        <w:jc w:val="left"/>
        <w:rPr/>
      </w:pPr>
      <w:r>
        <w:rPr/>
        <w:t>      </w:t>
      </w:r>
      <w:r>
        <w:rPr>
          <w:rFonts w:ascii="Arial" w:hAnsi="Arial"/>
        </w:rPr>
        <w:t>The following table summarizes Honeywell's purchases of its common stock, par value $1 per share, for the quarter ending December 31, 2006, under its previously reported $3 billion authorized share repurchase program. Honeywell purchased a total of 45,440,000 shares of common stock in 2006:</w:t>
      </w:r>
    </w:p>
    <w:p>
      <w:pPr>
        <w:pStyle w:val="TextBody"/>
        <w:jc w:val="center"/>
        <w:rPr>
          <w:rFonts w:ascii="Arial" w:hAnsi="Arial"/>
          <w:b/>
        </w:rPr>
      </w:pPr>
      <w:r>
        <w:rPr>
          <w:rFonts w:ascii="Arial" w:hAnsi="Arial"/>
          <w:b/>
        </w:rPr>
        <w:t>Issuer Purchases of Equity Securities</w:t>
      </w:r>
    </w:p>
    <w:tbl>
      <w:tblPr>
        <w:tblW w:w="5000" w:type="pct"/>
        <w:jc w:val="left"/>
        <w:tblInd w:w="0" w:type="dxa"/>
        <w:tblCellMar>
          <w:top w:w="0" w:type="dxa"/>
          <w:left w:w="0" w:type="dxa"/>
          <w:bottom w:w="0" w:type="dxa"/>
          <w:right w:w="0" w:type="dxa"/>
        </w:tblCellMar>
      </w:tblPr>
      <w:tblGrid>
        <w:gridCol w:w="368"/>
        <w:gridCol w:w="1772"/>
        <w:gridCol w:w="246"/>
        <w:gridCol w:w="63"/>
        <w:gridCol w:w="1166"/>
        <w:gridCol w:w="66"/>
        <w:gridCol w:w="430"/>
        <w:gridCol w:w="222"/>
        <w:gridCol w:w="892"/>
        <w:gridCol w:w="88"/>
        <w:gridCol w:w="430"/>
        <w:gridCol w:w="88"/>
        <w:gridCol w:w="1608"/>
        <w:gridCol w:w="89"/>
        <w:gridCol w:w="430"/>
        <w:gridCol w:w="415"/>
        <w:gridCol w:w="1669"/>
        <w:gridCol w:w="163"/>
      </w:tblGrid>
      <w:tr>
        <w:trPr/>
        <w:tc>
          <w:tcPr>
            <w:tcW w:w="368" w:type="dxa"/>
            <w:tcBorders/>
            <w:shd w:fill="FFFFFF" w:val="clear"/>
            <w:vAlign w:val="center"/>
          </w:tcPr>
          <w:p>
            <w:pPr>
              <w:pStyle w:val="TableContents"/>
              <w:spacing w:before="0" w:after="283"/>
              <w:rPr/>
            </w:pPr>
            <w:r>
              <w:rPr/>
              <w:t> </w:t>
            </w:r>
          </w:p>
        </w:tc>
        <w:tc>
          <w:tcPr>
            <w:tcW w:w="1772"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295" w:type="dxa"/>
            <w:gridSpan w:val="3"/>
            <w:tcBorders/>
            <w:shd w:fill="FFFFFF" w:val="clear"/>
            <w:vAlign w:val="bottom"/>
          </w:tcPr>
          <w:p>
            <w:pPr>
              <w:pStyle w:val="TableContents"/>
              <w:spacing w:before="0" w:after="283"/>
              <w:jc w:val="center"/>
              <w:rPr>
                <w:rFonts w:ascii="Arial" w:hAnsi="Arial"/>
                <w:b/>
                <w:sz w:val="14"/>
              </w:rPr>
            </w:pPr>
            <w:r>
              <w:rPr>
                <w:rFonts w:ascii="Arial" w:hAnsi="Arial"/>
                <w:b/>
                <w:sz w:val="14"/>
              </w:rPr>
              <w:t>(a)</w:t>
            </w:r>
          </w:p>
        </w:tc>
        <w:tc>
          <w:tcPr>
            <w:tcW w:w="430" w:type="dxa"/>
            <w:tcBorders/>
            <w:shd w:fill="FFFFFF" w:val="clear"/>
            <w:vAlign w:val="center"/>
          </w:tcPr>
          <w:p>
            <w:pPr>
              <w:pStyle w:val="TableContents"/>
              <w:spacing w:before="0" w:after="283"/>
              <w:rPr/>
            </w:pPr>
            <w:r>
              <w:rPr/>
              <w:t> </w:t>
            </w:r>
          </w:p>
        </w:tc>
        <w:tc>
          <w:tcPr>
            <w:tcW w:w="1202" w:type="dxa"/>
            <w:gridSpan w:val="3"/>
            <w:tcBorders/>
            <w:shd w:fill="FFFFFF" w:val="clear"/>
            <w:vAlign w:val="bottom"/>
          </w:tcPr>
          <w:p>
            <w:pPr>
              <w:pStyle w:val="TableContents"/>
              <w:spacing w:before="0" w:after="283"/>
              <w:jc w:val="center"/>
              <w:rPr>
                <w:rFonts w:ascii="Arial" w:hAnsi="Arial"/>
                <w:b/>
                <w:sz w:val="14"/>
              </w:rPr>
            </w:pPr>
            <w:r>
              <w:rPr>
                <w:rFonts w:ascii="Arial" w:hAnsi="Arial"/>
                <w:b/>
                <w:sz w:val="14"/>
              </w:rPr>
              <w:t>(b)</w:t>
            </w:r>
          </w:p>
        </w:tc>
        <w:tc>
          <w:tcPr>
            <w:tcW w:w="430" w:type="dxa"/>
            <w:tcBorders/>
            <w:shd w:fill="FFFFFF" w:val="clear"/>
            <w:vAlign w:val="center"/>
          </w:tcPr>
          <w:p>
            <w:pPr>
              <w:pStyle w:val="TableContents"/>
              <w:spacing w:before="0" w:after="283"/>
              <w:rPr/>
            </w:pPr>
            <w:r>
              <w:rPr/>
              <w:t> </w:t>
            </w:r>
          </w:p>
        </w:tc>
        <w:tc>
          <w:tcPr>
            <w:tcW w:w="1785" w:type="dxa"/>
            <w:gridSpan w:val="3"/>
            <w:tcBorders/>
            <w:shd w:fill="FFFFFF" w:val="clear"/>
            <w:vAlign w:val="bottom"/>
          </w:tcPr>
          <w:p>
            <w:pPr>
              <w:pStyle w:val="TableContents"/>
              <w:spacing w:before="0" w:after="283"/>
              <w:jc w:val="center"/>
              <w:rPr>
                <w:rFonts w:ascii="Arial" w:hAnsi="Arial"/>
                <w:b/>
                <w:sz w:val="14"/>
              </w:rPr>
            </w:pPr>
            <w:r>
              <w:rPr>
                <w:rFonts w:ascii="Arial" w:hAnsi="Arial"/>
                <w:b/>
                <w:sz w:val="14"/>
              </w:rPr>
              <w:t>(c)</w:t>
            </w:r>
          </w:p>
        </w:tc>
        <w:tc>
          <w:tcPr>
            <w:tcW w:w="430" w:type="dxa"/>
            <w:tcBorders/>
            <w:shd w:fill="FFFFFF" w:val="clear"/>
            <w:vAlign w:val="center"/>
          </w:tcPr>
          <w:p>
            <w:pPr>
              <w:pStyle w:val="TableContents"/>
              <w:spacing w:before="0" w:after="283"/>
              <w:rPr/>
            </w:pPr>
            <w:r>
              <w:rPr/>
              <w:t> </w:t>
            </w:r>
          </w:p>
        </w:tc>
        <w:tc>
          <w:tcPr>
            <w:tcW w:w="2247" w:type="dxa"/>
            <w:gridSpan w:val="3"/>
            <w:tcBorders/>
            <w:shd w:fill="FFFFFF" w:val="clear"/>
            <w:vAlign w:val="bottom"/>
          </w:tcPr>
          <w:p>
            <w:pPr>
              <w:pStyle w:val="TableContents"/>
              <w:spacing w:before="0" w:after="283"/>
              <w:jc w:val="center"/>
              <w:rPr>
                <w:rFonts w:ascii="Arial" w:hAnsi="Arial"/>
                <w:b/>
                <w:sz w:val="14"/>
              </w:rPr>
            </w:pPr>
            <w:r>
              <w:rPr>
                <w:rFonts w:ascii="Arial" w:hAnsi="Arial"/>
                <w:b/>
                <w:sz w:val="14"/>
              </w:rPr>
              <w:t>(d)</w:t>
            </w:r>
          </w:p>
        </w:tc>
      </w:tr>
      <w:tr>
        <w:trPr/>
        <w:tc>
          <w:tcPr>
            <w:tcW w:w="368" w:type="dxa"/>
            <w:tcBorders/>
            <w:shd w:fill="FFFFFF" w:val="clear"/>
            <w:vAlign w:val="bottom"/>
          </w:tcPr>
          <w:p>
            <w:pPr>
              <w:pStyle w:val="TableContents"/>
              <w:spacing w:before="0" w:after="283"/>
              <w:jc w:val="center"/>
              <w:rPr/>
            </w:pPr>
            <w:r>
              <w:rPr/>
              <w:t>      </w:t>
            </w:r>
          </w:p>
        </w:tc>
        <w:tc>
          <w:tcPr>
            <w:tcW w:w="1772" w:type="dxa"/>
            <w:tcBorders/>
            <w:shd w:fill="FFFFFF" w:val="clear"/>
            <w:vAlign w:val="bottom"/>
          </w:tcPr>
          <w:p>
            <w:pPr>
              <w:pStyle w:val="TableContents"/>
              <w:spacing w:before="0" w:after="0"/>
              <w:jc w:val="center"/>
              <w:rPr>
                <w:rFonts w:ascii="Arial" w:hAnsi="Arial"/>
                <w:b/>
              </w:rPr>
            </w:pPr>
            <w:r>
              <w:rPr>
                <w:rFonts w:ascii="Arial" w:hAnsi="Arial"/>
                <w:b/>
              </w:rPr>
              <w:t>Period</w:t>
            </w:r>
          </w:p>
          <w:p>
            <w:pPr>
              <w:pStyle w:val="HorizontalLine"/>
              <w:pBdr>
                <w:bottom w:val="single" w:sz="6" w:space="0" w:color="000000"/>
              </w:pBdr>
              <w:spacing w:before="0" w:after="283"/>
              <w:rPr/>
            </w:pPr>
            <w:r>
              <w:rPr/>
            </w:r>
          </w:p>
        </w:tc>
        <w:tc>
          <w:tcPr>
            <w:tcW w:w="246" w:type="dxa"/>
            <w:tcBorders/>
            <w:shd w:fill="FFFFFF" w:val="clear"/>
            <w:vAlign w:val="center"/>
          </w:tcPr>
          <w:p>
            <w:pPr>
              <w:pStyle w:val="TableContents"/>
              <w:spacing w:before="0" w:after="283"/>
              <w:rPr/>
            </w:pPr>
            <w:r>
              <w:rPr/>
              <w:t> </w:t>
            </w:r>
          </w:p>
        </w:tc>
        <w:tc>
          <w:tcPr>
            <w:tcW w:w="1295" w:type="dxa"/>
            <w:gridSpan w:val="3"/>
            <w:tcBorders/>
            <w:shd w:fill="FFFFFF" w:val="clear"/>
            <w:vAlign w:val="bottom"/>
          </w:tcPr>
          <w:p>
            <w:pPr>
              <w:pStyle w:val="TableContents"/>
              <w:spacing w:before="0" w:after="0"/>
              <w:jc w:val="center"/>
              <w:rPr>
                <w:rFonts w:ascii="Arial" w:hAnsi="Arial"/>
                <w:b/>
              </w:rPr>
            </w:pPr>
            <w:r>
              <w:rPr>
                <w:rFonts w:ascii="Arial" w:hAnsi="Arial"/>
                <w:b/>
              </w:rPr>
              <w:t>Total</w:t>
              <w:br/>
              <w:t>Number of</w:t>
              <w:br/>
              <w:t>Shares</w:t>
              <w:br/>
              <w:t>Purchased</w:t>
            </w:r>
          </w:p>
          <w:p>
            <w:pPr>
              <w:pStyle w:val="HorizontalLine"/>
              <w:pBdr>
                <w:bottom w:val="single" w:sz="6" w:space="0" w:color="000000"/>
              </w:pBdr>
              <w:spacing w:before="0" w:after="283"/>
              <w:rPr/>
            </w:pPr>
            <w:r>
              <w:rPr/>
            </w:r>
          </w:p>
        </w:tc>
        <w:tc>
          <w:tcPr>
            <w:tcW w:w="430" w:type="dxa"/>
            <w:tcBorders/>
            <w:shd w:fill="FFFFFF" w:val="clear"/>
            <w:vAlign w:val="center"/>
          </w:tcPr>
          <w:p>
            <w:pPr>
              <w:pStyle w:val="TableContents"/>
              <w:spacing w:before="0" w:after="283"/>
              <w:rPr/>
            </w:pPr>
            <w:r>
              <w:rPr/>
              <w:t> </w:t>
            </w:r>
          </w:p>
        </w:tc>
        <w:tc>
          <w:tcPr>
            <w:tcW w:w="1202" w:type="dxa"/>
            <w:gridSpan w:val="3"/>
            <w:tcBorders/>
            <w:shd w:fill="FFFFFF" w:val="clear"/>
            <w:vAlign w:val="bottom"/>
          </w:tcPr>
          <w:p>
            <w:pPr>
              <w:pStyle w:val="TableContents"/>
              <w:spacing w:before="0" w:after="0"/>
              <w:jc w:val="center"/>
              <w:rPr>
                <w:rFonts w:ascii="Arial" w:hAnsi="Arial"/>
                <w:b/>
              </w:rPr>
            </w:pPr>
            <w:r>
              <w:rPr>
                <w:rFonts w:ascii="Arial" w:hAnsi="Arial"/>
                <w:b/>
              </w:rPr>
              <w:t>Average</w:t>
              <w:br/>
              <w:t>Price Paid</w:t>
              <w:br/>
              <w:t>per Share</w:t>
            </w:r>
          </w:p>
          <w:p>
            <w:pPr>
              <w:pStyle w:val="HorizontalLine"/>
              <w:pBdr>
                <w:bottom w:val="single" w:sz="6" w:space="0" w:color="000000"/>
              </w:pBdr>
              <w:spacing w:before="0" w:after="283"/>
              <w:rPr/>
            </w:pPr>
            <w:r>
              <w:rPr/>
            </w:r>
          </w:p>
        </w:tc>
        <w:tc>
          <w:tcPr>
            <w:tcW w:w="430" w:type="dxa"/>
            <w:tcBorders/>
            <w:shd w:fill="FFFFFF" w:val="clear"/>
            <w:vAlign w:val="center"/>
          </w:tcPr>
          <w:p>
            <w:pPr>
              <w:pStyle w:val="TableContents"/>
              <w:spacing w:before="0" w:after="283"/>
              <w:rPr/>
            </w:pPr>
            <w:r>
              <w:rPr/>
              <w:t> </w:t>
            </w:r>
          </w:p>
        </w:tc>
        <w:tc>
          <w:tcPr>
            <w:tcW w:w="1785" w:type="dxa"/>
            <w:gridSpan w:val="3"/>
            <w:tcBorders/>
            <w:shd w:fill="FFFFFF" w:val="clear"/>
            <w:vAlign w:val="bottom"/>
          </w:tcPr>
          <w:p>
            <w:pPr>
              <w:pStyle w:val="TableContents"/>
              <w:spacing w:before="0" w:after="0"/>
              <w:jc w:val="center"/>
              <w:rPr>
                <w:rFonts w:ascii="Arial" w:hAnsi="Arial"/>
                <w:b/>
              </w:rPr>
            </w:pPr>
            <w:r>
              <w:rPr>
                <w:rFonts w:ascii="Arial" w:hAnsi="Arial"/>
                <w:b/>
              </w:rPr>
              <w:t>Total</w:t>
              <w:br/>
              <w:t>Number of</w:t>
              <w:br/>
              <w:t>Shares</w:t>
              <w:br/>
              <w:t>Purchased as</w:t>
              <w:br/>
              <w:t>Part of Publicly</w:t>
              <w:br/>
              <w:t>Announced</w:t>
              <w:br/>
              <w:t>Plans or</w:t>
              <w:br/>
              <w:t>Programs</w:t>
            </w:r>
          </w:p>
          <w:p>
            <w:pPr>
              <w:pStyle w:val="HorizontalLine"/>
              <w:pBdr>
                <w:bottom w:val="single" w:sz="6" w:space="0" w:color="000000"/>
              </w:pBdr>
              <w:spacing w:before="0" w:after="283"/>
              <w:rPr/>
            </w:pPr>
            <w:r>
              <w:rPr/>
            </w:r>
          </w:p>
        </w:tc>
        <w:tc>
          <w:tcPr>
            <w:tcW w:w="430" w:type="dxa"/>
            <w:tcBorders/>
            <w:shd w:fill="FFFFFF" w:val="clear"/>
            <w:vAlign w:val="center"/>
          </w:tcPr>
          <w:p>
            <w:pPr>
              <w:pStyle w:val="TableContents"/>
              <w:spacing w:before="0" w:after="283"/>
              <w:rPr/>
            </w:pPr>
            <w:r>
              <w:rPr/>
              <w:t> </w:t>
            </w:r>
          </w:p>
        </w:tc>
        <w:tc>
          <w:tcPr>
            <w:tcW w:w="2247" w:type="dxa"/>
            <w:gridSpan w:val="3"/>
            <w:tcBorders/>
            <w:shd w:fill="FFFFFF" w:val="clear"/>
            <w:vAlign w:val="bottom"/>
          </w:tcPr>
          <w:p>
            <w:pPr>
              <w:pStyle w:val="TableContents"/>
              <w:spacing w:before="0" w:after="0"/>
              <w:jc w:val="center"/>
              <w:rPr>
                <w:rFonts w:ascii="Arial" w:hAnsi="Arial"/>
                <w:b/>
              </w:rPr>
            </w:pPr>
            <w:r>
              <w:rPr>
                <w:rFonts w:ascii="Arial" w:hAnsi="Arial"/>
                <w:b/>
              </w:rPr>
              <w:t>Approximate</w:t>
              <w:br/>
              <w:t>Dollar Value of</w:t>
              <w:br/>
              <w:t>Shares that</w:t>
              <w:br/>
              <w:t>May Yet be</w:t>
              <w:br/>
              <w:t>Purchased Under</w:t>
              <w:br/>
              <w:t>Plans or</w:t>
              <w:br/>
              <w:t>Programs</w:t>
              <w:br/>
              <w:t>(Dollars in millions)</w:t>
            </w:r>
          </w:p>
          <w:p>
            <w:pPr>
              <w:pStyle w:val="HorizontalLine"/>
              <w:pBdr>
                <w:bottom w:val="single" w:sz="6" w:space="0" w:color="000000"/>
              </w:pBdr>
              <w:spacing w:before="0" w:after="283"/>
              <w:rPr/>
            </w:pPr>
            <w:r>
              <w:rPr/>
            </w:r>
          </w:p>
        </w:tc>
      </w:tr>
      <w:tr>
        <w:trPr/>
        <w:tc>
          <w:tcPr>
            <w:tcW w:w="368" w:type="dxa"/>
            <w:tcBorders/>
            <w:shd w:fill="E5FFFF" w:val="clear"/>
            <w:vAlign w:val="bottom"/>
          </w:tcPr>
          <w:p>
            <w:pPr>
              <w:pStyle w:val="TableContents"/>
              <w:spacing w:before="0" w:after="283"/>
              <w:jc w:val="left"/>
              <w:rPr/>
            </w:pPr>
            <w:r>
              <w:rPr/>
              <w:t>      </w:t>
            </w:r>
          </w:p>
        </w:tc>
        <w:tc>
          <w:tcPr>
            <w:tcW w:w="1772" w:type="dxa"/>
            <w:tcBorders/>
            <w:shd w:fill="E5FFFF" w:val="clear"/>
            <w:vAlign w:val="bottom"/>
          </w:tcPr>
          <w:p>
            <w:pPr>
              <w:pStyle w:val="TableContents"/>
              <w:spacing w:before="0" w:after="283"/>
              <w:jc w:val="left"/>
              <w:rPr>
                <w:rFonts w:ascii="Arial" w:hAnsi="Arial"/>
              </w:rPr>
            </w:pPr>
            <w:r>
              <w:rPr>
                <w:rFonts w:ascii="Arial" w:hAnsi="Arial"/>
              </w:rPr>
              <w:t>October 2006</w:t>
            </w:r>
          </w:p>
        </w:tc>
        <w:tc>
          <w:tcPr>
            <w:tcW w:w="246" w:type="dxa"/>
            <w:tcBorders/>
            <w:shd w:fill="E5FFFF" w:val="clear"/>
            <w:vAlign w:val="bottom"/>
          </w:tcPr>
          <w:p>
            <w:pPr>
              <w:pStyle w:val="TableContents"/>
              <w:spacing w:before="0" w:after="283"/>
              <w:jc w:val="right"/>
              <w:rPr/>
            </w:pPr>
            <w:r>
              <w:rPr/>
              <w:t>    </w:t>
            </w:r>
          </w:p>
        </w:tc>
        <w:tc>
          <w:tcPr>
            <w:tcW w:w="63" w:type="dxa"/>
            <w:tcBorders/>
            <w:shd w:fill="E5FFFF" w:val="clear"/>
            <w:vAlign w:val="center"/>
          </w:tcPr>
          <w:p>
            <w:pPr>
              <w:pStyle w:val="TableContents"/>
              <w:spacing w:before="0" w:after="283"/>
              <w:rPr/>
            </w:pPr>
            <w:r>
              <w:rPr/>
              <w:t> </w:t>
            </w:r>
          </w:p>
        </w:tc>
        <w:tc>
          <w:tcPr>
            <w:tcW w:w="1166" w:type="dxa"/>
            <w:tcBorders/>
            <w:shd w:fill="E5FFFF" w:val="clear"/>
            <w:vAlign w:val="bottom"/>
          </w:tcPr>
          <w:p>
            <w:pPr>
              <w:pStyle w:val="TableContents"/>
              <w:spacing w:before="0" w:after="283"/>
              <w:jc w:val="right"/>
              <w:rPr>
                <w:rFonts w:ascii="Arial" w:hAnsi="Arial"/>
              </w:rPr>
            </w:pPr>
            <w:r>
              <w:rPr>
                <w:rFonts w:ascii="Arial" w:hAnsi="Arial"/>
              </w:rPr>
              <w:t>2,000,000</w:t>
            </w:r>
          </w:p>
        </w:tc>
        <w:tc>
          <w:tcPr>
            <w:tcW w:w="66" w:type="dxa"/>
            <w:tcBorders/>
            <w:shd w:fill="E5FFFF" w:val="clear"/>
            <w:vAlign w:val="center"/>
          </w:tcPr>
          <w:p>
            <w:pPr>
              <w:pStyle w:val="TableContents"/>
              <w:spacing w:before="0" w:after="283"/>
              <w:rPr/>
            </w:pPr>
            <w:r>
              <w:rPr/>
              <w:t> </w:t>
            </w:r>
          </w:p>
        </w:tc>
        <w:tc>
          <w:tcPr>
            <w:tcW w:w="430" w:type="dxa"/>
            <w:tcBorders/>
            <w:shd w:fill="E5FFFF" w:val="clear"/>
            <w:vAlign w:val="bottom"/>
          </w:tcPr>
          <w:p>
            <w:pPr>
              <w:pStyle w:val="TableContents"/>
              <w:spacing w:before="0" w:after="283"/>
              <w:jc w:val="right"/>
              <w:rPr/>
            </w:pPr>
            <w:r>
              <w:rPr/>
              <w:t>       </w:t>
            </w:r>
          </w:p>
        </w:tc>
        <w:tc>
          <w:tcPr>
            <w:tcW w:w="222" w:type="dxa"/>
            <w:tcBorders/>
            <w:shd w:fill="E5FFFF" w:val="clear"/>
            <w:vAlign w:val="bottom"/>
          </w:tcPr>
          <w:p>
            <w:pPr>
              <w:pStyle w:val="TableContents"/>
              <w:spacing w:before="0" w:after="283"/>
              <w:jc w:val="right"/>
              <w:rPr>
                <w:rFonts w:ascii="Arial" w:hAnsi="Arial"/>
              </w:rPr>
            </w:pPr>
            <w:r>
              <w:rPr>
                <w:rFonts w:ascii="Arial" w:hAnsi="Arial"/>
              </w:rPr>
              <w:t>$</w:t>
            </w:r>
          </w:p>
        </w:tc>
        <w:tc>
          <w:tcPr>
            <w:tcW w:w="892" w:type="dxa"/>
            <w:tcBorders/>
            <w:shd w:fill="E5FFFF" w:val="clear"/>
            <w:vAlign w:val="bottom"/>
          </w:tcPr>
          <w:p>
            <w:pPr>
              <w:pStyle w:val="TableContents"/>
              <w:spacing w:before="0" w:after="283"/>
              <w:jc w:val="right"/>
              <w:rPr>
                <w:rFonts w:ascii="Arial" w:hAnsi="Arial"/>
              </w:rPr>
            </w:pPr>
            <w:r>
              <w:rPr>
                <w:rFonts w:ascii="Arial" w:hAnsi="Arial"/>
              </w:rPr>
              <w:t>42.70</w:t>
            </w:r>
          </w:p>
        </w:tc>
        <w:tc>
          <w:tcPr>
            <w:tcW w:w="88" w:type="dxa"/>
            <w:tcBorders/>
            <w:shd w:fill="E5FFFF" w:val="clear"/>
            <w:vAlign w:val="center"/>
          </w:tcPr>
          <w:p>
            <w:pPr>
              <w:pStyle w:val="TableContents"/>
              <w:spacing w:before="0" w:after="283"/>
              <w:rPr/>
            </w:pPr>
            <w:r>
              <w:rPr/>
              <w:t> </w:t>
            </w:r>
          </w:p>
        </w:tc>
        <w:tc>
          <w:tcPr>
            <w:tcW w:w="430" w:type="dxa"/>
            <w:tcBorders/>
            <w:shd w:fill="E5FFFF" w:val="clear"/>
            <w:vAlign w:val="bottom"/>
          </w:tcPr>
          <w:p>
            <w:pPr>
              <w:pStyle w:val="TableContents"/>
              <w:spacing w:before="0" w:after="283"/>
              <w:jc w:val="right"/>
              <w:rPr/>
            </w:pPr>
            <w:r>
              <w:rPr/>
              <w:t>       </w:t>
            </w:r>
          </w:p>
        </w:tc>
        <w:tc>
          <w:tcPr>
            <w:tcW w:w="88" w:type="dxa"/>
            <w:tcBorders/>
            <w:shd w:fill="E5FFFF" w:val="clear"/>
            <w:vAlign w:val="center"/>
          </w:tcPr>
          <w:p>
            <w:pPr>
              <w:pStyle w:val="TableContents"/>
              <w:spacing w:before="0" w:after="283"/>
              <w:rPr/>
            </w:pPr>
            <w:r>
              <w:rPr/>
              <w:t> </w:t>
            </w:r>
          </w:p>
        </w:tc>
        <w:tc>
          <w:tcPr>
            <w:tcW w:w="1608" w:type="dxa"/>
            <w:tcBorders/>
            <w:shd w:fill="E5FFFF" w:val="clear"/>
            <w:vAlign w:val="bottom"/>
          </w:tcPr>
          <w:p>
            <w:pPr>
              <w:pStyle w:val="TableContents"/>
              <w:spacing w:before="0" w:after="283"/>
              <w:jc w:val="right"/>
              <w:rPr>
                <w:rFonts w:ascii="Arial" w:hAnsi="Arial"/>
              </w:rPr>
            </w:pPr>
            <w:r>
              <w:rPr>
                <w:rFonts w:ascii="Arial" w:hAnsi="Arial"/>
              </w:rPr>
              <w:t>2,000,000</w:t>
            </w:r>
          </w:p>
        </w:tc>
        <w:tc>
          <w:tcPr>
            <w:tcW w:w="89" w:type="dxa"/>
            <w:tcBorders/>
            <w:shd w:fill="E5FFFF" w:val="clear"/>
            <w:vAlign w:val="center"/>
          </w:tcPr>
          <w:p>
            <w:pPr>
              <w:pStyle w:val="TableContents"/>
              <w:spacing w:before="0" w:after="283"/>
              <w:rPr/>
            </w:pPr>
            <w:r>
              <w:rPr/>
              <w:t> </w:t>
            </w:r>
          </w:p>
        </w:tc>
        <w:tc>
          <w:tcPr>
            <w:tcW w:w="430" w:type="dxa"/>
            <w:tcBorders/>
            <w:shd w:fill="E5FFFF" w:val="clear"/>
            <w:vAlign w:val="bottom"/>
          </w:tcPr>
          <w:p>
            <w:pPr>
              <w:pStyle w:val="TableContents"/>
              <w:spacing w:before="0" w:after="283"/>
              <w:jc w:val="right"/>
              <w:rPr/>
            </w:pPr>
            <w:r>
              <w:rPr/>
              <w:t>       </w:t>
            </w:r>
          </w:p>
        </w:tc>
        <w:tc>
          <w:tcPr>
            <w:tcW w:w="415" w:type="dxa"/>
            <w:tcBorders/>
            <w:shd w:fill="E5FFFF" w:val="clear"/>
            <w:vAlign w:val="bottom"/>
          </w:tcPr>
          <w:p>
            <w:pPr>
              <w:pStyle w:val="TableContents"/>
              <w:spacing w:before="0" w:after="283"/>
              <w:jc w:val="right"/>
              <w:rPr>
                <w:rFonts w:ascii="Arial" w:hAnsi="Arial"/>
              </w:rPr>
            </w:pPr>
            <w:r>
              <w:rPr>
                <w:rFonts w:ascii="Arial" w:hAnsi="Arial"/>
              </w:rPr>
              <w:t>$</w:t>
            </w:r>
          </w:p>
        </w:tc>
        <w:tc>
          <w:tcPr>
            <w:tcW w:w="1669" w:type="dxa"/>
            <w:tcBorders/>
            <w:shd w:fill="E5FFFF" w:val="clear"/>
            <w:vAlign w:val="bottom"/>
          </w:tcPr>
          <w:p>
            <w:pPr>
              <w:pStyle w:val="TableContents"/>
              <w:spacing w:before="0" w:after="283"/>
              <w:jc w:val="right"/>
              <w:rPr>
                <w:rFonts w:ascii="Arial" w:hAnsi="Arial"/>
              </w:rPr>
            </w:pPr>
            <w:r>
              <w:rPr>
                <w:rFonts w:ascii="Arial" w:hAnsi="Arial"/>
              </w:rPr>
              <w:t>1,500</w:t>
            </w:r>
          </w:p>
        </w:tc>
        <w:tc>
          <w:tcPr>
            <w:tcW w:w="163" w:type="dxa"/>
            <w:tcBorders/>
            <w:shd w:fill="E5FFFF" w:val="clear"/>
            <w:vAlign w:val="center"/>
          </w:tcPr>
          <w:p>
            <w:pPr>
              <w:pStyle w:val="TableContents"/>
              <w:spacing w:before="0" w:after="283"/>
              <w:rPr/>
            </w:pPr>
            <w:r>
              <w:rPr/>
              <w:t> </w:t>
            </w:r>
          </w:p>
        </w:tc>
      </w:tr>
      <w:tr>
        <w:trPr/>
        <w:tc>
          <w:tcPr>
            <w:tcW w:w="368" w:type="dxa"/>
            <w:tcBorders/>
            <w:shd w:fill="FFFFFF" w:val="clear"/>
            <w:vAlign w:val="bottom"/>
          </w:tcPr>
          <w:p>
            <w:pPr>
              <w:pStyle w:val="TableContents"/>
              <w:spacing w:before="0" w:after="283"/>
              <w:jc w:val="left"/>
              <w:rPr/>
            </w:pPr>
            <w:r>
              <w:rPr/>
              <w:t>      </w:t>
            </w:r>
          </w:p>
        </w:tc>
        <w:tc>
          <w:tcPr>
            <w:tcW w:w="1772" w:type="dxa"/>
            <w:tcBorders/>
            <w:shd w:fill="FFFFFF" w:val="clear"/>
            <w:vAlign w:val="bottom"/>
          </w:tcPr>
          <w:p>
            <w:pPr>
              <w:pStyle w:val="TableContents"/>
              <w:spacing w:before="0" w:after="283"/>
              <w:jc w:val="left"/>
              <w:rPr>
                <w:rFonts w:ascii="Arial" w:hAnsi="Arial"/>
              </w:rPr>
            </w:pPr>
            <w:r>
              <w:rPr>
                <w:rFonts w:ascii="Arial" w:hAnsi="Arial"/>
              </w:rPr>
              <w:t>November 2006</w:t>
            </w:r>
          </w:p>
        </w:tc>
        <w:tc>
          <w:tcPr>
            <w:tcW w:w="246" w:type="dxa"/>
            <w:tcBorders/>
            <w:shd w:fill="FFFFFF" w:val="clear"/>
            <w:vAlign w:val="bottom"/>
          </w:tcPr>
          <w:p>
            <w:pPr>
              <w:pStyle w:val="TableContents"/>
              <w:spacing w:before="0" w:after="283"/>
              <w:jc w:val="right"/>
              <w:rPr/>
            </w:pPr>
            <w:r>
              <w:rPr/>
              <w:t>    </w:t>
            </w:r>
          </w:p>
        </w:tc>
        <w:tc>
          <w:tcPr>
            <w:tcW w:w="63" w:type="dxa"/>
            <w:tcBorders/>
            <w:shd w:fill="FFFFFF" w:val="clear"/>
            <w:vAlign w:val="center"/>
          </w:tcPr>
          <w:p>
            <w:pPr>
              <w:pStyle w:val="TableContents"/>
              <w:spacing w:before="0" w:after="283"/>
              <w:rPr/>
            </w:pPr>
            <w:r>
              <w:rPr/>
              <w:t> </w:t>
            </w:r>
          </w:p>
        </w:tc>
        <w:tc>
          <w:tcPr>
            <w:tcW w:w="1166" w:type="dxa"/>
            <w:tcBorders/>
            <w:shd w:fill="FFFFFF" w:val="clear"/>
            <w:vAlign w:val="bottom"/>
          </w:tcPr>
          <w:p>
            <w:pPr>
              <w:pStyle w:val="TableContents"/>
              <w:spacing w:before="0" w:after="283"/>
              <w:jc w:val="right"/>
              <w:rPr>
                <w:rFonts w:ascii="Arial" w:hAnsi="Arial"/>
              </w:rPr>
            </w:pPr>
            <w:r>
              <w:rPr>
                <w:rFonts w:ascii="Arial" w:hAnsi="Arial"/>
              </w:rPr>
              <w:t>8,975,000</w:t>
            </w:r>
          </w:p>
        </w:tc>
        <w:tc>
          <w:tcPr>
            <w:tcW w:w="66" w:type="dxa"/>
            <w:tcBorders/>
            <w:shd w:fill="FFFFFF" w:val="clear"/>
            <w:vAlign w:val="center"/>
          </w:tcPr>
          <w:p>
            <w:pPr>
              <w:pStyle w:val="TableContents"/>
              <w:spacing w:before="0" w:after="283"/>
              <w:rPr/>
            </w:pPr>
            <w:r>
              <w:rPr/>
              <w:t> </w:t>
            </w:r>
          </w:p>
        </w:tc>
        <w:tc>
          <w:tcPr>
            <w:tcW w:w="430" w:type="dxa"/>
            <w:tcBorders/>
            <w:shd w:fill="FFFFFF" w:val="clear"/>
            <w:vAlign w:val="bottom"/>
          </w:tcPr>
          <w:p>
            <w:pPr>
              <w:pStyle w:val="TableContents"/>
              <w:spacing w:before="0" w:after="283"/>
              <w:jc w:val="right"/>
              <w:rPr/>
            </w:pPr>
            <w:r>
              <w:rPr/>
              <w:t>       </w:t>
            </w:r>
          </w:p>
        </w:tc>
        <w:tc>
          <w:tcPr>
            <w:tcW w:w="222" w:type="dxa"/>
            <w:tcBorders/>
            <w:shd w:fill="FFFFFF" w:val="clear"/>
            <w:vAlign w:val="bottom"/>
          </w:tcPr>
          <w:p>
            <w:pPr>
              <w:pStyle w:val="TableContents"/>
              <w:spacing w:before="0" w:after="283"/>
              <w:jc w:val="right"/>
              <w:rPr>
                <w:rFonts w:ascii="Arial" w:hAnsi="Arial"/>
              </w:rPr>
            </w:pPr>
            <w:r>
              <w:rPr>
                <w:rFonts w:ascii="Arial" w:hAnsi="Arial"/>
              </w:rPr>
              <w:t>$</w:t>
            </w:r>
          </w:p>
        </w:tc>
        <w:tc>
          <w:tcPr>
            <w:tcW w:w="892" w:type="dxa"/>
            <w:tcBorders/>
            <w:shd w:fill="FFFFFF" w:val="clear"/>
            <w:vAlign w:val="bottom"/>
          </w:tcPr>
          <w:p>
            <w:pPr>
              <w:pStyle w:val="TableContents"/>
              <w:spacing w:before="0" w:after="283"/>
              <w:jc w:val="right"/>
              <w:rPr>
                <w:rFonts w:ascii="Arial" w:hAnsi="Arial"/>
              </w:rPr>
            </w:pPr>
            <w:r>
              <w:rPr>
                <w:rFonts w:ascii="Arial" w:hAnsi="Arial"/>
              </w:rPr>
              <w:t>42.67</w:t>
            </w:r>
          </w:p>
        </w:tc>
        <w:tc>
          <w:tcPr>
            <w:tcW w:w="88" w:type="dxa"/>
            <w:tcBorders/>
            <w:shd w:fill="FFFFFF" w:val="clear"/>
            <w:vAlign w:val="center"/>
          </w:tcPr>
          <w:p>
            <w:pPr>
              <w:pStyle w:val="TableContents"/>
              <w:spacing w:before="0" w:after="283"/>
              <w:rPr/>
            </w:pPr>
            <w:r>
              <w:rPr/>
              <w:t> </w:t>
            </w:r>
          </w:p>
        </w:tc>
        <w:tc>
          <w:tcPr>
            <w:tcW w:w="430" w:type="dxa"/>
            <w:tcBorders/>
            <w:shd w:fill="FFFFFF" w:val="clear"/>
            <w:vAlign w:val="bottom"/>
          </w:tcPr>
          <w:p>
            <w:pPr>
              <w:pStyle w:val="TableContents"/>
              <w:spacing w:before="0" w:after="283"/>
              <w:jc w:val="right"/>
              <w:rPr/>
            </w:pPr>
            <w:r>
              <w:rPr/>
              <w:t>       </w:t>
            </w:r>
          </w:p>
        </w:tc>
        <w:tc>
          <w:tcPr>
            <w:tcW w:w="88" w:type="dxa"/>
            <w:tcBorders/>
            <w:shd w:fill="FFFFFF" w:val="clear"/>
            <w:vAlign w:val="center"/>
          </w:tcPr>
          <w:p>
            <w:pPr>
              <w:pStyle w:val="TableContents"/>
              <w:spacing w:before="0" w:after="283"/>
              <w:rPr/>
            </w:pPr>
            <w:r>
              <w:rPr/>
              <w:t> </w:t>
            </w:r>
          </w:p>
        </w:tc>
        <w:tc>
          <w:tcPr>
            <w:tcW w:w="1608" w:type="dxa"/>
            <w:tcBorders/>
            <w:shd w:fill="FFFFFF" w:val="clear"/>
            <w:vAlign w:val="bottom"/>
          </w:tcPr>
          <w:p>
            <w:pPr>
              <w:pStyle w:val="TableContents"/>
              <w:spacing w:before="0" w:after="283"/>
              <w:jc w:val="right"/>
              <w:rPr>
                <w:rFonts w:ascii="Arial" w:hAnsi="Arial"/>
              </w:rPr>
            </w:pPr>
            <w:r>
              <w:rPr>
                <w:rFonts w:ascii="Arial" w:hAnsi="Arial"/>
              </w:rPr>
              <w:t>8,975,000</w:t>
            </w:r>
          </w:p>
        </w:tc>
        <w:tc>
          <w:tcPr>
            <w:tcW w:w="89" w:type="dxa"/>
            <w:tcBorders/>
            <w:shd w:fill="FFFFFF" w:val="clear"/>
            <w:vAlign w:val="center"/>
          </w:tcPr>
          <w:p>
            <w:pPr>
              <w:pStyle w:val="TableContents"/>
              <w:spacing w:before="0" w:after="283"/>
              <w:rPr/>
            </w:pPr>
            <w:r>
              <w:rPr/>
              <w:t> </w:t>
            </w:r>
          </w:p>
        </w:tc>
        <w:tc>
          <w:tcPr>
            <w:tcW w:w="430" w:type="dxa"/>
            <w:tcBorders/>
            <w:shd w:fill="FFFFFF" w:val="clear"/>
            <w:vAlign w:val="bottom"/>
          </w:tcPr>
          <w:p>
            <w:pPr>
              <w:pStyle w:val="TableContents"/>
              <w:spacing w:before="0" w:after="283"/>
              <w:jc w:val="right"/>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w:t>
            </w:r>
          </w:p>
        </w:tc>
        <w:tc>
          <w:tcPr>
            <w:tcW w:w="1669" w:type="dxa"/>
            <w:tcBorders/>
            <w:shd w:fill="FFFFFF" w:val="clear"/>
            <w:vAlign w:val="bottom"/>
          </w:tcPr>
          <w:p>
            <w:pPr>
              <w:pStyle w:val="TableContents"/>
              <w:spacing w:before="0" w:after="283"/>
              <w:jc w:val="right"/>
              <w:rPr>
                <w:rFonts w:ascii="Arial" w:hAnsi="Arial"/>
              </w:rPr>
            </w:pPr>
            <w:r>
              <w:rPr>
                <w:rFonts w:ascii="Arial" w:hAnsi="Arial"/>
              </w:rPr>
              <w:t>1,118</w:t>
            </w:r>
          </w:p>
        </w:tc>
        <w:tc>
          <w:tcPr>
            <w:tcW w:w="163" w:type="dxa"/>
            <w:tcBorders/>
            <w:shd w:fill="FFFFFF" w:val="clear"/>
            <w:vAlign w:val="center"/>
          </w:tcPr>
          <w:p>
            <w:pPr>
              <w:pStyle w:val="TableContents"/>
              <w:spacing w:before="0" w:after="283"/>
              <w:rPr/>
            </w:pPr>
            <w:r>
              <w:rPr/>
              <w:t> </w:t>
            </w:r>
          </w:p>
        </w:tc>
      </w:tr>
      <w:tr>
        <w:trPr/>
        <w:tc>
          <w:tcPr>
            <w:tcW w:w="368" w:type="dxa"/>
            <w:tcBorders/>
            <w:shd w:fill="E5FFFF" w:val="clear"/>
            <w:vAlign w:val="bottom"/>
          </w:tcPr>
          <w:p>
            <w:pPr>
              <w:pStyle w:val="TableContents"/>
              <w:spacing w:before="0" w:after="283"/>
              <w:jc w:val="left"/>
              <w:rPr/>
            </w:pPr>
            <w:r>
              <w:rPr/>
              <w:t>      </w:t>
            </w:r>
          </w:p>
        </w:tc>
        <w:tc>
          <w:tcPr>
            <w:tcW w:w="1772" w:type="dxa"/>
            <w:tcBorders/>
            <w:shd w:fill="E5FFFF" w:val="clear"/>
            <w:vAlign w:val="bottom"/>
          </w:tcPr>
          <w:p>
            <w:pPr>
              <w:pStyle w:val="TableContents"/>
              <w:spacing w:before="0" w:after="283"/>
              <w:jc w:val="left"/>
              <w:rPr>
                <w:rFonts w:ascii="Arial" w:hAnsi="Arial"/>
              </w:rPr>
            </w:pPr>
            <w:r>
              <w:rPr>
                <w:rFonts w:ascii="Arial" w:hAnsi="Arial"/>
              </w:rPr>
              <w:t>December 2006</w:t>
            </w:r>
          </w:p>
        </w:tc>
        <w:tc>
          <w:tcPr>
            <w:tcW w:w="246" w:type="dxa"/>
            <w:tcBorders/>
            <w:shd w:fill="E5FFFF" w:val="clear"/>
            <w:vAlign w:val="bottom"/>
          </w:tcPr>
          <w:p>
            <w:pPr>
              <w:pStyle w:val="TableContents"/>
              <w:spacing w:before="0" w:after="283"/>
              <w:jc w:val="right"/>
              <w:rPr/>
            </w:pPr>
            <w:r>
              <w:rPr/>
              <w:t>    </w:t>
            </w:r>
          </w:p>
        </w:tc>
        <w:tc>
          <w:tcPr>
            <w:tcW w:w="63" w:type="dxa"/>
            <w:tcBorders/>
            <w:shd w:fill="E5FFFF" w:val="clear"/>
            <w:vAlign w:val="center"/>
          </w:tcPr>
          <w:p>
            <w:pPr>
              <w:pStyle w:val="TableContents"/>
              <w:spacing w:before="0" w:after="283"/>
              <w:rPr/>
            </w:pPr>
            <w:r>
              <w:rPr/>
              <w:t> </w:t>
            </w:r>
          </w:p>
        </w:tc>
        <w:tc>
          <w:tcPr>
            <w:tcW w:w="1166" w:type="dxa"/>
            <w:tcBorders/>
            <w:shd w:fill="E5FFFF" w:val="clear"/>
            <w:vAlign w:val="bottom"/>
          </w:tcPr>
          <w:p>
            <w:pPr>
              <w:pStyle w:val="TableContents"/>
              <w:spacing w:before="0" w:after="283"/>
              <w:jc w:val="right"/>
              <w:rPr>
                <w:rFonts w:ascii="Arial" w:hAnsi="Arial"/>
              </w:rPr>
            </w:pPr>
            <w:r>
              <w:rPr>
                <w:rFonts w:ascii="Arial" w:hAnsi="Arial"/>
              </w:rPr>
              <w:t>9,365,000</w:t>
            </w:r>
          </w:p>
        </w:tc>
        <w:tc>
          <w:tcPr>
            <w:tcW w:w="66" w:type="dxa"/>
            <w:tcBorders/>
            <w:shd w:fill="E5FFFF" w:val="clear"/>
            <w:vAlign w:val="center"/>
          </w:tcPr>
          <w:p>
            <w:pPr>
              <w:pStyle w:val="TableContents"/>
              <w:spacing w:before="0" w:after="283"/>
              <w:rPr/>
            </w:pPr>
            <w:r>
              <w:rPr/>
              <w:t> </w:t>
            </w:r>
          </w:p>
        </w:tc>
        <w:tc>
          <w:tcPr>
            <w:tcW w:w="430" w:type="dxa"/>
            <w:tcBorders/>
            <w:shd w:fill="E5FFFF" w:val="clear"/>
            <w:vAlign w:val="bottom"/>
          </w:tcPr>
          <w:p>
            <w:pPr>
              <w:pStyle w:val="TableContents"/>
              <w:spacing w:before="0" w:after="283"/>
              <w:jc w:val="right"/>
              <w:rPr/>
            </w:pPr>
            <w:r>
              <w:rPr/>
              <w:t>       </w:t>
            </w:r>
          </w:p>
        </w:tc>
        <w:tc>
          <w:tcPr>
            <w:tcW w:w="222" w:type="dxa"/>
            <w:tcBorders/>
            <w:shd w:fill="E5FFFF" w:val="clear"/>
            <w:vAlign w:val="bottom"/>
          </w:tcPr>
          <w:p>
            <w:pPr>
              <w:pStyle w:val="TableContents"/>
              <w:spacing w:before="0" w:after="283"/>
              <w:jc w:val="right"/>
              <w:rPr>
                <w:rFonts w:ascii="Arial" w:hAnsi="Arial"/>
              </w:rPr>
            </w:pPr>
            <w:r>
              <w:rPr>
                <w:rFonts w:ascii="Arial" w:hAnsi="Arial"/>
              </w:rPr>
              <w:t>$</w:t>
            </w:r>
          </w:p>
        </w:tc>
        <w:tc>
          <w:tcPr>
            <w:tcW w:w="892" w:type="dxa"/>
            <w:tcBorders/>
            <w:shd w:fill="E5FFFF" w:val="clear"/>
            <w:vAlign w:val="bottom"/>
          </w:tcPr>
          <w:p>
            <w:pPr>
              <w:pStyle w:val="TableContents"/>
              <w:spacing w:before="0" w:after="283"/>
              <w:jc w:val="right"/>
              <w:rPr>
                <w:rFonts w:ascii="Arial" w:hAnsi="Arial"/>
              </w:rPr>
            </w:pPr>
            <w:r>
              <w:rPr>
                <w:rFonts w:ascii="Arial" w:hAnsi="Arial"/>
              </w:rPr>
              <w:t>43.60</w:t>
            </w:r>
          </w:p>
        </w:tc>
        <w:tc>
          <w:tcPr>
            <w:tcW w:w="88" w:type="dxa"/>
            <w:tcBorders/>
            <w:shd w:fill="E5FFFF" w:val="clear"/>
            <w:vAlign w:val="center"/>
          </w:tcPr>
          <w:p>
            <w:pPr>
              <w:pStyle w:val="TableContents"/>
              <w:spacing w:before="0" w:after="283"/>
              <w:rPr/>
            </w:pPr>
            <w:r>
              <w:rPr/>
              <w:t> </w:t>
            </w:r>
          </w:p>
        </w:tc>
        <w:tc>
          <w:tcPr>
            <w:tcW w:w="430" w:type="dxa"/>
            <w:tcBorders/>
            <w:shd w:fill="E5FFFF" w:val="clear"/>
            <w:vAlign w:val="bottom"/>
          </w:tcPr>
          <w:p>
            <w:pPr>
              <w:pStyle w:val="TableContents"/>
              <w:spacing w:before="0" w:after="283"/>
              <w:jc w:val="right"/>
              <w:rPr/>
            </w:pPr>
            <w:r>
              <w:rPr/>
              <w:t>       </w:t>
            </w:r>
          </w:p>
        </w:tc>
        <w:tc>
          <w:tcPr>
            <w:tcW w:w="88" w:type="dxa"/>
            <w:tcBorders/>
            <w:shd w:fill="E5FFFF" w:val="clear"/>
            <w:vAlign w:val="center"/>
          </w:tcPr>
          <w:p>
            <w:pPr>
              <w:pStyle w:val="TableContents"/>
              <w:spacing w:before="0" w:after="283"/>
              <w:rPr/>
            </w:pPr>
            <w:r>
              <w:rPr/>
              <w:t> </w:t>
            </w:r>
          </w:p>
        </w:tc>
        <w:tc>
          <w:tcPr>
            <w:tcW w:w="1608" w:type="dxa"/>
            <w:tcBorders/>
            <w:shd w:fill="E5FFFF" w:val="clear"/>
            <w:vAlign w:val="bottom"/>
          </w:tcPr>
          <w:p>
            <w:pPr>
              <w:pStyle w:val="TableContents"/>
              <w:spacing w:before="0" w:after="283"/>
              <w:jc w:val="right"/>
              <w:rPr>
                <w:rFonts w:ascii="Arial" w:hAnsi="Arial"/>
              </w:rPr>
            </w:pPr>
            <w:r>
              <w:rPr>
                <w:rFonts w:ascii="Arial" w:hAnsi="Arial"/>
              </w:rPr>
              <w:t>9,365,000</w:t>
            </w:r>
          </w:p>
        </w:tc>
        <w:tc>
          <w:tcPr>
            <w:tcW w:w="89" w:type="dxa"/>
            <w:tcBorders/>
            <w:shd w:fill="E5FFFF" w:val="clear"/>
            <w:vAlign w:val="center"/>
          </w:tcPr>
          <w:p>
            <w:pPr>
              <w:pStyle w:val="TableContents"/>
              <w:spacing w:before="0" w:after="283"/>
              <w:rPr/>
            </w:pPr>
            <w:r>
              <w:rPr/>
              <w:t> </w:t>
            </w:r>
          </w:p>
        </w:tc>
        <w:tc>
          <w:tcPr>
            <w:tcW w:w="430" w:type="dxa"/>
            <w:tcBorders/>
            <w:shd w:fill="E5FFFF" w:val="clear"/>
            <w:vAlign w:val="bottom"/>
          </w:tcPr>
          <w:p>
            <w:pPr>
              <w:pStyle w:val="TableContents"/>
              <w:spacing w:before="0" w:after="283"/>
              <w:jc w:val="right"/>
              <w:rPr/>
            </w:pPr>
            <w:r>
              <w:rPr/>
              <w:t>       </w:t>
            </w:r>
          </w:p>
        </w:tc>
        <w:tc>
          <w:tcPr>
            <w:tcW w:w="415" w:type="dxa"/>
            <w:tcBorders/>
            <w:shd w:fill="E5FFFF" w:val="clear"/>
            <w:vAlign w:val="bottom"/>
          </w:tcPr>
          <w:p>
            <w:pPr>
              <w:pStyle w:val="TableContents"/>
              <w:spacing w:before="0" w:after="283"/>
              <w:jc w:val="right"/>
              <w:rPr>
                <w:rFonts w:ascii="Arial" w:hAnsi="Arial"/>
              </w:rPr>
            </w:pPr>
            <w:r>
              <w:rPr>
                <w:rFonts w:ascii="Arial" w:hAnsi="Arial"/>
              </w:rPr>
              <w:t>$</w:t>
            </w:r>
          </w:p>
        </w:tc>
        <w:tc>
          <w:tcPr>
            <w:tcW w:w="1669" w:type="dxa"/>
            <w:tcBorders/>
            <w:shd w:fill="E5FFFF" w:val="clear"/>
            <w:vAlign w:val="bottom"/>
          </w:tcPr>
          <w:p>
            <w:pPr>
              <w:pStyle w:val="TableContents"/>
              <w:spacing w:before="0" w:after="283"/>
              <w:jc w:val="right"/>
              <w:rPr>
                <w:rFonts w:ascii="Arial" w:hAnsi="Arial"/>
              </w:rPr>
            </w:pPr>
            <w:r>
              <w:rPr>
                <w:rFonts w:ascii="Arial" w:hAnsi="Arial"/>
              </w:rPr>
              <w:t>709</w:t>
            </w:r>
          </w:p>
        </w:tc>
        <w:tc>
          <w:tcPr>
            <w:tcW w:w="163" w:type="dxa"/>
            <w:tcBorders/>
            <w:shd w:fill="E5FFFF" w:val="clear"/>
            <w:vAlign w:val="center"/>
          </w:tcPr>
          <w:p>
            <w:pPr>
              <w:pStyle w:val="TableContents"/>
              <w:spacing w:before="0" w:after="283"/>
              <w:rPr/>
            </w:pPr>
            <w:r>
              <w:rPr/>
              <w:t> </w:t>
            </w:r>
          </w:p>
        </w:tc>
      </w:tr>
      <w:tr>
        <w:trPr/>
        <w:tc>
          <w:tcPr>
            <w:tcW w:w="368" w:type="dxa"/>
            <w:tcBorders/>
            <w:shd w:fill="FFFFFF" w:val="clear"/>
            <w:vAlign w:val="bottom"/>
          </w:tcPr>
          <w:p>
            <w:pPr>
              <w:pStyle w:val="TableContents"/>
              <w:spacing w:before="0" w:after="283"/>
              <w:jc w:val="left"/>
              <w:rPr/>
            </w:pPr>
            <w:r>
              <w:rPr/>
              <w:t>      </w:t>
            </w:r>
          </w:p>
        </w:tc>
        <w:tc>
          <w:tcPr>
            <w:tcW w:w="1772" w:type="dxa"/>
            <w:tcBorders/>
            <w:shd w:fill="FFFFFF" w:val="clear"/>
            <w:vAlign w:val="bottom"/>
          </w:tcPr>
          <w:p>
            <w:pPr>
              <w:pStyle w:val="TableContents"/>
              <w:spacing w:before="0" w:after="283"/>
              <w:rPr>
                <w:sz w:val="4"/>
                <w:szCs w:val="4"/>
              </w:rPr>
            </w:pPr>
            <w:r>
              <w:rPr>
                <w:sz w:val="4"/>
                <w:szCs w:val="4"/>
              </w:rPr>
            </w:r>
          </w:p>
        </w:tc>
        <w:tc>
          <w:tcPr>
            <w:tcW w:w="246"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1166"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43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892"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430" w:type="dxa"/>
            <w:tcBorders/>
            <w:shd w:fill="FFFFFF" w:val="clear"/>
            <w:vAlign w:val="center"/>
          </w:tcPr>
          <w:p>
            <w:pPr>
              <w:pStyle w:val="TableContents"/>
              <w:spacing w:before="0" w:after="283"/>
              <w:rPr/>
            </w:pPr>
            <w:r>
              <w:rPr/>
              <w:t> </w:t>
            </w:r>
          </w:p>
        </w:tc>
        <w:tc>
          <w:tcPr>
            <w:tcW w:w="88" w:type="dxa"/>
            <w:tcBorders/>
            <w:shd w:fill="FFFFFF" w:val="clear"/>
            <w:vAlign w:val="center"/>
          </w:tcPr>
          <w:p>
            <w:pPr>
              <w:pStyle w:val="TableContents"/>
              <w:spacing w:before="0" w:after="283"/>
              <w:rPr/>
            </w:pPr>
            <w:r>
              <w:rPr/>
              <w:t> </w:t>
            </w:r>
          </w:p>
        </w:tc>
        <w:tc>
          <w:tcPr>
            <w:tcW w:w="1608"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rPr/>
            </w:pPr>
            <w:r>
              <w:rPr/>
              <w:t> </w:t>
            </w:r>
          </w:p>
        </w:tc>
        <w:tc>
          <w:tcPr>
            <w:tcW w:w="430" w:type="dxa"/>
            <w:tcBorders/>
            <w:shd w:fill="FFFFFF" w:val="clear"/>
            <w:vAlign w:val="center"/>
          </w:tcPr>
          <w:p>
            <w:pPr>
              <w:pStyle w:val="TableContents"/>
              <w:spacing w:before="0" w:after="283"/>
              <w:rPr/>
            </w:pPr>
            <w:r>
              <w:rPr/>
              <w:t> </w:t>
            </w:r>
          </w:p>
        </w:tc>
        <w:tc>
          <w:tcPr>
            <w:tcW w:w="415" w:type="dxa"/>
            <w:tcBorders/>
            <w:shd w:fill="FFFFFF" w:val="clear"/>
            <w:vAlign w:val="center"/>
          </w:tcPr>
          <w:p>
            <w:pPr>
              <w:pStyle w:val="TableContents"/>
              <w:spacing w:before="0" w:after="283"/>
              <w:rPr/>
            </w:pPr>
            <w:r>
              <w:rPr/>
              <w:t> </w:t>
            </w:r>
          </w:p>
        </w:tc>
        <w:tc>
          <w:tcPr>
            <w:tcW w:w="1669"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
        <w:gridCol w:w="60"/>
        <w:gridCol w:w="10086"/>
      </w:tblGrid>
      <w:tr>
        <w:trPr/>
        <w:tc>
          <w:tcPr>
            <w:tcW w:w="10205" w:type="dxa"/>
            <w:gridSpan w:val="3"/>
            <w:tcBorders/>
            <w:shd w:fill="FFFFFF" w:val="clear"/>
          </w:tcPr>
          <w:p>
            <w:pPr>
              <w:pStyle w:val="HorizontalLine"/>
              <w:pBdr>
                <w:bottom w:val="single" w:sz="20" w:space="0" w:color="000000"/>
              </w:pBdr>
              <w:spacing w:before="0" w:after="283"/>
              <w:rPr/>
            </w:pPr>
            <w:r>
              <w:rPr/>
            </w:r>
          </w:p>
        </w:tc>
      </w:tr>
      <w:tr>
        <w:trPr/>
        <w:tc>
          <w:tcPr>
            <w:tcW w:w="59" w:type="dxa"/>
            <w:tcBorders/>
            <w:shd w:fill="FFFFFF" w:val="clear"/>
            <w:vAlign w:val="center"/>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10086" w:type="dxa"/>
            <w:tcBorders/>
            <w:shd w:fill="FFFFFF" w:val="clear"/>
            <w:vAlign w:val="bottom"/>
          </w:tcPr>
          <w:p>
            <w:pPr>
              <w:pStyle w:val="TableContents"/>
              <w:spacing w:before="0" w:after="283"/>
              <w:jc w:val="left"/>
              <w:rPr>
                <w:rFonts w:ascii="Arial" w:hAnsi="Arial"/>
              </w:rPr>
            </w:pPr>
            <w:r>
              <w:rPr>
                <w:rFonts w:ascii="Arial" w:hAnsi="Arial"/>
              </w:rPr>
              <w:t>In February 2007, the Board of Directors authorized the repurchase of shares of up to $3 billion of Honeywell common stock. Honeywell intends to repurchase outstanding shares from time to time in the open market using cash flow generated by operations. The amount and timing of repurchases may vary depending on market conditions and the level of other investing activities.</w:t>
            </w:r>
          </w:p>
        </w:tc>
      </w:tr>
    </w:tbl>
    <w:p>
      <w:pPr>
        <w:pStyle w:val="TextBody"/>
        <w:jc w:val="center"/>
        <w:rPr>
          <w:rFonts w:ascii="Arial" w:hAnsi="Arial"/>
        </w:rPr>
      </w:pPr>
      <w:r>
        <w:rPr>
          <w:rFonts w:ascii="Arial" w:hAnsi="Arial"/>
        </w:rPr>
        <w:t>18</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Performance Graph</w:t>
      </w:r>
    </w:p>
    <w:p>
      <w:pPr>
        <w:pStyle w:val="TextBody"/>
        <w:jc w:val="left"/>
        <w:rPr/>
      </w:pPr>
      <w:r>
        <w:rPr/>
        <w:t>      </w:t>
      </w:r>
      <w:r>
        <w:rPr>
          <w:rFonts w:ascii="Arial" w:hAnsi="Arial"/>
        </w:rPr>
        <w:t>The following graph compares the five-year cumulative total return on our Common Stock to the total returns on the Standard &amp; Poor's 500 Stock Index and a composite of Standard &amp; Poor's Aerospace and Defense and Industrial Conglomerates indices, on an equally weighted basis (the “Composite Index”). The selection and weighting of the Aerospace and Defense component of the Composite Index was deemed appropriate in light of the fact that Honeywell's Aerospace segment has accounted for, on average, approximately 50% of our aggregate segment profits over the past three completed fiscal years. The selection and weighting of the Industrial Conglomerates component of the Composite Index reflects the diverse and distinct range of non-aerospace businesses conducted by Honeywell and their contribution to our overall segment profits. The annual changes for the five-year period shown in the graph are based on the assumption that $100 had been invested in Honeywell stock and each index on December 31, 2001 and that all dividends were reinvested.</w:t>
      </w:r>
    </w:p>
    <w:p>
      <w:pPr>
        <w:pStyle w:val="TextBody"/>
        <w:jc w:val="center"/>
        <w:rPr/>
      </w:pPr>
      <w:r>
        <w:rPr/>
        <w:drawing>
          <wp:inline distT="0" distB="0" distL="0" distR="0">
            <wp:extent cx="718820" cy="3594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18820" cy="359410"/>
                    </a:xfrm>
                    <a:prstGeom prst="rect">
                      <a:avLst/>
                    </a:prstGeom>
                  </pic:spPr>
                </pic:pic>
              </a:graphicData>
            </a:graphic>
          </wp:inline>
        </w:drawing>
      </w:r>
    </w:p>
    <w:p>
      <w:pPr>
        <w:pStyle w:val="TextBody"/>
        <w:jc w:val="center"/>
        <w:rPr>
          <w:rFonts w:ascii="Arial" w:hAnsi="Arial"/>
        </w:rPr>
      </w:pPr>
      <w:r>
        <w:rPr>
          <w:rFonts w:ascii="Arial" w:hAnsi="Arial"/>
        </w:rPr>
        <w:t>19</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HONEYWELL INTERNATIONAL INC.</w:t>
      </w:r>
    </w:p>
    <w:p>
      <w:pPr>
        <w:pStyle w:val="TextBody"/>
        <w:jc w:val="left"/>
        <w:rPr>
          <w:rFonts w:ascii="Arial" w:hAnsi="Arial"/>
          <w:b/>
        </w:rPr>
      </w:pPr>
      <w:bookmarkStart w:id="12" w:name="Selected"/>
      <w:bookmarkEnd w:id="12"/>
      <w:r>
        <w:rPr>
          <w:rFonts w:ascii="Arial" w:hAnsi="Arial"/>
          <w:b/>
        </w:rPr>
        <w:t>Item 6.    Selected Financial Data</w:t>
      </w:r>
    </w:p>
    <w:tbl>
      <w:tblPr>
        <w:tblW w:w="5000" w:type="pct"/>
        <w:jc w:val="left"/>
        <w:tblInd w:w="0" w:type="dxa"/>
        <w:tblCellMar>
          <w:top w:w="0" w:type="dxa"/>
          <w:left w:w="0" w:type="dxa"/>
          <w:bottom w:w="0" w:type="dxa"/>
          <w:right w:w="0" w:type="dxa"/>
        </w:tblCellMar>
      </w:tblPr>
      <w:tblGrid>
        <w:gridCol w:w="4119"/>
        <w:gridCol w:w="240"/>
        <w:gridCol w:w="155"/>
        <w:gridCol w:w="755"/>
        <w:gridCol w:w="60"/>
        <w:gridCol w:w="240"/>
        <w:gridCol w:w="155"/>
        <w:gridCol w:w="755"/>
        <w:gridCol w:w="60"/>
        <w:gridCol w:w="240"/>
        <w:gridCol w:w="155"/>
        <w:gridCol w:w="755"/>
        <w:gridCol w:w="60"/>
        <w:gridCol w:w="240"/>
        <w:gridCol w:w="155"/>
        <w:gridCol w:w="755"/>
        <w:gridCol w:w="60"/>
        <w:gridCol w:w="240"/>
        <w:gridCol w:w="154"/>
        <w:gridCol w:w="755"/>
        <w:gridCol w:w="97"/>
      </w:tblGrid>
      <w:tr>
        <w:trPr/>
        <w:tc>
          <w:tcPr>
            <w:tcW w:w="411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5846" w:type="dxa"/>
            <w:gridSpan w:val="19"/>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11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7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7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7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70" w:type="dxa"/>
            <w:gridSpan w:val="3"/>
            <w:tcBorders/>
            <w:shd w:fill="FFFFFF" w:val="clear"/>
            <w:vAlign w:val="bottom"/>
          </w:tcPr>
          <w:p>
            <w:pPr>
              <w:pStyle w:val="TableContents"/>
              <w:spacing w:before="0" w:after="0"/>
              <w:jc w:val="center"/>
              <w:rPr>
                <w:rFonts w:ascii="Arial" w:hAnsi="Arial"/>
                <w:b/>
              </w:rPr>
            </w:pPr>
            <w:r>
              <w:rPr>
                <w:rFonts w:ascii="Arial" w:hAnsi="Arial"/>
                <w:b/>
              </w:rPr>
              <w:t>2003</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06" w:type="dxa"/>
            <w:gridSpan w:val="3"/>
            <w:tcBorders/>
            <w:shd w:fill="FFFFFF" w:val="clear"/>
            <w:vAlign w:val="bottom"/>
          </w:tcPr>
          <w:p>
            <w:pPr>
              <w:pStyle w:val="TableContents"/>
              <w:spacing w:before="0" w:after="0"/>
              <w:jc w:val="center"/>
              <w:rPr>
                <w:rFonts w:ascii="Arial" w:hAnsi="Arial"/>
                <w:b/>
              </w:rPr>
            </w:pPr>
            <w:r>
              <w:rPr>
                <w:rFonts w:ascii="Arial" w:hAnsi="Arial"/>
                <w:b/>
              </w:rPr>
              <w:t>2002</w:t>
            </w:r>
          </w:p>
          <w:p>
            <w:pPr>
              <w:pStyle w:val="HorizontalLine"/>
              <w:pBdr>
                <w:bottom w:val="single" w:sz="6" w:space="0" w:color="000000"/>
              </w:pBdr>
              <w:spacing w:before="0" w:after="283"/>
              <w:rPr/>
            </w:pPr>
            <w:r>
              <w:rPr/>
            </w:r>
          </w:p>
        </w:tc>
      </w:tr>
      <w:tr>
        <w:trPr/>
        <w:tc>
          <w:tcPr>
            <w:tcW w:w="411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5846" w:type="dxa"/>
            <w:gridSpan w:val="19"/>
            <w:tcBorders/>
            <w:shd w:fill="FFFFFF" w:val="clear"/>
          </w:tcPr>
          <w:p>
            <w:pPr>
              <w:pStyle w:val="TableContents"/>
              <w:spacing w:before="0" w:after="283"/>
              <w:jc w:val="center"/>
              <w:rPr>
                <w:rFonts w:ascii="Arial" w:hAnsi="Arial"/>
                <w:b/>
                <w:sz w:val="14"/>
              </w:rPr>
            </w:pPr>
            <w:r>
              <w:rPr>
                <w:rFonts w:ascii="Arial" w:hAnsi="Arial"/>
                <w:b/>
                <w:sz w:val="14"/>
              </w:rPr>
              <w:t>(Dollars in millions, except per share amounts)</w:t>
            </w:r>
          </w:p>
        </w:tc>
      </w:tr>
      <w:tr>
        <w:trPr/>
        <w:tc>
          <w:tcPr>
            <w:tcW w:w="4119" w:type="dxa"/>
            <w:tcBorders/>
            <w:shd w:fill="FFFFFF" w:val="clear"/>
            <w:vAlign w:val="bottom"/>
          </w:tcPr>
          <w:p>
            <w:pPr>
              <w:pStyle w:val="TableContents"/>
              <w:spacing w:before="0" w:after="283"/>
              <w:jc w:val="left"/>
              <w:rPr>
                <w:rFonts w:ascii="Arial" w:hAnsi="Arial"/>
                <w:b/>
              </w:rPr>
            </w:pPr>
            <w:r>
              <w:rPr>
                <w:rFonts w:ascii="Arial" w:hAnsi="Arial"/>
                <w:b/>
              </w:rPr>
              <w:t>Results of Operations</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r>
      <w:tr>
        <w:trPr/>
        <w:tc>
          <w:tcPr>
            <w:tcW w:w="4119" w:type="dxa"/>
            <w:tcBorders/>
            <w:shd w:fill="E5FFFF" w:val="clear"/>
            <w:vAlign w:val="bottom"/>
          </w:tcPr>
          <w:p>
            <w:pPr>
              <w:pStyle w:val="TableContents"/>
              <w:spacing w:before="0" w:after="283"/>
              <w:jc w:val="left"/>
              <w:rPr>
                <w:rFonts w:ascii="Arial" w:hAnsi="Arial"/>
              </w:rPr>
            </w:pPr>
            <w:r>
              <w:rPr>
                <w:rFonts w:ascii="Arial" w:hAnsi="Arial"/>
              </w:rPr>
              <w:t>Net sales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31,367</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27,652</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25,593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23,095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4"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22,261</w:t>
            </w:r>
          </w:p>
        </w:tc>
        <w:tc>
          <w:tcPr>
            <w:tcW w:w="97" w:type="dxa"/>
            <w:tcBorders/>
            <w:shd w:fill="E5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jc w:val="left"/>
              <w:rPr>
                <w:rFonts w:ascii="Arial" w:hAnsi="Arial"/>
              </w:rPr>
            </w:pPr>
            <w:r>
              <w:rPr>
                <w:rFonts w:ascii="Arial" w:hAnsi="Arial"/>
              </w:rPr>
              <w:t>Income (loss) from continuing operations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2,078</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1,564</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1,246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1,309</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(254</w:t>
            </w:r>
          </w:p>
        </w:tc>
        <w:tc>
          <w:tcPr>
            <w:tcW w:w="97"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9" w:type="dxa"/>
            <w:tcBorders/>
            <w:shd w:fill="E5FFFF" w:val="clear"/>
            <w:vAlign w:val="bottom"/>
          </w:tcPr>
          <w:p>
            <w:pPr>
              <w:pStyle w:val="TableContents"/>
              <w:spacing w:before="0" w:after="283"/>
              <w:jc w:val="left"/>
              <w:rPr>
                <w:rFonts w:ascii="Arial" w:hAnsi="Arial"/>
                <w:b/>
              </w:rPr>
            </w:pPr>
            <w:r>
              <w:rPr>
                <w:rFonts w:ascii="Arial" w:hAnsi="Arial"/>
                <w:b/>
              </w:rPr>
              <w:t>Per Common Share</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4"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7" w:type="dxa"/>
            <w:tcBorders/>
            <w:shd w:fill="E5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jc w:val="left"/>
              <w:rPr>
                <w:rFonts w:ascii="Arial" w:hAnsi="Arial"/>
              </w:rPr>
            </w:pPr>
            <w:r>
              <w:rPr>
                <w:rFonts w:ascii="Arial" w:hAnsi="Arial"/>
              </w:rPr>
              <w:t>Earnings (loss) from continuing operations:</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r>
      <w:tr>
        <w:trPr/>
        <w:tc>
          <w:tcPr>
            <w:tcW w:w="4119" w:type="dxa"/>
            <w:tcBorders/>
            <w:shd w:fill="E5FFFF" w:val="clear"/>
            <w:vAlign w:val="bottom"/>
          </w:tcPr>
          <w:p>
            <w:pPr>
              <w:pStyle w:val="TableContents"/>
              <w:spacing w:before="0" w:after="283"/>
              <w:jc w:val="left"/>
              <w:rPr>
                <w:rFonts w:ascii="Arial" w:hAnsi="Arial"/>
              </w:rPr>
            </w:pPr>
            <w:r>
              <w:rPr>
                <w:rFonts w:ascii="Arial" w:hAnsi="Arial"/>
              </w:rPr>
              <w:t>Basic</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2.53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1.85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1.45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1.52</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(0.31</w:t>
            </w:r>
          </w:p>
        </w:tc>
        <w:tc>
          <w:tcPr>
            <w:tcW w:w="97"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19" w:type="dxa"/>
            <w:tcBorders/>
            <w:shd w:fill="FFFFFF" w:val="clear"/>
            <w:vAlign w:val="bottom"/>
          </w:tcPr>
          <w:p>
            <w:pPr>
              <w:pStyle w:val="TableContents"/>
              <w:spacing w:before="0" w:after="283"/>
              <w:jc w:val="left"/>
              <w:rPr>
                <w:rFonts w:ascii="Arial" w:hAnsi="Arial"/>
              </w:rPr>
            </w:pPr>
            <w:r>
              <w:rPr>
                <w:rFonts w:ascii="Arial" w:hAnsi="Arial"/>
              </w:rPr>
              <w:t>Assuming dilution</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2.51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1.84</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1.45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1.52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(0.31</w:t>
            </w:r>
          </w:p>
        </w:tc>
        <w:tc>
          <w:tcPr>
            <w:tcW w:w="97"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9" w:type="dxa"/>
            <w:tcBorders/>
            <w:shd w:fill="E5FFFF" w:val="clear"/>
            <w:vAlign w:val="bottom"/>
          </w:tcPr>
          <w:p>
            <w:pPr>
              <w:pStyle w:val="TableContents"/>
              <w:spacing w:before="0" w:after="283"/>
              <w:jc w:val="left"/>
              <w:rPr>
                <w:rFonts w:ascii="Arial" w:hAnsi="Arial"/>
              </w:rPr>
            </w:pPr>
            <w:r>
              <w:rPr>
                <w:rFonts w:ascii="Arial" w:hAnsi="Arial"/>
              </w:rPr>
              <w:t>Dividends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0.9075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0.825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0.75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0.75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0.75</w:t>
            </w:r>
          </w:p>
        </w:tc>
        <w:tc>
          <w:tcPr>
            <w:tcW w:w="97" w:type="dxa"/>
            <w:tcBorders/>
            <w:shd w:fill="E5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jc w:val="left"/>
              <w:rPr>
                <w:rFonts w:ascii="Arial" w:hAnsi="Arial"/>
                <w:b/>
              </w:rPr>
            </w:pPr>
            <w:r>
              <w:rPr>
                <w:rFonts w:ascii="Arial" w:hAnsi="Arial"/>
                <w:b/>
              </w:rPr>
              <w:t>Financial Position at Year-End</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r>
      <w:tr>
        <w:trPr/>
        <w:tc>
          <w:tcPr>
            <w:tcW w:w="4119" w:type="dxa"/>
            <w:tcBorders/>
            <w:shd w:fill="E5FFFF" w:val="clear"/>
            <w:vAlign w:val="bottom"/>
          </w:tcPr>
          <w:p>
            <w:pPr>
              <w:pStyle w:val="TableContents"/>
              <w:spacing w:before="0" w:after="283"/>
              <w:jc w:val="left"/>
              <w:rPr>
                <w:rFonts w:ascii="Arial" w:hAnsi="Arial"/>
              </w:rPr>
            </w:pPr>
            <w:r>
              <w:rPr>
                <w:rFonts w:ascii="Arial" w:hAnsi="Arial"/>
              </w:rPr>
              <w:t>Property, plant and equipment—net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4,797</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4,658</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4,331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4,295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4,055</w:t>
            </w:r>
          </w:p>
        </w:tc>
        <w:tc>
          <w:tcPr>
            <w:tcW w:w="97" w:type="dxa"/>
            <w:tcBorders/>
            <w:shd w:fill="E5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jc w:val="left"/>
              <w:rPr>
                <w:rFonts w:ascii="Arial" w:hAnsi="Arial"/>
              </w:rPr>
            </w:pPr>
            <w:r>
              <w:rPr>
                <w:rFonts w:ascii="Arial" w:hAnsi="Arial"/>
              </w:rPr>
              <w:t>Total assets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30,941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31,633</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30,570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28,767</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27,160</w:t>
            </w:r>
          </w:p>
        </w:tc>
        <w:tc>
          <w:tcPr>
            <w:tcW w:w="97" w:type="dxa"/>
            <w:tcBorders/>
            <w:shd w:fill="FFFFFF" w:val="clear"/>
            <w:vAlign w:val="center"/>
          </w:tcPr>
          <w:p>
            <w:pPr>
              <w:pStyle w:val="TableContents"/>
              <w:spacing w:before="0" w:after="283"/>
              <w:rPr/>
            </w:pPr>
            <w:r>
              <w:rPr/>
              <w:t> </w:t>
            </w:r>
          </w:p>
        </w:tc>
      </w:tr>
      <w:tr>
        <w:trPr/>
        <w:tc>
          <w:tcPr>
            <w:tcW w:w="4119" w:type="dxa"/>
            <w:tcBorders/>
            <w:shd w:fill="E5FFFF" w:val="clear"/>
            <w:vAlign w:val="bottom"/>
          </w:tcPr>
          <w:p>
            <w:pPr>
              <w:pStyle w:val="TableContents"/>
              <w:spacing w:before="0" w:after="283"/>
              <w:jc w:val="left"/>
              <w:rPr>
                <w:rFonts w:ascii="Arial" w:hAnsi="Arial"/>
              </w:rPr>
            </w:pPr>
            <w:r>
              <w:rPr>
                <w:rFonts w:ascii="Arial" w:hAnsi="Arial"/>
              </w:rPr>
              <w:t>Short-term debt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1,154</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2,024</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1,204</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199</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370</w:t>
            </w:r>
          </w:p>
        </w:tc>
        <w:tc>
          <w:tcPr>
            <w:tcW w:w="97" w:type="dxa"/>
            <w:tcBorders/>
            <w:shd w:fill="E5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jc w:val="left"/>
              <w:rPr>
                <w:rFonts w:ascii="Arial" w:hAnsi="Arial"/>
              </w:rPr>
            </w:pPr>
            <w:r>
              <w:rPr>
                <w:rFonts w:ascii="Arial" w:hAnsi="Arial"/>
              </w:rPr>
              <w:t>Long-term debt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3,909</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3,082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4,069</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4,961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4,719</w:t>
            </w:r>
          </w:p>
        </w:tc>
        <w:tc>
          <w:tcPr>
            <w:tcW w:w="97" w:type="dxa"/>
            <w:tcBorders/>
            <w:shd w:fill="FFFFFF" w:val="clear"/>
            <w:vAlign w:val="center"/>
          </w:tcPr>
          <w:p>
            <w:pPr>
              <w:pStyle w:val="TableContents"/>
              <w:spacing w:before="0" w:after="283"/>
              <w:rPr/>
            </w:pPr>
            <w:r>
              <w:rPr/>
              <w:t> </w:t>
            </w:r>
          </w:p>
        </w:tc>
      </w:tr>
      <w:tr>
        <w:trPr/>
        <w:tc>
          <w:tcPr>
            <w:tcW w:w="4119" w:type="dxa"/>
            <w:tcBorders/>
            <w:shd w:fill="E5FFFF" w:val="clear"/>
            <w:vAlign w:val="bottom"/>
          </w:tcPr>
          <w:p>
            <w:pPr>
              <w:pStyle w:val="TableContents"/>
              <w:spacing w:before="0" w:after="283"/>
              <w:jc w:val="left"/>
              <w:rPr>
                <w:rFonts w:ascii="Arial" w:hAnsi="Arial"/>
              </w:rPr>
            </w:pPr>
            <w:r>
              <w:rPr>
                <w:rFonts w:ascii="Arial" w:hAnsi="Arial"/>
              </w:rPr>
              <w:t>Total debt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5,063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5,106</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5,273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5,160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5,089</w:t>
            </w:r>
          </w:p>
        </w:tc>
        <w:tc>
          <w:tcPr>
            <w:tcW w:w="97" w:type="dxa"/>
            <w:tcBorders/>
            <w:shd w:fill="E5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jc w:val="left"/>
              <w:rPr>
                <w:rFonts w:ascii="Arial" w:hAnsi="Arial"/>
              </w:rPr>
            </w:pPr>
            <w:r>
              <w:rPr>
                <w:rFonts w:ascii="Arial" w:hAnsi="Arial"/>
              </w:rPr>
              <w:t>Shareowners' equity(1)</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9,720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10,762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10,777</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10,289</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8,520</w:t>
            </w:r>
          </w:p>
        </w:tc>
        <w:tc>
          <w:tcPr>
            <w:tcW w:w="97" w:type="dxa"/>
            <w:tcBorders/>
            <w:shd w:fill="FFFFFF" w:val="clear"/>
            <w:vAlign w:val="center"/>
          </w:tcPr>
          <w:p>
            <w:pPr>
              <w:pStyle w:val="TableContents"/>
              <w:spacing w:before="0" w:after="283"/>
              <w:rPr/>
            </w:pPr>
            <w:r>
              <w:rPr/>
              <w:t> </w:t>
            </w:r>
          </w:p>
        </w:tc>
      </w:tr>
      <w:tr>
        <w:trPr/>
        <w:tc>
          <w:tcPr>
            <w:tcW w:w="411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58"/>
        <w:gridCol w:w="180"/>
        <w:gridCol w:w="9767"/>
      </w:tblGrid>
      <w:tr>
        <w:trPr/>
        <w:tc>
          <w:tcPr>
            <w:tcW w:w="258"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67" w:type="dxa"/>
            <w:tcBorders/>
            <w:shd w:fill="FFFFFF" w:val="clear"/>
            <w:vAlign w:val="center"/>
          </w:tcPr>
          <w:p>
            <w:pPr>
              <w:pStyle w:val="TableContents"/>
              <w:spacing w:before="0" w:after="283"/>
              <w:rPr/>
            </w:pPr>
            <w:r>
              <w:rPr/>
              <w:t> </w:t>
            </w:r>
          </w:p>
        </w:tc>
      </w:tr>
      <w:tr>
        <w:trPr/>
        <w:tc>
          <w:tcPr>
            <w:tcW w:w="258"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67" w:type="dxa"/>
            <w:tcBorders/>
            <w:shd w:fill="FFFFFF" w:val="clear"/>
            <w:vAlign w:val="bottom"/>
          </w:tcPr>
          <w:p>
            <w:pPr>
              <w:pStyle w:val="TableContents"/>
              <w:spacing w:before="0" w:after="283"/>
              <w:jc w:val="left"/>
              <w:rPr>
                <w:rFonts w:ascii="Arial" w:hAnsi="Arial"/>
              </w:rPr>
            </w:pPr>
            <w:r>
              <w:rPr>
                <w:rFonts w:ascii="Arial" w:hAnsi="Arial"/>
              </w:rPr>
              <w:t>For the year ended December 31, 2006 shareowners' equity includes a reduction of $1,512 related to the adoption of SFAS No. 158, “Employers' Accounting for Defined Benefit Pension and Other Postretirement Plans”.</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816"/>
        <w:gridCol w:w="9389"/>
      </w:tblGrid>
      <w:tr>
        <w:trPr/>
        <w:tc>
          <w:tcPr>
            <w:tcW w:w="816" w:type="dxa"/>
            <w:tcBorders/>
            <w:shd w:fill="auto" w:val="clear"/>
          </w:tcPr>
          <w:p>
            <w:pPr>
              <w:pStyle w:val="TableContents"/>
              <w:spacing w:before="0" w:after="283"/>
              <w:rPr>
                <w:rFonts w:ascii="Arial" w:hAnsi="Arial"/>
                <w:b/>
              </w:rPr>
            </w:pPr>
            <w:bookmarkStart w:id="13" w:name="Management"/>
            <w:bookmarkEnd w:id="13"/>
            <w:r>
              <w:rPr>
                <w:rFonts w:ascii="Arial" w:hAnsi="Arial"/>
                <w:b/>
              </w:rPr>
              <w:t>Item 7.</w:t>
            </w:r>
          </w:p>
        </w:tc>
        <w:tc>
          <w:tcPr>
            <w:tcW w:w="9389" w:type="dxa"/>
            <w:tcBorders/>
            <w:shd w:fill="auto" w:val="clear"/>
            <w:vAlign w:val="center"/>
          </w:tcPr>
          <w:p>
            <w:pPr>
              <w:pStyle w:val="TableContents"/>
              <w:spacing w:before="0" w:after="283"/>
              <w:rPr>
                <w:rFonts w:ascii="Arial" w:hAnsi="Arial"/>
                <w:b/>
              </w:rPr>
            </w:pPr>
            <w:r>
              <w:rPr>
                <w:rFonts w:ascii="Arial" w:hAnsi="Arial"/>
                <w:b/>
              </w:rPr>
              <w:t>Management's Discussion and Analysis of Financial Condition and</w:t>
              <w:br/>
              <w:t>Results of Operations</w:t>
            </w:r>
          </w:p>
        </w:tc>
      </w:tr>
    </w:tbl>
    <w:p>
      <w:pPr>
        <w:pStyle w:val="TextBody"/>
        <w:jc w:val="left"/>
        <w:rPr/>
      </w:pPr>
      <w:r>
        <w:rPr/>
        <w:t>      </w:t>
      </w:r>
      <w:r>
        <w:rPr>
          <w:rFonts w:ascii="Arial" w:hAnsi="Arial"/>
        </w:rPr>
        <w:t>The following Management's Discussion and Analysis of Financial Condition and Results of Operations (“MD&amp;A”) is intended to help the reader understand the results of operations and financial condition of Honeywell International Inc. (“Honeywell”) for the three years ended December 31, 2006. All references to Notes relate to Notes to the Financial Statements in “Item 8—Financial Statements and Supplementary Data”.</w:t>
      </w:r>
    </w:p>
    <w:p>
      <w:pPr>
        <w:pStyle w:val="TextBody"/>
        <w:jc w:val="left"/>
        <w:rPr>
          <w:rFonts w:ascii="Arial" w:hAnsi="Arial"/>
          <w:b/>
        </w:rPr>
      </w:pPr>
      <w:r>
        <w:rPr>
          <w:rFonts w:ascii="Arial" w:hAnsi="Arial"/>
          <w:b/>
        </w:rPr>
        <w:t>CONSOLIDATED RESULTS OF OPERATIONS</w:t>
      </w:r>
    </w:p>
    <w:p>
      <w:pPr>
        <w:pStyle w:val="TextBody"/>
        <w:jc w:val="left"/>
        <w:rPr>
          <w:rFonts w:ascii="Arial" w:hAnsi="Arial"/>
          <w:b/>
        </w:rPr>
      </w:pPr>
      <w:r>
        <w:rPr>
          <w:rFonts w:ascii="Arial" w:hAnsi="Arial"/>
          <w:b/>
        </w:rPr>
        <w:t>Net Sales</w:t>
      </w:r>
    </w:p>
    <w:tbl>
      <w:tblPr>
        <w:tblW w:w="5000" w:type="pct"/>
        <w:jc w:val="left"/>
        <w:tblInd w:w="0" w:type="dxa"/>
        <w:tblCellMar>
          <w:top w:w="0" w:type="dxa"/>
          <w:left w:w="0" w:type="dxa"/>
          <w:bottom w:w="0" w:type="dxa"/>
          <w:right w:w="0" w:type="dxa"/>
        </w:tblCellMar>
      </w:tblPr>
      <w:tblGrid>
        <w:gridCol w:w="440"/>
        <w:gridCol w:w="4614"/>
        <w:gridCol w:w="293"/>
        <w:gridCol w:w="190"/>
        <w:gridCol w:w="924"/>
        <w:gridCol w:w="281"/>
        <w:gridCol w:w="440"/>
        <w:gridCol w:w="190"/>
        <w:gridCol w:w="924"/>
        <w:gridCol w:w="281"/>
        <w:gridCol w:w="441"/>
        <w:gridCol w:w="189"/>
        <w:gridCol w:w="924"/>
        <w:gridCol w:w="74"/>
      </w:tblGrid>
      <w:tr>
        <w:trPr/>
        <w:tc>
          <w:tcPr>
            <w:tcW w:w="440" w:type="dxa"/>
            <w:tcBorders/>
            <w:shd w:fill="FFFFFF" w:val="clear"/>
            <w:vAlign w:val="center"/>
          </w:tcPr>
          <w:p>
            <w:pPr>
              <w:pStyle w:val="TableContents"/>
              <w:spacing w:before="0" w:after="283"/>
              <w:rPr/>
            </w:pPr>
            <w:r>
              <w:rPr/>
              <w:t> </w:t>
            </w:r>
          </w:p>
        </w:tc>
        <w:tc>
          <w:tcPr>
            <w:tcW w:w="4614"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rPr/>
            </w:pPr>
            <w:r>
              <w:rPr/>
              <w:t> </w:t>
            </w:r>
          </w:p>
        </w:tc>
        <w:tc>
          <w:tcPr>
            <w:tcW w:w="139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40" w:type="dxa"/>
            <w:tcBorders/>
            <w:shd w:fill="FFFFFF" w:val="clear"/>
            <w:vAlign w:val="center"/>
          </w:tcPr>
          <w:p>
            <w:pPr>
              <w:pStyle w:val="TableContents"/>
              <w:spacing w:before="0" w:after="283"/>
              <w:rPr/>
            </w:pPr>
            <w:r>
              <w:rPr/>
              <w:t> </w:t>
            </w:r>
          </w:p>
        </w:tc>
        <w:tc>
          <w:tcPr>
            <w:tcW w:w="139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41" w:type="dxa"/>
            <w:tcBorders/>
            <w:shd w:fill="FFFFFF" w:val="clear"/>
            <w:vAlign w:val="center"/>
          </w:tcPr>
          <w:p>
            <w:pPr>
              <w:pStyle w:val="TableContents"/>
              <w:spacing w:before="0" w:after="283"/>
              <w:rPr/>
            </w:pPr>
            <w:r>
              <w:rPr/>
              <w:t> </w:t>
            </w:r>
          </w:p>
        </w:tc>
        <w:tc>
          <w:tcPr>
            <w:tcW w:w="1187"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40" w:type="dxa"/>
            <w:tcBorders/>
            <w:shd w:fill="FFFFFF" w:val="clear"/>
            <w:vAlign w:val="center"/>
          </w:tcPr>
          <w:p>
            <w:pPr>
              <w:pStyle w:val="TableContents"/>
              <w:spacing w:before="0" w:after="283"/>
              <w:rPr/>
            </w:pPr>
            <w:r>
              <w:rPr/>
              <w:t> </w:t>
            </w:r>
          </w:p>
        </w:tc>
        <w:tc>
          <w:tcPr>
            <w:tcW w:w="4614" w:type="dxa"/>
            <w:tcBorders/>
            <w:shd w:fill="FFFFFF" w:val="clear"/>
            <w:vAlign w:val="center"/>
          </w:tcPr>
          <w:p>
            <w:pPr>
              <w:pStyle w:val="TableContents"/>
              <w:spacing w:before="0" w:after="283"/>
              <w:rPr/>
            </w:pPr>
            <w:r>
              <w:rPr/>
              <w:t> </w:t>
            </w:r>
          </w:p>
        </w:tc>
        <w:tc>
          <w:tcPr>
            <w:tcW w:w="293" w:type="dxa"/>
            <w:tcBorders/>
            <w:shd w:fill="FFFFFF" w:val="clear"/>
            <w:vAlign w:val="center"/>
          </w:tcPr>
          <w:p>
            <w:pPr>
              <w:pStyle w:val="TableContents"/>
              <w:spacing w:before="0" w:after="283"/>
              <w:rPr/>
            </w:pPr>
            <w:r>
              <w:rPr/>
              <w:t> </w:t>
            </w:r>
          </w:p>
        </w:tc>
        <w:tc>
          <w:tcPr>
            <w:tcW w:w="4858"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40" w:type="dxa"/>
            <w:tcBorders/>
            <w:shd w:fill="E5FFFF" w:val="clear"/>
            <w:vAlign w:val="bottom"/>
          </w:tcPr>
          <w:p>
            <w:pPr>
              <w:pStyle w:val="TableContents"/>
              <w:spacing w:before="0" w:after="283"/>
              <w:jc w:val="left"/>
              <w:rPr/>
            </w:pPr>
            <w:r>
              <w:rPr/>
              <w:t>      </w:t>
            </w:r>
          </w:p>
        </w:tc>
        <w:tc>
          <w:tcPr>
            <w:tcW w:w="4614" w:type="dxa"/>
            <w:tcBorders/>
            <w:shd w:fill="E5FFFF" w:val="clear"/>
            <w:vAlign w:val="bottom"/>
          </w:tcPr>
          <w:p>
            <w:pPr>
              <w:pStyle w:val="TableContents"/>
              <w:spacing w:before="0" w:after="283"/>
              <w:jc w:val="left"/>
              <w:rPr>
                <w:rFonts w:ascii="Arial" w:hAnsi="Arial"/>
              </w:rPr>
            </w:pPr>
            <w:r>
              <w:rPr>
                <w:rFonts w:ascii="Arial" w:hAnsi="Arial"/>
              </w:rPr>
              <w:t>Net sales</w:t>
            </w:r>
          </w:p>
        </w:tc>
        <w:tc>
          <w:tcPr>
            <w:tcW w:w="293" w:type="dxa"/>
            <w:tcBorders/>
            <w:shd w:fill="E5FFFF" w:val="clear"/>
            <w:vAlign w:val="bottom"/>
          </w:tcPr>
          <w:p>
            <w:pPr>
              <w:pStyle w:val="TableContents"/>
              <w:spacing w:before="0" w:after="283"/>
              <w:jc w:val="right"/>
              <w:rPr/>
            </w:pPr>
            <w:r>
              <w:rPr/>
              <w:t>    </w:t>
            </w:r>
          </w:p>
        </w:tc>
        <w:tc>
          <w:tcPr>
            <w:tcW w:w="190" w:type="dxa"/>
            <w:tcBorders/>
            <w:shd w:fill="E5FFFF" w:val="clear"/>
            <w:vAlign w:val="bottom"/>
          </w:tcPr>
          <w:p>
            <w:pPr>
              <w:pStyle w:val="TableContents"/>
              <w:spacing w:before="0" w:after="283"/>
              <w:jc w:val="right"/>
              <w:rPr>
                <w:rFonts w:ascii="Arial" w:hAnsi="Arial"/>
              </w:rPr>
            </w:pPr>
            <w:r>
              <w:rPr>
                <w:rFonts w:ascii="Arial" w:hAnsi="Arial"/>
              </w:rPr>
              <w:t>$</w:t>
            </w:r>
          </w:p>
        </w:tc>
        <w:tc>
          <w:tcPr>
            <w:tcW w:w="924" w:type="dxa"/>
            <w:tcBorders/>
            <w:shd w:fill="E5FFFF" w:val="clear"/>
            <w:vAlign w:val="bottom"/>
          </w:tcPr>
          <w:p>
            <w:pPr>
              <w:pStyle w:val="TableContents"/>
              <w:spacing w:before="0" w:after="283"/>
              <w:jc w:val="right"/>
              <w:rPr>
                <w:rFonts w:ascii="Arial" w:hAnsi="Arial"/>
              </w:rPr>
            </w:pPr>
            <w:r>
              <w:rPr>
                <w:rFonts w:ascii="Arial" w:hAnsi="Arial"/>
              </w:rPr>
              <w:t>31,367</w:t>
            </w:r>
          </w:p>
        </w:tc>
        <w:tc>
          <w:tcPr>
            <w:tcW w:w="281"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pPr>
            <w:r>
              <w:rPr/>
              <w:t>      </w:t>
            </w:r>
          </w:p>
        </w:tc>
        <w:tc>
          <w:tcPr>
            <w:tcW w:w="190" w:type="dxa"/>
            <w:tcBorders/>
            <w:shd w:fill="E5FFFF" w:val="clear"/>
            <w:vAlign w:val="bottom"/>
          </w:tcPr>
          <w:p>
            <w:pPr>
              <w:pStyle w:val="TableContents"/>
              <w:spacing w:before="0" w:after="283"/>
              <w:jc w:val="right"/>
              <w:rPr>
                <w:rFonts w:ascii="Arial" w:hAnsi="Arial"/>
              </w:rPr>
            </w:pPr>
            <w:r>
              <w:rPr>
                <w:rFonts w:ascii="Arial" w:hAnsi="Arial"/>
              </w:rPr>
              <w:t>$</w:t>
            </w:r>
          </w:p>
        </w:tc>
        <w:tc>
          <w:tcPr>
            <w:tcW w:w="924" w:type="dxa"/>
            <w:tcBorders/>
            <w:shd w:fill="E5FFFF" w:val="clear"/>
            <w:vAlign w:val="bottom"/>
          </w:tcPr>
          <w:p>
            <w:pPr>
              <w:pStyle w:val="TableContents"/>
              <w:spacing w:before="0" w:after="283"/>
              <w:jc w:val="right"/>
              <w:rPr>
                <w:rFonts w:ascii="Arial" w:hAnsi="Arial"/>
              </w:rPr>
            </w:pPr>
            <w:r>
              <w:rPr>
                <w:rFonts w:ascii="Arial" w:hAnsi="Arial"/>
              </w:rPr>
              <w:t>27,652</w:t>
            </w:r>
          </w:p>
        </w:tc>
        <w:tc>
          <w:tcPr>
            <w:tcW w:w="281" w:type="dxa"/>
            <w:tcBorders/>
            <w:shd w:fill="E5FFFF" w:val="clear"/>
            <w:vAlign w:val="center"/>
          </w:tcPr>
          <w:p>
            <w:pPr>
              <w:pStyle w:val="TableContents"/>
              <w:spacing w:before="0" w:after="283"/>
              <w:rPr/>
            </w:pPr>
            <w:r>
              <w:rPr/>
              <w:t> </w:t>
            </w:r>
          </w:p>
        </w:tc>
        <w:tc>
          <w:tcPr>
            <w:tcW w:w="441" w:type="dxa"/>
            <w:tcBorders/>
            <w:shd w:fill="E5FFFF" w:val="clear"/>
            <w:vAlign w:val="bottom"/>
          </w:tcPr>
          <w:p>
            <w:pPr>
              <w:pStyle w:val="TableContents"/>
              <w:spacing w:before="0" w:after="283"/>
              <w:jc w:val="right"/>
              <w:rPr/>
            </w:pPr>
            <w:r>
              <w:rPr/>
              <w:t>      </w:t>
            </w:r>
          </w:p>
        </w:tc>
        <w:tc>
          <w:tcPr>
            <w:tcW w:w="189" w:type="dxa"/>
            <w:tcBorders/>
            <w:shd w:fill="E5FFFF" w:val="clear"/>
            <w:vAlign w:val="bottom"/>
          </w:tcPr>
          <w:p>
            <w:pPr>
              <w:pStyle w:val="TableContents"/>
              <w:spacing w:before="0" w:after="283"/>
              <w:jc w:val="right"/>
              <w:rPr>
                <w:rFonts w:ascii="Arial" w:hAnsi="Arial"/>
              </w:rPr>
            </w:pPr>
            <w:r>
              <w:rPr>
                <w:rFonts w:ascii="Arial" w:hAnsi="Arial"/>
              </w:rPr>
              <w:t>$</w:t>
            </w:r>
          </w:p>
        </w:tc>
        <w:tc>
          <w:tcPr>
            <w:tcW w:w="924" w:type="dxa"/>
            <w:tcBorders/>
            <w:shd w:fill="E5FFFF" w:val="clear"/>
            <w:vAlign w:val="bottom"/>
          </w:tcPr>
          <w:p>
            <w:pPr>
              <w:pStyle w:val="TableContents"/>
              <w:spacing w:before="0" w:after="283"/>
              <w:jc w:val="right"/>
              <w:rPr>
                <w:rFonts w:ascii="Arial" w:hAnsi="Arial"/>
              </w:rPr>
            </w:pPr>
            <w:r>
              <w:rPr>
                <w:rFonts w:ascii="Arial" w:hAnsi="Arial"/>
              </w:rPr>
              <w:t>25,593</w:t>
            </w:r>
          </w:p>
        </w:tc>
        <w:tc>
          <w:tcPr>
            <w:tcW w:w="74" w:type="dxa"/>
            <w:tcBorders/>
            <w:shd w:fill="E5FFFF" w:val="clear"/>
            <w:vAlign w:val="center"/>
          </w:tcPr>
          <w:p>
            <w:pPr>
              <w:pStyle w:val="TableContents"/>
              <w:spacing w:before="0" w:after="283"/>
              <w:rPr/>
            </w:pPr>
            <w:r>
              <w:rPr/>
              <w:t> </w:t>
            </w:r>
          </w:p>
        </w:tc>
      </w:tr>
      <w:tr>
        <w:trPr/>
        <w:tc>
          <w:tcPr>
            <w:tcW w:w="440" w:type="dxa"/>
            <w:tcBorders/>
            <w:shd w:fill="FFFFFF" w:val="clear"/>
            <w:vAlign w:val="bottom"/>
          </w:tcPr>
          <w:p>
            <w:pPr>
              <w:pStyle w:val="TableContents"/>
              <w:spacing w:before="0" w:after="283"/>
              <w:jc w:val="left"/>
              <w:rPr/>
            </w:pPr>
            <w:r>
              <w:rPr/>
              <w:t>      </w:t>
            </w:r>
          </w:p>
        </w:tc>
        <w:tc>
          <w:tcPr>
            <w:tcW w:w="4614"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293" w:type="dxa"/>
            <w:tcBorders/>
            <w:shd w:fill="FFFFFF" w:val="clear"/>
            <w:vAlign w:val="bottom"/>
          </w:tcPr>
          <w:p>
            <w:pPr>
              <w:pStyle w:val="TableContents"/>
              <w:spacing w:before="0" w:after="283"/>
              <w:jc w:val="right"/>
              <w:rPr/>
            </w:pPr>
            <w:r>
              <w:rPr/>
              <w:t>    </w:t>
            </w:r>
          </w:p>
        </w:tc>
        <w:tc>
          <w:tcPr>
            <w:tcW w:w="190" w:type="dxa"/>
            <w:tcBorders/>
            <w:shd w:fill="FFFFFF" w:val="clear"/>
            <w:vAlign w:val="center"/>
          </w:tcPr>
          <w:p>
            <w:pPr>
              <w:pStyle w:val="TableContents"/>
              <w:spacing w:before="0" w:after="283"/>
              <w:rPr/>
            </w:pPr>
            <w:r>
              <w:rPr/>
              <w:t> </w:t>
            </w:r>
          </w:p>
        </w:tc>
        <w:tc>
          <w:tcPr>
            <w:tcW w:w="924" w:type="dxa"/>
            <w:tcBorders/>
            <w:shd w:fill="FFFFFF" w:val="clear"/>
            <w:vAlign w:val="bottom"/>
          </w:tcPr>
          <w:p>
            <w:pPr>
              <w:pStyle w:val="TableContents"/>
              <w:spacing w:before="0" w:after="283"/>
              <w:jc w:val="right"/>
              <w:rPr>
                <w:rFonts w:ascii="Arial" w:hAnsi="Arial"/>
              </w:rPr>
            </w:pPr>
            <w:r>
              <w:rPr>
                <w:rFonts w:ascii="Arial" w:hAnsi="Arial"/>
              </w:rPr>
              <w:t>13</w:t>
            </w:r>
          </w:p>
        </w:tc>
        <w:tc>
          <w:tcPr>
            <w:tcW w:w="281" w:type="dxa"/>
            <w:tcBorders/>
            <w:shd w:fill="FFFFFF" w:val="clear"/>
            <w:vAlign w:val="bottom"/>
          </w:tcPr>
          <w:p>
            <w:pPr>
              <w:pStyle w:val="TableContents"/>
              <w:spacing w:before="0" w:after="283"/>
              <w:jc w:val="left"/>
              <w:rPr>
                <w:rFonts w:ascii="Arial" w:hAnsi="Arial"/>
              </w:rPr>
            </w:pPr>
            <w:r>
              <w:rPr>
                <w:rFonts w:ascii="Arial" w:hAnsi="Arial"/>
              </w:rPr>
              <w:t>%</w:t>
            </w:r>
          </w:p>
        </w:tc>
        <w:tc>
          <w:tcPr>
            <w:tcW w:w="440" w:type="dxa"/>
            <w:tcBorders/>
            <w:shd w:fill="FFFFFF" w:val="clear"/>
            <w:vAlign w:val="bottom"/>
          </w:tcPr>
          <w:p>
            <w:pPr>
              <w:pStyle w:val="TableContents"/>
              <w:spacing w:before="0" w:after="283"/>
              <w:jc w:val="right"/>
              <w:rPr/>
            </w:pPr>
            <w:r>
              <w:rPr/>
              <w:t>      </w:t>
            </w:r>
          </w:p>
        </w:tc>
        <w:tc>
          <w:tcPr>
            <w:tcW w:w="190" w:type="dxa"/>
            <w:tcBorders/>
            <w:shd w:fill="FFFFFF" w:val="clear"/>
            <w:vAlign w:val="center"/>
          </w:tcPr>
          <w:p>
            <w:pPr>
              <w:pStyle w:val="TableContents"/>
              <w:spacing w:before="0" w:after="283"/>
              <w:rPr/>
            </w:pPr>
            <w:r>
              <w:rPr/>
              <w:t> </w:t>
            </w:r>
          </w:p>
        </w:tc>
        <w:tc>
          <w:tcPr>
            <w:tcW w:w="924" w:type="dxa"/>
            <w:tcBorders/>
            <w:shd w:fill="FFFFFF" w:val="clear"/>
            <w:vAlign w:val="bottom"/>
          </w:tcPr>
          <w:p>
            <w:pPr>
              <w:pStyle w:val="TableContents"/>
              <w:spacing w:before="0" w:after="283"/>
              <w:jc w:val="right"/>
              <w:rPr>
                <w:rFonts w:ascii="Arial" w:hAnsi="Arial"/>
              </w:rPr>
            </w:pPr>
            <w:r>
              <w:rPr>
                <w:rFonts w:ascii="Arial" w:hAnsi="Arial"/>
              </w:rPr>
              <w:t>8</w:t>
            </w:r>
          </w:p>
        </w:tc>
        <w:tc>
          <w:tcPr>
            <w:tcW w:w="281" w:type="dxa"/>
            <w:tcBorders/>
            <w:shd w:fill="FFFFFF" w:val="clear"/>
            <w:vAlign w:val="bottom"/>
          </w:tcPr>
          <w:p>
            <w:pPr>
              <w:pStyle w:val="TableContents"/>
              <w:spacing w:before="0" w:after="283"/>
              <w:jc w:val="left"/>
              <w:rPr>
                <w:rFonts w:ascii="Arial" w:hAnsi="Arial"/>
              </w:rPr>
            </w:pPr>
            <w:r>
              <w:rPr>
                <w:rFonts w:ascii="Arial" w:hAnsi="Arial"/>
              </w:rPr>
              <w:t>%</w:t>
            </w:r>
          </w:p>
        </w:tc>
        <w:tc>
          <w:tcPr>
            <w:tcW w:w="441"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r>
      <w:tr>
        <w:trPr/>
        <w:tc>
          <w:tcPr>
            <w:tcW w:w="440" w:type="dxa"/>
            <w:tcBorders/>
            <w:shd w:fill="FFFFFF" w:val="clear"/>
            <w:vAlign w:val="bottom"/>
          </w:tcPr>
          <w:p>
            <w:pPr>
              <w:pStyle w:val="TableContents"/>
              <w:spacing w:before="0" w:after="283"/>
              <w:jc w:val="left"/>
              <w:rPr/>
            </w:pPr>
            <w:r>
              <w:rPr/>
              <w:t>      </w:t>
            </w:r>
          </w:p>
        </w:tc>
        <w:tc>
          <w:tcPr>
            <w:tcW w:w="4614" w:type="dxa"/>
            <w:tcBorders/>
            <w:shd w:fill="FFFFFF" w:val="clear"/>
            <w:vAlign w:val="bottom"/>
          </w:tcPr>
          <w:p>
            <w:pPr>
              <w:pStyle w:val="TableContents"/>
              <w:spacing w:before="0" w:after="283"/>
              <w:rPr>
                <w:sz w:val="4"/>
                <w:szCs w:val="4"/>
              </w:rPr>
            </w:pPr>
            <w:r>
              <w:rPr>
                <w:sz w:val="4"/>
                <w:szCs w:val="4"/>
              </w:rPr>
            </w:r>
          </w:p>
        </w:tc>
        <w:tc>
          <w:tcPr>
            <w:tcW w:w="293"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rPr/>
            </w:pPr>
            <w:r>
              <w:rPr/>
              <w:t> </w:t>
            </w:r>
          </w:p>
        </w:tc>
        <w:tc>
          <w:tcPr>
            <w:tcW w:w="441"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rPr/>
            </w:pPr>
            <w:r>
              <w:rPr/>
              <w:t> </w:t>
            </w:r>
          </w:p>
        </w:tc>
        <w:tc>
          <w:tcPr>
            <w:tcW w:w="924"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change in net sales in 2006 and 2005 is attributable to the following:</w:t>
      </w:r>
    </w:p>
    <w:tbl>
      <w:tblPr>
        <w:tblW w:w="5000" w:type="pct"/>
        <w:jc w:val="left"/>
        <w:tblInd w:w="0" w:type="dxa"/>
        <w:tblCellMar>
          <w:top w:w="0" w:type="dxa"/>
          <w:left w:w="0" w:type="dxa"/>
          <w:bottom w:w="0" w:type="dxa"/>
          <w:right w:w="0" w:type="dxa"/>
        </w:tblCellMar>
      </w:tblPr>
      <w:tblGrid>
        <w:gridCol w:w="797"/>
        <w:gridCol w:w="4400"/>
        <w:gridCol w:w="531"/>
        <w:gridCol w:w="171"/>
        <w:gridCol w:w="833"/>
        <w:gridCol w:w="836"/>
        <w:gridCol w:w="797"/>
        <w:gridCol w:w="180"/>
        <w:gridCol w:w="782"/>
        <w:gridCol w:w="878"/>
      </w:tblGrid>
      <w:tr>
        <w:trPr/>
        <w:tc>
          <w:tcPr>
            <w:tcW w:w="797" w:type="dxa"/>
            <w:tcBorders/>
            <w:shd w:fill="FFFFFF" w:val="clear"/>
            <w:vAlign w:val="center"/>
          </w:tcPr>
          <w:p>
            <w:pPr>
              <w:pStyle w:val="TableContents"/>
              <w:spacing w:before="0" w:after="283"/>
              <w:rPr/>
            </w:pPr>
            <w:r>
              <w:rPr/>
              <w:t> </w:t>
            </w:r>
          </w:p>
        </w:tc>
        <w:tc>
          <w:tcPr>
            <w:tcW w:w="4400" w:type="dxa"/>
            <w:tcBorders/>
            <w:shd w:fill="FFFFFF" w:val="clear"/>
            <w:vAlign w:val="center"/>
          </w:tcPr>
          <w:p>
            <w:pPr>
              <w:pStyle w:val="TableContents"/>
              <w:spacing w:before="0" w:after="283"/>
              <w:rPr/>
            </w:pPr>
            <w:r>
              <w:rPr/>
              <w:t> </w:t>
            </w:r>
          </w:p>
        </w:tc>
        <w:tc>
          <w:tcPr>
            <w:tcW w:w="531" w:type="dxa"/>
            <w:tcBorders/>
            <w:shd w:fill="FFFFFF" w:val="clear"/>
            <w:vAlign w:val="center"/>
          </w:tcPr>
          <w:p>
            <w:pPr>
              <w:pStyle w:val="TableContents"/>
              <w:spacing w:before="0" w:after="283"/>
              <w:rPr/>
            </w:pPr>
            <w:r>
              <w:rPr/>
              <w:t> </w:t>
            </w:r>
          </w:p>
        </w:tc>
        <w:tc>
          <w:tcPr>
            <w:tcW w:w="1840" w:type="dxa"/>
            <w:gridSpan w:val="3"/>
            <w:tcBorders/>
            <w:shd w:fill="FFFFFF" w:val="clear"/>
            <w:vAlign w:val="bottom"/>
          </w:tcPr>
          <w:p>
            <w:pPr>
              <w:pStyle w:val="TableContents"/>
              <w:spacing w:before="0" w:after="0"/>
              <w:jc w:val="center"/>
              <w:rPr>
                <w:rFonts w:ascii="Arial" w:hAnsi="Arial"/>
                <w:b/>
              </w:rPr>
            </w:pPr>
            <w:r>
              <w:rPr>
                <w:rFonts w:ascii="Arial" w:hAnsi="Arial"/>
                <w:b/>
              </w:rPr>
              <w:t>2006</w:t>
              <w:br/>
              <w:t>Versus</w:t>
              <w:br/>
              <w:t>2005</w:t>
            </w:r>
          </w:p>
          <w:p>
            <w:pPr>
              <w:pStyle w:val="HorizontalLine"/>
              <w:pBdr>
                <w:bottom w:val="single" w:sz="6" w:space="0" w:color="000000"/>
              </w:pBdr>
              <w:spacing w:before="0" w:after="283"/>
              <w:rPr/>
            </w:pPr>
            <w:r>
              <w:rPr/>
            </w:r>
          </w:p>
        </w:tc>
        <w:tc>
          <w:tcPr>
            <w:tcW w:w="797" w:type="dxa"/>
            <w:tcBorders/>
            <w:shd w:fill="FFFFFF" w:val="clear"/>
            <w:vAlign w:val="center"/>
          </w:tcPr>
          <w:p>
            <w:pPr>
              <w:pStyle w:val="TableContents"/>
              <w:spacing w:before="0" w:after="283"/>
              <w:rPr/>
            </w:pPr>
            <w:r>
              <w:rPr/>
              <w:t> </w:t>
            </w:r>
          </w:p>
        </w:tc>
        <w:tc>
          <w:tcPr>
            <w:tcW w:w="1840" w:type="dxa"/>
            <w:gridSpan w:val="3"/>
            <w:tcBorders/>
            <w:shd w:fill="FFFFFF" w:val="clear"/>
            <w:vAlign w:val="bottom"/>
          </w:tcPr>
          <w:p>
            <w:pPr>
              <w:pStyle w:val="TableContents"/>
              <w:spacing w:before="0" w:after="0"/>
              <w:jc w:val="center"/>
              <w:rPr>
                <w:rFonts w:ascii="Arial" w:hAnsi="Arial"/>
                <w:b/>
              </w:rPr>
            </w:pPr>
            <w:r>
              <w:rPr>
                <w:rFonts w:ascii="Arial" w:hAnsi="Arial"/>
                <w:b/>
              </w:rPr>
              <w:t>2005</w:t>
              <w:br/>
              <w:t>Versus</w:t>
              <w:br/>
              <w:t>2004</w:t>
            </w:r>
          </w:p>
          <w:p>
            <w:pPr>
              <w:pStyle w:val="HorizontalLine"/>
              <w:pBdr>
                <w:bottom w:val="single" w:sz="6" w:space="0" w:color="000000"/>
              </w:pBdr>
              <w:spacing w:before="0" w:after="283"/>
              <w:rPr/>
            </w:pPr>
            <w:r>
              <w:rPr/>
            </w:r>
          </w:p>
        </w:tc>
      </w:tr>
      <w:tr>
        <w:trPr/>
        <w:tc>
          <w:tcPr>
            <w:tcW w:w="797" w:type="dxa"/>
            <w:tcBorders/>
            <w:shd w:fill="E5FFFF" w:val="clear"/>
            <w:vAlign w:val="bottom"/>
          </w:tcPr>
          <w:p>
            <w:pPr>
              <w:pStyle w:val="TableContents"/>
              <w:spacing w:before="0" w:after="283"/>
              <w:jc w:val="left"/>
              <w:rPr/>
            </w:pPr>
            <w:r>
              <w:rPr/>
              <w:t>      </w:t>
            </w:r>
          </w:p>
        </w:tc>
        <w:tc>
          <w:tcPr>
            <w:tcW w:w="4400" w:type="dxa"/>
            <w:tcBorders/>
            <w:shd w:fill="E5FFFF" w:val="clear"/>
            <w:vAlign w:val="bottom"/>
          </w:tcPr>
          <w:p>
            <w:pPr>
              <w:pStyle w:val="TableContents"/>
              <w:spacing w:before="0" w:after="283"/>
              <w:jc w:val="left"/>
              <w:rPr>
                <w:rFonts w:ascii="Arial" w:hAnsi="Arial"/>
              </w:rPr>
            </w:pPr>
            <w:r>
              <w:rPr>
                <w:rFonts w:ascii="Arial" w:hAnsi="Arial"/>
              </w:rPr>
              <w:t>Acquisitions</w:t>
            </w:r>
          </w:p>
        </w:tc>
        <w:tc>
          <w:tcPr>
            <w:tcW w:w="53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833" w:type="dxa"/>
            <w:tcBorders/>
            <w:shd w:fill="E5FFFF" w:val="clear"/>
            <w:vAlign w:val="bottom"/>
          </w:tcPr>
          <w:p>
            <w:pPr>
              <w:pStyle w:val="TableContents"/>
              <w:spacing w:before="0" w:after="283"/>
              <w:jc w:val="right"/>
              <w:rPr>
                <w:rFonts w:ascii="Arial" w:hAnsi="Arial"/>
              </w:rPr>
            </w:pPr>
            <w:r>
              <w:rPr>
                <w:rFonts w:ascii="Arial" w:hAnsi="Arial"/>
              </w:rPr>
              <w:t>7</w:t>
            </w:r>
          </w:p>
        </w:tc>
        <w:tc>
          <w:tcPr>
            <w:tcW w:w="836" w:type="dxa"/>
            <w:tcBorders/>
            <w:shd w:fill="E5FFFF" w:val="clear"/>
            <w:vAlign w:val="bottom"/>
          </w:tcPr>
          <w:p>
            <w:pPr>
              <w:pStyle w:val="TableContents"/>
              <w:spacing w:before="0" w:after="283"/>
              <w:jc w:val="left"/>
              <w:rPr/>
            </w:pPr>
            <w:r>
              <w:rPr/>
              <w:t> </w:t>
            </w:r>
            <w:r>
              <w:rPr>
                <w:rFonts w:ascii="Arial" w:hAnsi="Arial"/>
              </w:rPr>
              <w:t>%</w:t>
            </w:r>
          </w:p>
        </w:tc>
        <w:tc>
          <w:tcPr>
            <w:tcW w:w="797" w:type="dxa"/>
            <w:tcBorders/>
            <w:shd w:fill="E5FFFF" w:val="clear"/>
            <w:vAlign w:val="bottom"/>
          </w:tcPr>
          <w:p>
            <w:pPr>
              <w:pStyle w:val="TableContents"/>
              <w:spacing w:before="0" w:after="283"/>
              <w:jc w:val="right"/>
              <w:rPr/>
            </w:pPr>
            <w:r>
              <w:rPr/>
              <w:t>      </w:t>
            </w:r>
          </w:p>
        </w:tc>
        <w:tc>
          <w:tcPr>
            <w:tcW w:w="180" w:type="dxa"/>
            <w:tcBorders/>
            <w:shd w:fill="E5FFFF" w:val="clear"/>
            <w:vAlign w:val="center"/>
          </w:tcPr>
          <w:p>
            <w:pPr>
              <w:pStyle w:val="TableContents"/>
              <w:spacing w:before="0" w:after="283"/>
              <w:rPr/>
            </w:pPr>
            <w:r>
              <w:rPr/>
              <w:t> </w:t>
            </w:r>
          </w:p>
        </w:tc>
        <w:tc>
          <w:tcPr>
            <w:tcW w:w="782" w:type="dxa"/>
            <w:tcBorders/>
            <w:shd w:fill="E5FFFF" w:val="clear"/>
            <w:vAlign w:val="bottom"/>
          </w:tcPr>
          <w:p>
            <w:pPr>
              <w:pStyle w:val="TableContents"/>
              <w:spacing w:before="0" w:after="283"/>
              <w:jc w:val="right"/>
              <w:rPr>
                <w:rFonts w:ascii="Arial" w:hAnsi="Arial"/>
              </w:rPr>
            </w:pPr>
            <w:r>
              <w:rPr>
                <w:rFonts w:ascii="Arial" w:hAnsi="Arial"/>
              </w:rPr>
              <w:t>5</w:t>
            </w:r>
          </w:p>
        </w:tc>
        <w:tc>
          <w:tcPr>
            <w:tcW w:w="878" w:type="dxa"/>
            <w:tcBorders/>
            <w:shd w:fill="E5FFFF" w:val="clear"/>
            <w:vAlign w:val="bottom"/>
          </w:tcPr>
          <w:p>
            <w:pPr>
              <w:pStyle w:val="TableContents"/>
              <w:spacing w:before="0" w:after="283"/>
              <w:jc w:val="left"/>
              <w:rPr/>
            </w:pPr>
            <w:r>
              <w:rPr/>
              <w:t> </w:t>
            </w:r>
            <w:r>
              <w:rPr>
                <w:rFonts w:ascii="Arial" w:hAnsi="Arial"/>
              </w:rPr>
              <w:t>%</w:t>
            </w:r>
          </w:p>
        </w:tc>
      </w:tr>
      <w:tr>
        <w:trPr/>
        <w:tc>
          <w:tcPr>
            <w:tcW w:w="797" w:type="dxa"/>
            <w:tcBorders/>
            <w:shd w:fill="FFFFFF" w:val="clear"/>
            <w:vAlign w:val="bottom"/>
          </w:tcPr>
          <w:p>
            <w:pPr>
              <w:pStyle w:val="TableContents"/>
              <w:spacing w:before="0" w:after="283"/>
              <w:jc w:val="left"/>
              <w:rPr/>
            </w:pPr>
            <w:r>
              <w:rPr/>
              <w:t>      </w:t>
            </w:r>
          </w:p>
        </w:tc>
        <w:tc>
          <w:tcPr>
            <w:tcW w:w="4400" w:type="dxa"/>
            <w:tcBorders/>
            <w:shd w:fill="FFFFFF" w:val="clear"/>
            <w:vAlign w:val="bottom"/>
          </w:tcPr>
          <w:p>
            <w:pPr>
              <w:pStyle w:val="TableContents"/>
              <w:spacing w:before="0" w:after="283"/>
              <w:jc w:val="left"/>
              <w:rPr>
                <w:rFonts w:ascii="Arial" w:hAnsi="Arial"/>
              </w:rPr>
            </w:pPr>
            <w:r>
              <w:rPr>
                <w:rFonts w:ascii="Arial" w:hAnsi="Arial"/>
              </w:rPr>
              <w:t>Divestitures</w:t>
            </w:r>
          </w:p>
        </w:tc>
        <w:tc>
          <w:tcPr>
            <w:tcW w:w="53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(1</w:t>
            </w:r>
          </w:p>
        </w:tc>
        <w:tc>
          <w:tcPr>
            <w:tcW w:w="836" w:type="dxa"/>
            <w:tcBorders/>
            <w:shd w:fill="FFFFFF" w:val="clear"/>
            <w:vAlign w:val="bottom"/>
          </w:tcPr>
          <w:p>
            <w:pPr>
              <w:pStyle w:val="TableContents"/>
              <w:spacing w:before="0" w:after="283"/>
              <w:jc w:val="left"/>
              <w:rPr>
                <w:rFonts w:ascii="Arial" w:hAnsi="Arial"/>
              </w:rPr>
            </w:pPr>
            <w:r>
              <w:rPr>
                <w:rFonts w:ascii="Arial" w:hAnsi="Arial"/>
              </w:rPr>
              <w:t>)</w:t>
            </w:r>
          </w:p>
        </w:tc>
        <w:tc>
          <w:tcPr>
            <w:tcW w:w="797" w:type="dxa"/>
            <w:tcBorders/>
            <w:shd w:fill="FFFFFF" w:val="clear"/>
            <w:vAlign w:val="bottom"/>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782" w:type="dxa"/>
            <w:tcBorders/>
            <w:shd w:fill="FFFFFF" w:val="clear"/>
            <w:vAlign w:val="bottom"/>
          </w:tcPr>
          <w:p>
            <w:pPr>
              <w:pStyle w:val="TableContents"/>
              <w:spacing w:before="0" w:after="283"/>
              <w:jc w:val="right"/>
              <w:rPr>
                <w:rFonts w:ascii="Arial" w:hAnsi="Arial"/>
              </w:rPr>
            </w:pPr>
            <w:r>
              <w:rPr>
                <w:rFonts w:ascii="Arial" w:hAnsi="Arial"/>
              </w:rPr>
              <w:t>(2</w:t>
            </w:r>
          </w:p>
        </w:tc>
        <w:tc>
          <w:tcPr>
            <w:tcW w:w="878"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797" w:type="dxa"/>
            <w:tcBorders/>
            <w:shd w:fill="E5FFFF" w:val="clear"/>
            <w:vAlign w:val="bottom"/>
          </w:tcPr>
          <w:p>
            <w:pPr>
              <w:pStyle w:val="TableContents"/>
              <w:spacing w:before="0" w:after="283"/>
              <w:jc w:val="left"/>
              <w:rPr/>
            </w:pPr>
            <w:r>
              <w:rPr/>
              <w:t>      </w:t>
            </w:r>
          </w:p>
        </w:tc>
        <w:tc>
          <w:tcPr>
            <w:tcW w:w="4400" w:type="dxa"/>
            <w:tcBorders/>
            <w:shd w:fill="E5FFFF" w:val="clear"/>
            <w:vAlign w:val="bottom"/>
          </w:tcPr>
          <w:p>
            <w:pPr>
              <w:pStyle w:val="TableContents"/>
              <w:spacing w:before="0" w:after="283"/>
              <w:jc w:val="left"/>
              <w:rPr>
                <w:rFonts w:ascii="Arial" w:hAnsi="Arial"/>
              </w:rPr>
            </w:pPr>
            <w:r>
              <w:rPr>
                <w:rFonts w:ascii="Arial" w:hAnsi="Arial"/>
              </w:rPr>
              <w:t>Price</w:t>
            </w:r>
          </w:p>
        </w:tc>
        <w:tc>
          <w:tcPr>
            <w:tcW w:w="53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833" w:type="dxa"/>
            <w:tcBorders/>
            <w:shd w:fill="E5FFFF" w:val="clear"/>
            <w:vAlign w:val="bottom"/>
          </w:tcPr>
          <w:p>
            <w:pPr>
              <w:pStyle w:val="TableContents"/>
              <w:spacing w:before="0" w:after="283"/>
              <w:jc w:val="right"/>
              <w:rPr>
                <w:rFonts w:ascii="Arial" w:hAnsi="Arial"/>
              </w:rPr>
            </w:pPr>
            <w:r>
              <w:rPr>
                <w:rFonts w:ascii="Arial" w:hAnsi="Arial"/>
              </w:rPr>
              <w:t>1</w:t>
            </w:r>
          </w:p>
        </w:tc>
        <w:tc>
          <w:tcPr>
            <w:tcW w:w="836" w:type="dxa"/>
            <w:tcBorders/>
            <w:shd w:fill="E5FFFF" w:val="clear"/>
            <w:vAlign w:val="center"/>
          </w:tcPr>
          <w:p>
            <w:pPr>
              <w:pStyle w:val="TableContents"/>
              <w:spacing w:before="0" w:after="283"/>
              <w:rPr/>
            </w:pPr>
            <w:r>
              <w:rPr/>
              <w:t> </w:t>
            </w:r>
          </w:p>
        </w:tc>
        <w:tc>
          <w:tcPr>
            <w:tcW w:w="797" w:type="dxa"/>
            <w:tcBorders/>
            <w:shd w:fill="E5FFFF" w:val="clear"/>
            <w:vAlign w:val="bottom"/>
          </w:tcPr>
          <w:p>
            <w:pPr>
              <w:pStyle w:val="TableContents"/>
              <w:spacing w:before="0" w:after="283"/>
              <w:jc w:val="right"/>
              <w:rPr/>
            </w:pPr>
            <w:r>
              <w:rPr/>
              <w:t>      </w:t>
            </w:r>
          </w:p>
        </w:tc>
        <w:tc>
          <w:tcPr>
            <w:tcW w:w="180" w:type="dxa"/>
            <w:tcBorders/>
            <w:shd w:fill="E5FFFF" w:val="clear"/>
            <w:vAlign w:val="center"/>
          </w:tcPr>
          <w:p>
            <w:pPr>
              <w:pStyle w:val="TableContents"/>
              <w:spacing w:before="0" w:after="283"/>
              <w:rPr/>
            </w:pPr>
            <w:r>
              <w:rPr/>
              <w:t> </w:t>
            </w:r>
          </w:p>
        </w:tc>
        <w:tc>
          <w:tcPr>
            <w:tcW w:w="782" w:type="dxa"/>
            <w:tcBorders/>
            <w:shd w:fill="E5FFFF" w:val="clear"/>
            <w:vAlign w:val="bottom"/>
          </w:tcPr>
          <w:p>
            <w:pPr>
              <w:pStyle w:val="TableContents"/>
              <w:spacing w:before="0" w:after="283"/>
              <w:jc w:val="right"/>
              <w:rPr>
                <w:rFonts w:ascii="Arial" w:hAnsi="Arial"/>
              </w:rPr>
            </w:pPr>
            <w:r>
              <w:rPr>
                <w:rFonts w:ascii="Arial" w:hAnsi="Arial"/>
              </w:rPr>
              <w:t>1</w:t>
            </w:r>
          </w:p>
        </w:tc>
        <w:tc>
          <w:tcPr>
            <w:tcW w:w="878" w:type="dxa"/>
            <w:tcBorders/>
            <w:shd w:fill="E5FFFF" w:val="clear"/>
            <w:vAlign w:val="center"/>
          </w:tcPr>
          <w:p>
            <w:pPr>
              <w:pStyle w:val="TableContents"/>
              <w:spacing w:before="0" w:after="283"/>
              <w:rPr/>
            </w:pPr>
            <w:r>
              <w:rPr/>
              <w:t> </w:t>
            </w:r>
          </w:p>
        </w:tc>
      </w:tr>
      <w:tr>
        <w:trPr/>
        <w:tc>
          <w:tcPr>
            <w:tcW w:w="797" w:type="dxa"/>
            <w:tcBorders/>
            <w:shd w:fill="FFFFFF" w:val="clear"/>
            <w:vAlign w:val="bottom"/>
          </w:tcPr>
          <w:p>
            <w:pPr>
              <w:pStyle w:val="TableContents"/>
              <w:spacing w:before="0" w:after="283"/>
              <w:jc w:val="left"/>
              <w:rPr/>
            </w:pPr>
            <w:r>
              <w:rPr/>
              <w:t>      </w:t>
            </w:r>
          </w:p>
        </w:tc>
        <w:tc>
          <w:tcPr>
            <w:tcW w:w="4400" w:type="dxa"/>
            <w:tcBorders/>
            <w:shd w:fill="FFFFFF" w:val="clear"/>
            <w:vAlign w:val="bottom"/>
          </w:tcPr>
          <w:p>
            <w:pPr>
              <w:pStyle w:val="TableContents"/>
              <w:spacing w:before="0" w:after="283"/>
              <w:jc w:val="left"/>
              <w:rPr>
                <w:rFonts w:ascii="Arial" w:hAnsi="Arial"/>
              </w:rPr>
            </w:pPr>
            <w:r>
              <w:rPr>
                <w:rFonts w:ascii="Arial" w:hAnsi="Arial"/>
              </w:rPr>
              <w:t>Volume</w:t>
            </w:r>
          </w:p>
        </w:tc>
        <w:tc>
          <w:tcPr>
            <w:tcW w:w="53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6</w:t>
            </w:r>
          </w:p>
        </w:tc>
        <w:tc>
          <w:tcPr>
            <w:tcW w:w="836" w:type="dxa"/>
            <w:tcBorders/>
            <w:shd w:fill="FFFFFF" w:val="clear"/>
            <w:vAlign w:val="center"/>
          </w:tcPr>
          <w:p>
            <w:pPr>
              <w:pStyle w:val="TableContents"/>
              <w:spacing w:before="0" w:after="283"/>
              <w:rPr/>
            </w:pPr>
            <w:r>
              <w:rPr/>
              <w:t> </w:t>
            </w:r>
          </w:p>
        </w:tc>
        <w:tc>
          <w:tcPr>
            <w:tcW w:w="797" w:type="dxa"/>
            <w:tcBorders/>
            <w:shd w:fill="FFFFFF" w:val="clear"/>
            <w:vAlign w:val="bottom"/>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782" w:type="dxa"/>
            <w:tcBorders/>
            <w:shd w:fill="FFFFFF" w:val="clear"/>
            <w:vAlign w:val="bottom"/>
          </w:tcPr>
          <w:p>
            <w:pPr>
              <w:pStyle w:val="TableContents"/>
              <w:spacing w:before="0" w:after="283"/>
              <w:jc w:val="right"/>
              <w:rPr>
                <w:rFonts w:ascii="Arial" w:hAnsi="Arial"/>
              </w:rPr>
            </w:pPr>
            <w:r>
              <w:rPr>
                <w:rFonts w:ascii="Arial" w:hAnsi="Arial"/>
              </w:rPr>
              <w:t>4</w:t>
            </w:r>
          </w:p>
        </w:tc>
        <w:tc>
          <w:tcPr>
            <w:tcW w:w="878" w:type="dxa"/>
            <w:tcBorders/>
            <w:shd w:fill="FFFFFF" w:val="clear"/>
            <w:vAlign w:val="center"/>
          </w:tcPr>
          <w:p>
            <w:pPr>
              <w:pStyle w:val="TableContents"/>
              <w:spacing w:before="0" w:after="283"/>
              <w:rPr/>
            </w:pPr>
            <w:r>
              <w:rPr/>
              <w:t> </w:t>
            </w:r>
          </w:p>
        </w:tc>
      </w:tr>
      <w:tr>
        <w:trPr/>
        <w:tc>
          <w:tcPr>
            <w:tcW w:w="797" w:type="dxa"/>
            <w:tcBorders/>
            <w:shd w:fill="E5FFFF" w:val="clear"/>
            <w:vAlign w:val="bottom"/>
          </w:tcPr>
          <w:p>
            <w:pPr>
              <w:pStyle w:val="TableContents"/>
              <w:spacing w:before="0" w:after="283"/>
              <w:jc w:val="left"/>
              <w:rPr/>
            </w:pPr>
            <w:r>
              <w:rPr/>
              <w:t>      </w:t>
            </w:r>
          </w:p>
        </w:tc>
        <w:tc>
          <w:tcPr>
            <w:tcW w:w="4400" w:type="dxa"/>
            <w:tcBorders/>
            <w:shd w:fill="E5FFFF" w:val="clear"/>
            <w:vAlign w:val="bottom"/>
          </w:tcPr>
          <w:p>
            <w:pPr>
              <w:pStyle w:val="TableContents"/>
              <w:spacing w:before="0" w:after="283"/>
              <w:jc w:val="left"/>
              <w:rPr>
                <w:rFonts w:ascii="Arial" w:hAnsi="Arial"/>
              </w:rPr>
            </w:pPr>
            <w:r>
              <w:rPr>
                <w:rFonts w:ascii="Arial" w:hAnsi="Arial"/>
              </w:rPr>
              <w:t>Foreign Exchange</w:t>
            </w:r>
          </w:p>
        </w:tc>
        <w:tc>
          <w:tcPr>
            <w:tcW w:w="53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833" w:type="dxa"/>
            <w:tcBorders/>
            <w:shd w:fill="E5FFFF" w:val="clear"/>
            <w:vAlign w:val="bottom"/>
          </w:tcPr>
          <w:p>
            <w:pPr>
              <w:pStyle w:val="TableContents"/>
              <w:spacing w:before="0" w:after="283"/>
              <w:jc w:val="right"/>
              <w:rPr/>
            </w:pPr>
            <w:r>
              <w:rPr/>
              <w:t>—</w:t>
            </w:r>
          </w:p>
        </w:tc>
        <w:tc>
          <w:tcPr>
            <w:tcW w:w="836" w:type="dxa"/>
            <w:tcBorders/>
            <w:shd w:fill="E5FFFF" w:val="clear"/>
            <w:vAlign w:val="center"/>
          </w:tcPr>
          <w:p>
            <w:pPr>
              <w:pStyle w:val="TableContents"/>
              <w:spacing w:before="0" w:after="283"/>
              <w:rPr/>
            </w:pPr>
            <w:r>
              <w:rPr/>
              <w:t> </w:t>
            </w:r>
          </w:p>
        </w:tc>
        <w:tc>
          <w:tcPr>
            <w:tcW w:w="797" w:type="dxa"/>
            <w:tcBorders/>
            <w:shd w:fill="E5FFFF" w:val="clear"/>
            <w:vAlign w:val="bottom"/>
          </w:tcPr>
          <w:p>
            <w:pPr>
              <w:pStyle w:val="TableContents"/>
              <w:spacing w:before="0" w:after="283"/>
              <w:jc w:val="right"/>
              <w:rPr/>
            </w:pPr>
            <w:r>
              <w:rPr/>
              <w:t>      </w:t>
            </w:r>
          </w:p>
        </w:tc>
        <w:tc>
          <w:tcPr>
            <w:tcW w:w="180" w:type="dxa"/>
            <w:tcBorders/>
            <w:shd w:fill="E5FFFF" w:val="clear"/>
            <w:vAlign w:val="center"/>
          </w:tcPr>
          <w:p>
            <w:pPr>
              <w:pStyle w:val="TableContents"/>
              <w:spacing w:before="0" w:after="283"/>
              <w:rPr/>
            </w:pPr>
            <w:r>
              <w:rPr/>
              <w:t> </w:t>
            </w:r>
          </w:p>
        </w:tc>
        <w:tc>
          <w:tcPr>
            <w:tcW w:w="782" w:type="dxa"/>
            <w:tcBorders/>
            <w:shd w:fill="E5FFFF" w:val="clear"/>
            <w:vAlign w:val="bottom"/>
          </w:tcPr>
          <w:p>
            <w:pPr>
              <w:pStyle w:val="TableContents"/>
              <w:spacing w:before="0" w:after="283"/>
              <w:jc w:val="right"/>
              <w:rPr/>
            </w:pPr>
            <w:r>
              <w:rPr/>
              <w:t>—</w:t>
            </w:r>
          </w:p>
        </w:tc>
        <w:tc>
          <w:tcPr>
            <w:tcW w:w="878" w:type="dxa"/>
            <w:tcBorders/>
            <w:shd w:fill="E5FFFF" w:val="clear"/>
            <w:vAlign w:val="center"/>
          </w:tcPr>
          <w:p>
            <w:pPr>
              <w:pStyle w:val="TableContents"/>
              <w:spacing w:before="0" w:after="283"/>
              <w:rPr/>
            </w:pPr>
            <w:r>
              <w:rPr/>
              <w:t> </w:t>
            </w:r>
          </w:p>
        </w:tc>
      </w:tr>
      <w:tr>
        <w:trPr/>
        <w:tc>
          <w:tcPr>
            <w:tcW w:w="797" w:type="dxa"/>
            <w:tcBorders/>
            <w:shd w:fill="FFFFFF" w:val="clear"/>
            <w:vAlign w:val="center"/>
          </w:tcPr>
          <w:p>
            <w:pPr>
              <w:pStyle w:val="TableContents"/>
              <w:spacing w:before="0" w:after="283"/>
              <w:rPr/>
            </w:pPr>
            <w:r>
              <w:rPr/>
              <w:t> </w:t>
            </w:r>
          </w:p>
        </w:tc>
        <w:tc>
          <w:tcPr>
            <w:tcW w:w="4400" w:type="dxa"/>
            <w:tcBorders/>
            <w:shd w:fill="FFFFFF" w:val="clear"/>
            <w:vAlign w:val="center"/>
          </w:tcPr>
          <w:p>
            <w:pPr>
              <w:pStyle w:val="TableContents"/>
              <w:spacing w:before="0" w:after="283"/>
              <w:rPr/>
            </w:pPr>
            <w:r>
              <w:rPr/>
              <w:t> </w:t>
            </w:r>
          </w:p>
        </w:tc>
        <w:tc>
          <w:tcPr>
            <w:tcW w:w="53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HorizontalLine"/>
              <w:pBdr>
                <w:bottom w:val="single" w:sz="6" w:space="0" w:color="000000"/>
              </w:pBdr>
              <w:spacing w:before="0" w:after="283"/>
              <w:rPr/>
            </w:pPr>
            <w:r>
              <w:rPr/>
            </w:r>
          </w:p>
        </w:tc>
        <w:tc>
          <w:tcPr>
            <w:tcW w:w="836" w:type="dxa"/>
            <w:tcBorders/>
            <w:shd w:fill="FFFFFF" w:val="clear"/>
            <w:vAlign w:val="center"/>
          </w:tcPr>
          <w:p>
            <w:pPr>
              <w:pStyle w:val="TableContents"/>
              <w:spacing w:before="0" w:after="283"/>
              <w:rPr/>
            </w:pPr>
            <w:r>
              <w:rPr/>
              <w:t> </w:t>
            </w:r>
          </w:p>
        </w:tc>
        <w:tc>
          <w:tcPr>
            <w:tcW w:w="797" w:type="dxa"/>
            <w:tcBorders/>
            <w:shd w:fill="FFFFFF" w:val="clear"/>
            <w:vAlign w:val="bottom"/>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782" w:type="dxa"/>
            <w:tcBorders/>
            <w:shd w:fill="FFFFFF" w:val="clear"/>
            <w:vAlign w:val="bottom"/>
          </w:tcPr>
          <w:p>
            <w:pPr>
              <w:pStyle w:val="HorizontalLine"/>
              <w:pBdr>
                <w:bottom w:val="single" w:sz="6" w:space="0" w:color="000000"/>
              </w:pBdr>
              <w:spacing w:before="0" w:after="283"/>
              <w:rPr/>
            </w:pPr>
            <w:r>
              <w:rPr/>
            </w:r>
          </w:p>
        </w:tc>
        <w:tc>
          <w:tcPr>
            <w:tcW w:w="878" w:type="dxa"/>
            <w:tcBorders/>
            <w:shd w:fill="FFFFFF" w:val="clear"/>
            <w:vAlign w:val="center"/>
          </w:tcPr>
          <w:p>
            <w:pPr>
              <w:pStyle w:val="TableContents"/>
              <w:spacing w:before="0" w:after="283"/>
              <w:rPr/>
            </w:pPr>
            <w:r>
              <w:rPr/>
              <w:t> </w:t>
            </w:r>
          </w:p>
        </w:tc>
      </w:tr>
      <w:tr>
        <w:trPr/>
        <w:tc>
          <w:tcPr>
            <w:tcW w:w="797" w:type="dxa"/>
            <w:tcBorders/>
            <w:shd w:fill="E5FFFF" w:val="clear"/>
            <w:vAlign w:val="bottom"/>
          </w:tcPr>
          <w:p>
            <w:pPr>
              <w:pStyle w:val="TableContents"/>
              <w:spacing w:before="0" w:after="283"/>
              <w:jc w:val="left"/>
              <w:rPr/>
            </w:pPr>
            <w:r>
              <w:rPr/>
              <w:t>      </w:t>
            </w:r>
          </w:p>
        </w:tc>
        <w:tc>
          <w:tcPr>
            <w:tcW w:w="4400" w:type="dxa"/>
            <w:tcBorders/>
            <w:shd w:fill="E5FFFF" w:val="clear"/>
            <w:vAlign w:val="bottom"/>
          </w:tcPr>
          <w:p>
            <w:pPr>
              <w:pStyle w:val="TableContents"/>
              <w:spacing w:before="0" w:after="283"/>
              <w:rPr>
                <w:sz w:val="4"/>
                <w:szCs w:val="4"/>
              </w:rPr>
            </w:pPr>
            <w:r>
              <w:rPr>
                <w:sz w:val="4"/>
                <w:szCs w:val="4"/>
              </w:rPr>
            </w:r>
          </w:p>
        </w:tc>
        <w:tc>
          <w:tcPr>
            <w:tcW w:w="53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833" w:type="dxa"/>
            <w:tcBorders/>
            <w:shd w:fill="E5FFFF" w:val="clear"/>
            <w:vAlign w:val="bottom"/>
          </w:tcPr>
          <w:p>
            <w:pPr>
              <w:pStyle w:val="TableContents"/>
              <w:spacing w:before="0" w:after="283"/>
              <w:jc w:val="right"/>
              <w:rPr>
                <w:rFonts w:ascii="Arial" w:hAnsi="Arial"/>
              </w:rPr>
            </w:pPr>
            <w:r>
              <w:rPr>
                <w:rFonts w:ascii="Arial" w:hAnsi="Arial"/>
              </w:rPr>
              <w:t>13</w:t>
            </w:r>
          </w:p>
        </w:tc>
        <w:tc>
          <w:tcPr>
            <w:tcW w:w="836" w:type="dxa"/>
            <w:tcBorders/>
            <w:shd w:fill="E5FFFF" w:val="clear"/>
            <w:vAlign w:val="bottom"/>
          </w:tcPr>
          <w:p>
            <w:pPr>
              <w:pStyle w:val="TableContents"/>
              <w:spacing w:before="0" w:after="283"/>
              <w:jc w:val="left"/>
              <w:rPr/>
            </w:pPr>
            <w:r>
              <w:rPr/>
              <w:t> </w:t>
            </w:r>
            <w:r>
              <w:rPr>
                <w:rFonts w:ascii="Arial" w:hAnsi="Arial"/>
              </w:rPr>
              <w:t>%</w:t>
            </w:r>
          </w:p>
        </w:tc>
        <w:tc>
          <w:tcPr>
            <w:tcW w:w="797" w:type="dxa"/>
            <w:tcBorders/>
            <w:shd w:fill="E5FFFF" w:val="clear"/>
            <w:vAlign w:val="bottom"/>
          </w:tcPr>
          <w:p>
            <w:pPr>
              <w:pStyle w:val="TableContents"/>
              <w:spacing w:before="0" w:after="283"/>
              <w:jc w:val="right"/>
              <w:rPr/>
            </w:pPr>
            <w:r>
              <w:rPr/>
              <w:t>      </w:t>
            </w:r>
          </w:p>
        </w:tc>
        <w:tc>
          <w:tcPr>
            <w:tcW w:w="180" w:type="dxa"/>
            <w:tcBorders/>
            <w:shd w:fill="E5FFFF" w:val="clear"/>
            <w:vAlign w:val="center"/>
          </w:tcPr>
          <w:p>
            <w:pPr>
              <w:pStyle w:val="TableContents"/>
              <w:spacing w:before="0" w:after="283"/>
              <w:rPr/>
            </w:pPr>
            <w:r>
              <w:rPr/>
              <w:t> </w:t>
            </w:r>
          </w:p>
        </w:tc>
        <w:tc>
          <w:tcPr>
            <w:tcW w:w="782" w:type="dxa"/>
            <w:tcBorders/>
            <w:shd w:fill="E5FFFF" w:val="clear"/>
            <w:vAlign w:val="bottom"/>
          </w:tcPr>
          <w:p>
            <w:pPr>
              <w:pStyle w:val="TableContents"/>
              <w:spacing w:before="0" w:after="283"/>
              <w:jc w:val="right"/>
              <w:rPr>
                <w:rFonts w:ascii="Arial" w:hAnsi="Arial"/>
              </w:rPr>
            </w:pPr>
            <w:r>
              <w:rPr>
                <w:rFonts w:ascii="Arial" w:hAnsi="Arial"/>
              </w:rPr>
              <w:t>8</w:t>
            </w:r>
          </w:p>
        </w:tc>
        <w:tc>
          <w:tcPr>
            <w:tcW w:w="878" w:type="dxa"/>
            <w:tcBorders/>
            <w:shd w:fill="E5FFFF" w:val="clear"/>
            <w:vAlign w:val="bottom"/>
          </w:tcPr>
          <w:p>
            <w:pPr>
              <w:pStyle w:val="TableContents"/>
              <w:spacing w:before="0" w:after="283"/>
              <w:jc w:val="left"/>
              <w:rPr/>
            </w:pPr>
            <w:r>
              <w:rPr/>
              <w:t> </w:t>
            </w:r>
            <w:r>
              <w:rPr>
                <w:rFonts w:ascii="Arial" w:hAnsi="Arial"/>
              </w:rPr>
              <w:t>%</w:t>
            </w:r>
          </w:p>
        </w:tc>
      </w:tr>
      <w:tr>
        <w:trPr/>
        <w:tc>
          <w:tcPr>
            <w:tcW w:w="797" w:type="dxa"/>
            <w:tcBorders/>
            <w:shd w:fill="FFFFFF" w:val="clear"/>
            <w:vAlign w:val="center"/>
          </w:tcPr>
          <w:p>
            <w:pPr>
              <w:pStyle w:val="TableContents"/>
              <w:spacing w:before="0" w:after="283"/>
              <w:rPr/>
            </w:pPr>
            <w:r>
              <w:rPr/>
              <w:t> </w:t>
            </w:r>
          </w:p>
        </w:tc>
        <w:tc>
          <w:tcPr>
            <w:tcW w:w="4400" w:type="dxa"/>
            <w:tcBorders/>
            <w:shd w:fill="FFFFFF" w:val="clear"/>
            <w:vAlign w:val="center"/>
          </w:tcPr>
          <w:p>
            <w:pPr>
              <w:pStyle w:val="TableContents"/>
              <w:spacing w:before="0" w:after="283"/>
              <w:rPr/>
            </w:pPr>
            <w:r>
              <w:rPr/>
              <w:t> </w:t>
            </w:r>
          </w:p>
        </w:tc>
        <w:tc>
          <w:tcPr>
            <w:tcW w:w="53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HorizontalLine"/>
              <w:pBdr>
                <w:bottom w:val="single" w:sz="18" w:space="0" w:color="000000"/>
              </w:pBdr>
              <w:spacing w:before="0" w:after="283"/>
              <w:rPr/>
            </w:pPr>
            <w:r>
              <w:rPr/>
            </w:r>
          </w:p>
        </w:tc>
        <w:tc>
          <w:tcPr>
            <w:tcW w:w="836" w:type="dxa"/>
            <w:tcBorders/>
            <w:shd w:fill="FFFFFF" w:val="clear"/>
            <w:vAlign w:val="center"/>
          </w:tcPr>
          <w:p>
            <w:pPr>
              <w:pStyle w:val="TableContents"/>
              <w:spacing w:before="0" w:after="283"/>
              <w:rPr/>
            </w:pPr>
            <w:r>
              <w:rPr/>
              <w:t> </w:t>
            </w:r>
          </w:p>
        </w:tc>
        <w:tc>
          <w:tcPr>
            <w:tcW w:w="797" w:type="dxa"/>
            <w:tcBorders/>
            <w:shd w:fill="FFFFFF" w:val="clear"/>
            <w:vAlign w:val="bottom"/>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782" w:type="dxa"/>
            <w:tcBorders/>
            <w:shd w:fill="FFFFFF" w:val="clear"/>
            <w:vAlign w:val="bottom"/>
          </w:tcPr>
          <w:p>
            <w:pPr>
              <w:pStyle w:val="HorizontalLine"/>
              <w:pBdr>
                <w:bottom w:val="single" w:sz="18" w:space="0" w:color="000000"/>
              </w:pBdr>
              <w:spacing w:before="0" w:after="283"/>
              <w:rPr/>
            </w:pPr>
            <w:r>
              <w:rPr/>
            </w:r>
          </w:p>
        </w:tc>
        <w:tc>
          <w:tcPr>
            <w:tcW w:w="878" w:type="dxa"/>
            <w:tcBorders/>
            <w:shd w:fill="FFFFFF" w:val="clear"/>
            <w:vAlign w:val="center"/>
          </w:tcPr>
          <w:p>
            <w:pPr>
              <w:pStyle w:val="TableContents"/>
              <w:spacing w:before="0" w:after="283"/>
              <w:rPr/>
            </w:pPr>
            <w:r>
              <w:rPr/>
              <w:t> </w:t>
            </w:r>
          </w:p>
        </w:tc>
      </w:tr>
      <w:tr>
        <w:trPr/>
        <w:tc>
          <w:tcPr>
            <w:tcW w:w="797" w:type="dxa"/>
            <w:tcBorders/>
            <w:shd w:fill="FFFFFF" w:val="clear"/>
            <w:vAlign w:val="bottom"/>
          </w:tcPr>
          <w:p>
            <w:pPr>
              <w:pStyle w:val="TableContents"/>
              <w:spacing w:before="0" w:after="283"/>
              <w:jc w:val="left"/>
              <w:rPr/>
            </w:pPr>
            <w:r>
              <w:rPr/>
              <w:t>      </w:t>
            </w:r>
          </w:p>
        </w:tc>
        <w:tc>
          <w:tcPr>
            <w:tcW w:w="4400" w:type="dxa"/>
            <w:tcBorders/>
            <w:shd w:fill="FFFFFF" w:val="clear"/>
            <w:vAlign w:val="bottom"/>
          </w:tcPr>
          <w:p>
            <w:pPr>
              <w:pStyle w:val="TableContents"/>
              <w:spacing w:before="0" w:after="283"/>
              <w:rPr>
                <w:sz w:val="4"/>
                <w:szCs w:val="4"/>
              </w:rPr>
            </w:pPr>
            <w:r>
              <w:rPr>
                <w:sz w:val="4"/>
                <w:szCs w:val="4"/>
              </w:rPr>
            </w:r>
          </w:p>
        </w:tc>
        <w:tc>
          <w:tcPr>
            <w:tcW w:w="531"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797"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782" w:type="dxa"/>
            <w:tcBorders/>
            <w:shd w:fill="FFFFFF" w:val="clear"/>
            <w:vAlign w:val="center"/>
          </w:tcPr>
          <w:p>
            <w:pPr>
              <w:pStyle w:val="TableContents"/>
              <w:spacing w:before="0" w:after="283"/>
              <w:rPr/>
            </w:pPr>
            <w:r>
              <w:rPr/>
              <w:t> </w:t>
            </w:r>
          </w:p>
        </w:tc>
        <w:tc>
          <w:tcPr>
            <w:tcW w:w="878"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 discussion of net sales by reportable segment can be found in the Review of Business Segments section of this MD&amp;A.</w:t>
      </w:r>
    </w:p>
    <w:p>
      <w:pPr>
        <w:pStyle w:val="TextBody"/>
        <w:jc w:val="center"/>
        <w:rPr>
          <w:rFonts w:ascii="Arial" w:hAnsi="Arial"/>
        </w:rPr>
      </w:pPr>
      <w:r>
        <w:rPr>
          <w:rFonts w:ascii="Arial" w:hAnsi="Arial"/>
        </w:rPr>
        <w:t>20</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Cost of Products and Services Sold</w:t>
      </w:r>
    </w:p>
    <w:tbl>
      <w:tblPr>
        <w:tblW w:w="5000" w:type="pct"/>
        <w:jc w:val="left"/>
        <w:tblInd w:w="0" w:type="dxa"/>
        <w:tblCellMar>
          <w:top w:w="0" w:type="dxa"/>
          <w:left w:w="0" w:type="dxa"/>
          <w:bottom w:w="0" w:type="dxa"/>
          <w:right w:w="0" w:type="dxa"/>
        </w:tblCellMar>
      </w:tblPr>
      <w:tblGrid>
        <w:gridCol w:w="512"/>
        <w:gridCol w:w="3175"/>
        <w:gridCol w:w="165"/>
        <w:gridCol w:w="1177"/>
        <w:gridCol w:w="231"/>
        <w:gridCol w:w="886"/>
        <w:gridCol w:w="176"/>
        <w:gridCol w:w="1177"/>
        <w:gridCol w:w="231"/>
        <w:gridCol w:w="886"/>
        <w:gridCol w:w="176"/>
        <w:gridCol w:w="1177"/>
        <w:gridCol w:w="236"/>
      </w:tblGrid>
      <w:tr>
        <w:trPr/>
        <w:tc>
          <w:tcPr>
            <w:tcW w:w="512" w:type="dxa"/>
            <w:tcBorders/>
            <w:shd w:fill="FFFFFF" w:val="clear"/>
            <w:vAlign w:val="center"/>
          </w:tcPr>
          <w:p>
            <w:pPr>
              <w:pStyle w:val="TableContents"/>
              <w:spacing w:before="0" w:after="283"/>
              <w:rPr/>
            </w:pPr>
            <w:r>
              <w:rPr/>
              <w:t> </w:t>
            </w:r>
          </w:p>
        </w:tc>
        <w:tc>
          <w:tcPr>
            <w:tcW w:w="3175" w:type="dxa"/>
            <w:tcBorders/>
            <w:shd w:fill="FFFFFF" w:val="clear"/>
            <w:vAlign w:val="center"/>
          </w:tcPr>
          <w:p>
            <w:pPr>
              <w:pStyle w:val="TableContents"/>
              <w:spacing w:before="0" w:after="283"/>
              <w:rPr/>
            </w:pPr>
            <w:r>
              <w:rPr/>
              <w:t> </w:t>
            </w:r>
          </w:p>
        </w:tc>
        <w:tc>
          <w:tcPr>
            <w:tcW w:w="1573"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886" w:type="dxa"/>
            <w:tcBorders/>
            <w:shd w:fill="FFFFFF" w:val="clear"/>
            <w:vAlign w:val="center"/>
          </w:tcPr>
          <w:p>
            <w:pPr>
              <w:pStyle w:val="TableContents"/>
              <w:spacing w:before="0" w:after="283"/>
              <w:rPr/>
            </w:pPr>
            <w:r>
              <w:rPr/>
              <w:t> </w:t>
            </w:r>
          </w:p>
        </w:tc>
        <w:tc>
          <w:tcPr>
            <w:tcW w:w="158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886" w:type="dxa"/>
            <w:tcBorders/>
            <w:shd w:fill="FFFFFF" w:val="clear"/>
            <w:vAlign w:val="center"/>
          </w:tcPr>
          <w:p>
            <w:pPr>
              <w:pStyle w:val="TableContents"/>
              <w:spacing w:before="0" w:after="283"/>
              <w:rPr/>
            </w:pPr>
            <w:r>
              <w:rPr/>
              <w:t> </w:t>
            </w:r>
          </w:p>
        </w:tc>
        <w:tc>
          <w:tcPr>
            <w:tcW w:w="1589"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12" w:type="dxa"/>
            <w:tcBorders/>
            <w:shd w:fill="FFFFFF" w:val="clear"/>
            <w:vAlign w:val="center"/>
          </w:tcPr>
          <w:p>
            <w:pPr>
              <w:pStyle w:val="TableContents"/>
              <w:spacing w:before="0" w:after="283"/>
              <w:rPr/>
            </w:pPr>
            <w:r>
              <w:rPr/>
              <w:t> </w:t>
            </w:r>
          </w:p>
        </w:tc>
        <w:tc>
          <w:tcPr>
            <w:tcW w:w="3175" w:type="dxa"/>
            <w:tcBorders/>
            <w:shd w:fill="FFFFFF" w:val="clear"/>
            <w:vAlign w:val="center"/>
          </w:tcPr>
          <w:p>
            <w:pPr>
              <w:pStyle w:val="TableContents"/>
              <w:spacing w:before="0" w:after="283"/>
              <w:rPr/>
            </w:pPr>
            <w:r>
              <w:rPr/>
              <w:t> </w:t>
            </w:r>
          </w:p>
        </w:tc>
        <w:tc>
          <w:tcPr>
            <w:tcW w:w="6518"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512" w:type="dxa"/>
            <w:tcBorders/>
            <w:shd w:fill="E5FFFF" w:val="clear"/>
            <w:vAlign w:val="bottom"/>
          </w:tcPr>
          <w:p>
            <w:pPr>
              <w:pStyle w:val="TableContents"/>
              <w:spacing w:before="0" w:after="283"/>
              <w:jc w:val="left"/>
              <w:rPr/>
            </w:pPr>
            <w:r>
              <w:rPr/>
              <w:t>      </w:t>
            </w:r>
          </w:p>
        </w:tc>
        <w:tc>
          <w:tcPr>
            <w:tcW w:w="3175" w:type="dxa"/>
            <w:tcBorders/>
            <w:shd w:fill="E5FFFF" w:val="clear"/>
            <w:vAlign w:val="bottom"/>
          </w:tcPr>
          <w:p>
            <w:pPr>
              <w:pStyle w:val="TableContents"/>
              <w:spacing w:before="0" w:after="283"/>
              <w:jc w:val="left"/>
              <w:rPr>
                <w:rFonts w:ascii="Arial" w:hAnsi="Arial"/>
              </w:rPr>
            </w:pPr>
            <w:r>
              <w:rPr>
                <w:rFonts w:ascii="Arial" w:hAnsi="Arial"/>
              </w:rPr>
              <w:t>Cost of products and services sold</w:t>
            </w:r>
          </w:p>
        </w:tc>
        <w:tc>
          <w:tcPr>
            <w:tcW w:w="165" w:type="dxa"/>
            <w:tcBorders/>
            <w:shd w:fill="E5FFFF" w:val="clear"/>
            <w:vAlign w:val="center"/>
          </w:tcPr>
          <w:p>
            <w:pPr>
              <w:pStyle w:val="TableContents"/>
              <w:spacing w:before="0" w:after="283"/>
              <w:rPr/>
            </w:pPr>
            <w:r>
              <w:rPr/>
              <w:t>$</w:t>
            </w:r>
          </w:p>
        </w:tc>
        <w:tc>
          <w:tcPr>
            <w:tcW w:w="1177" w:type="dxa"/>
            <w:tcBorders/>
            <w:shd w:fill="E5FFFF" w:val="clear"/>
            <w:vAlign w:val="bottom"/>
          </w:tcPr>
          <w:p>
            <w:pPr>
              <w:pStyle w:val="TableContents"/>
              <w:spacing w:before="0" w:after="283"/>
              <w:jc w:val="right"/>
              <w:rPr>
                <w:rFonts w:ascii="Arial" w:hAnsi="Arial"/>
              </w:rPr>
            </w:pPr>
            <w:r>
              <w:rPr>
                <w:rFonts w:ascii="Arial" w:hAnsi="Arial"/>
              </w:rPr>
              <w:t>24,096</w:t>
            </w:r>
          </w:p>
        </w:tc>
        <w:tc>
          <w:tcPr>
            <w:tcW w:w="231" w:type="dxa"/>
            <w:tcBorders/>
            <w:shd w:fill="E5FFFF" w:val="clear"/>
            <w:vAlign w:val="center"/>
          </w:tcPr>
          <w:p>
            <w:pPr>
              <w:pStyle w:val="TableContents"/>
              <w:spacing w:before="0" w:after="283"/>
              <w:rPr/>
            </w:pPr>
            <w:r>
              <w:rPr/>
              <w:t> </w:t>
            </w:r>
          </w:p>
        </w:tc>
        <w:tc>
          <w:tcPr>
            <w:tcW w:w="886" w:type="dxa"/>
            <w:tcBorders/>
            <w:shd w:fill="E5FFFF" w:val="clear"/>
            <w:vAlign w:val="bottom"/>
          </w:tcPr>
          <w:p>
            <w:pPr>
              <w:pStyle w:val="TableContents"/>
              <w:spacing w:before="0" w:after="283"/>
              <w:jc w:val="right"/>
              <w:rPr/>
            </w:pPr>
            <w:r>
              <w:rPr/>
              <w:t>      </w:t>
            </w:r>
          </w:p>
        </w:tc>
        <w:tc>
          <w:tcPr>
            <w:tcW w:w="176" w:type="dxa"/>
            <w:tcBorders/>
            <w:shd w:fill="E5FFFF" w:val="clear"/>
            <w:vAlign w:val="bottom"/>
          </w:tcPr>
          <w:p>
            <w:pPr>
              <w:pStyle w:val="TableContents"/>
              <w:spacing w:before="0" w:after="283"/>
              <w:jc w:val="right"/>
              <w:rPr>
                <w:rFonts w:ascii="Arial" w:hAnsi="Arial"/>
              </w:rPr>
            </w:pPr>
            <w:r>
              <w:rPr>
                <w:rFonts w:ascii="Arial" w:hAnsi="Arial"/>
              </w:rPr>
              <w:t>$</w:t>
            </w:r>
          </w:p>
        </w:tc>
        <w:tc>
          <w:tcPr>
            <w:tcW w:w="1177" w:type="dxa"/>
            <w:tcBorders/>
            <w:shd w:fill="E5FFFF" w:val="clear"/>
            <w:vAlign w:val="bottom"/>
          </w:tcPr>
          <w:p>
            <w:pPr>
              <w:pStyle w:val="TableContents"/>
              <w:spacing w:before="0" w:after="283"/>
              <w:jc w:val="right"/>
              <w:rPr>
                <w:rFonts w:ascii="Arial" w:hAnsi="Arial"/>
              </w:rPr>
            </w:pPr>
            <w:r>
              <w:rPr>
                <w:rFonts w:ascii="Arial" w:hAnsi="Arial"/>
              </w:rPr>
              <w:t>21,524</w:t>
            </w:r>
          </w:p>
        </w:tc>
        <w:tc>
          <w:tcPr>
            <w:tcW w:w="231" w:type="dxa"/>
            <w:tcBorders/>
            <w:shd w:fill="E5FFFF" w:val="clear"/>
            <w:vAlign w:val="center"/>
          </w:tcPr>
          <w:p>
            <w:pPr>
              <w:pStyle w:val="TableContents"/>
              <w:spacing w:before="0" w:after="283"/>
              <w:rPr/>
            </w:pPr>
            <w:r>
              <w:rPr/>
              <w:t> </w:t>
            </w:r>
          </w:p>
        </w:tc>
        <w:tc>
          <w:tcPr>
            <w:tcW w:w="886" w:type="dxa"/>
            <w:tcBorders/>
            <w:shd w:fill="E5FFFF" w:val="clear"/>
            <w:vAlign w:val="bottom"/>
          </w:tcPr>
          <w:p>
            <w:pPr>
              <w:pStyle w:val="TableContents"/>
              <w:spacing w:before="0" w:after="283"/>
              <w:jc w:val="right"/>
              <w:rPr/>
            </w:pPr>
            <w:r>
              <w:rPr/>
              <w:t>      </w:t>
            </w:r>
          </w:p>
        </w:tc>
        <w:tc>
          <w:tcPr>
            <w:tcW w:w="176" w:type="dxa"/>
            <w:tcBorders/>
            <w:shd w:fill="E5FFFF" w:val="clear"/>
            <w:vAlign w:val="bottom"/>
          </w:tcPr>
          <w:p>
            <w:pPr>
              <w:pStyle w:val="TableContents"/>
              <w:spacing w:before="0" w:after="283"/>
              <w:jc w:val="right"/>
              <w:rPr>
                <w:rFonts w:ascii="Arial" w:hAnsi="Arial"/>
              </w:rPr>
            </w:pPr>
            <w:r>
              <w:rPr>
                <w:rFonts w:ascii="Arial" w:hAnsi="Arial"/>
              </w:rPr>
              <w:t>$</w:t>
            </w:r>
          </w:p>
        </w:tc>
        <w:tc>
          <w:tcPr>
            <w:tcW w:w="1177" w:type="dxa"/>
            <w:tcBorders/>
            <w:shd w:fill="E5FFFF" w:val="clear"/>
            <w:vAlign w:val="bottom"/>
          </w:tcPr>
          <w:p>
            <w:pPr>
              <w:pStyle w:val="TableContents"/>
              <w:spacing w:before="0" w:after="283"/>
              <w:jc w:val="right"/>
              <w:rPr>
                <w:rFonts w:ascii="Arial" w:hAnsi="Arial"/>
              </w:rPr>
            </w:pPr>
            <w:r>
              <w:rPr>
                <w:rFonts w:ascii="Arial" w:hAnsi="Arial"/>
              </w:rPr>
              <w:t>20,752</w:t>
            </w:r>
          </w:p>
        </w:tc>
        <w:tc>
          <w:tcPr>
            <w:tcW w:w="236" w:type="dxa"/>
            <w:tcBorders/>
            <w:shd w:fill="E5FFFF" w:val="clear"/>
            <w:vAlign w:val="center"/>
          </w:tcPr>
          <w:p>
            <w:pPr>
              <w:pStyle w:val="TableContents"/>
              <w:spacing w:before="0" w:after="283"/>
              <w:rPr/>
            </w:pPr>
            <w:r>
              <w:rPr/>
              <w:t> </w:t>
            </w:r>
          </w:p>
        </w:tc>
      </w:tr>
      <w:tr>
        <w:trPr/>
        <w:tc>
          <w:tcPr>
            <w:tcW w:w="512" w:type="dxa"/>
            <w:tcBorders/>
            <w:shd w:fill="FFFFFF" w:val="clear"/>
            <w:vAlign w:val="bottom"/>
          </w:tcPr>
          <w:p>
            <w:pPr>
              <w:pStyle w:val="TableContents"/>
              <w:spacing w:before="0" w:after="283"/>
              <w:jc w:val="left"/>
              <w:rPr/>
            </w:pPr>
            <w:r>
              <w:rPr/>
              <w:t>      </w:t>
            </w:r>
          </w:p>
        </w:tc>
        <w:tc>
          <w:tcPr>
            <w:tcW w:w="3175" w:type="dxa"/>
            <w:tcBorders/>
            <w:shd w:fill="FFFFFF" w:val="clear"/>
            <w:vAlign w:val="bottom"/>
          </w:tcPr>
          <w:p>
            <w:pPr>
              <w:pStyle w:val="TableContents"/>
              <w:spacing w:before="0" w:after="283"/>
              <w:jc w:val="left"/>
              <w:rPr>
                <w:rFonts w:ascii="Arial" w:hAnsi="Arial"/>
              </w:rPr>
            </w:pPr>
            <w:r>
              <w:rPr>
                <w:rFonts w:ascii="Arial" w:hAnsi="Arial"/>
              </w:rPr>
              <w:t>Gross margin %</w:t>
            </w:r>
          </w:p>
        </w:tc>
        <w:tc>
          <w:tcPr>
            <w:tcW w:w="165" w:type="dxa"/>
            <w:tcBorders/>
            <w:shd w:fill="FFFFFF" w:val="clear"/>
            <w:vAlign w:val="center"/>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Arial" w:hAnsi="Arial"/>
              </w:rPr>
            </w:pPr>
            <w:r>
              <w:rPr>
                <w:rFonts w:ascii="Arial" w:hAnsi="Arial"/>
              </w:rPr>
              <w:t>23.2</w:t>
            </w:r>
          </w:p>
        </w:tc>
        <w:tc>
          <w:tcPr>
            <w:tcW w:w="231" w:type="dxa"/>
            <w:tcBorders/>
            <w:shd w:fill="FFFFFF" w:val="clear"/>
            <w:vAlign w:val="bottom"/>
          </w:tcPr>
          <w:p>
            <w:pPr>
              <w:pStyle w:val="TableContents"/>
              <w:spacing w:before="0" w:after="283"/>
              <w:jc w:val="left"/>
              <w:rPr>
                <w:rFonts w:ascii="Arial" w:hAnsi="Arial"/>
              </w:rPr>
            </w:pPr>
            <w:r>
              <w:rPr>
                <w:rFonts w:ascii="Arial" w:hAnsi="Arial"/>
              </w:rPr>
              <w:t>%</w:t>
            </w:r>
          </w:p>
        </w:tc>
        <w:tc>
          <w:tcPr>
            <w:tcW w:w="886" w:type="dxa"/>
            <w:tcBorders/>
            <w:shd w:fill="FFFFFF" w:val="clear"/>
            <w:vAlign w:val="bottom"/>
          </w:tcPr>
          <w:p>
            <w:pPr>
              <w:pStyle w:val="TableContents"/>
              <w:spacing w:before="0" w:after="283"/>
              <w:jc w:val="right"/>
              <w:rPr/>
            </w:pPr>
            <w:r>
              <w:rPr/>
              <w:t>      </w:t>
            </w:r>
          </w:p>
        </w:tc>
        <w:tc>
          <w:tcPr>
            <w:tcW w:w="176" w:type="dxa"/>
            <w:tcBorders/>
            <w:shd w:fill="FFFFFF" w:val="clear"/>
            <w:vAlign w:val="center"/>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Arial" w:hAnsi="Arial"/>
              </w:rPr>
            </w:pPr>
            <w:r>
              <w:rPr>
                <w:rFonts w:ascii="Arial" w:hAnsi="Arial"/>
              </w:rPr>
              <w:t>22.2</w:t>
            </w:r>
          </w:p>
        </w:tc>
        <w:tc>
          <w:tcPr>
            <w:tcW w:w="231" w:type="dxa"/>
            <w:tcBorders/>
            <w:shd w:fill="FFFFFF" w:val="clear"/>
            <w:vAlign w:val="bottom"/>
          </w:tcPr>
          <w:p>
            <w:pPr>
              <w:pStyle w:val="TableContents"/>
              <w:spacing w:before="0" w:after="283"/>
              <w:jc w:val="left"/>
              <w:rPr>
                <w:rFonts w:ascii="Arial" w:hAnsi="Arial"/>
              </w:rPr>
            </w:pPr>
            <w:r>
              <w:rPr>
                <w:rFonts w:ascii="Arial" w:hAnsi="Arial"/>
              </w:rPr>
              <w:t>%</w:t>
            </w:r>
          </w:p>
        </w:tc>
        <w:tc>
          <w:tcPr>
            <w:tcW w:w="886" w:type="dxa"/>
            <w:tcBorders/>
            <w:shd w:fill="FFFFFF" w:val="clear"/>
            <w:vAlign w:val="bottom"/>
          </w:tcPr>
          <w:p>
            <w:pPr>
              <w:pStyle w:val="TableContents"/>
              <w:spacing w:before="0" w:after="283"/>
              <w:jc w:val="right"/>
              <w:rPr/>
            </w:pPr>
            <w:r>
              <w:rPr/>
              <w:t>      </w:t>
            </w:r>
          </w:p>
        </w:tc>
        <w:tc>
          <w:tcPr>
            <w:tcW w:w="176" w:type="dxa"/>
            <w:tcBorders/>
            <w:shd w:fill="FFFFFF" w:val="clear"/>
            <w:vAlign w:val="center"/>
          </w:tcPr>
          <w:p>
            <w:pPr>
              <w:pStyle w:val="TableContents"/>
              <w:spacing w:before="0" w:after="283"/>
              <w:rPr/>
            </w:pPr>
            <w:r>
              <w:rPr/>
              <w:t> </w:t>
            </w:r>
          </w:p>
        </w:tc>
        <w:tc>
          <w:tcPr>
            <w:tcW w:w="1177" w:type="dxa"/>
            <w:tcBorders/>
            <w:shd w:fill="FFFFFF" w:val="clear"/>
            <w:vAlign w:val="bottom"/>
          </w:tcPr>
          <w:p>
            <w:pPr>
              <w:pStyle w:val="TableContents"/>
              <w:spacing w:before="0" w:after="283"/>
              <w:jc w:val="right"/>
              <w:rPr>
                <w:rFonts w:ascii="Arial" w:hAnsi="Arial"/>
              </w:rPr>
            </w:pPr>
            <w:r>
              <w:rPr>
                <w:rFonts w:ascii="Arial" w:hAnsi="Arial"/>
              </w:rPr>
              <w:t>18.9</w:t>
            </w:r>
          </w:p>
        </w:tc>
        <w:tc>
          <w:tcPr>
            <w:tcW w:w="23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12" w:type="dxa"/>
            <w:tcBorders/>
            <w:shd w:fill="FFFFFF" w:val="clear"/>
            <w:vAlign w:val="bottom"/>
          </w:tcPr>
          <w:p>
            <w:pPr>
              <w:pStyle w:val="TableContents"/>
              <w:spacing w:before="0" w:after="283"/>
              <w:jc w:val="left"/>
              <w:rPr/>
            </w:pPr>
            <w:r>
              <w:rPr/>
              <w:t>      </w:t>
            </w:r>
          </w:p>
        </w:tc>
        <w:tc>
          <w:tcPr>
            <w:tcW w:w="3175" w:type="dxa"/>
            <w:tcBorders/>
            <w:shd w:fill="FFFFFF" w:val="clear"/>
            <w:vAlign w:val="bottom"/>
          </w:tcPr>
          <w:p>
            <w:pPr>
              <w:pStyle w:val="TableContents"/>
              <w:spacing w:before="0" w:after="283"/>
              <w:rPr>
                <w:sz w:val="4"/>
                <w:szCs w:val="4"/>
              </w:rPr>
            </w:pPr>
            <w:r>
              <w:rPr>
                <w:sz w:val="4"/>
                <w:szCs w:val="4"/>
              </w:rPr>
            </w:r>
          </w:p>
        </w:tc>
        <w:tc>
          <w:tcPr>
            <w:tcW w:w="165" w:type="dxa"/>
            <w:tcBorders/>
            <w:shd w:fill="FFFFFF" w:val="clear"/>
            <w:vAlign w:val="center"/>
          </w:tcPr>
          <w:p>
            <w:pPr>
              <w:pStyle w:val="TableContents"/>
              <w:spacing w:before="0" w:after="283"/>
              <w:rPr/>
            </w:pPr>
            <w:r>
              <w:rPr/>
              <w:t> </w:t>
            </w:r>
          </w:p>
        </w:tc>
        <w:tc>
          <w:tcPr>
            <w:tcW w:w="1177"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1177"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1177" w:type="dxa"/>
            <w:tcBorders/>
            <w:shd w:fill="FFFFFF" w:val="clear"/>
            <w:vAlign w:val="center"/>
          </w:tcPr>
          <w:p>
            <w:pPr>
              <w:pStyle w:val="TableContents"/>
              <w:spacing w:before="0" w:after="283"/>
              <w:rPr/>
            </w:pPr>
            <w:r>
              <w:rPr/>
              <w:t> </w:t>
            </w:r>
          </w:p>
        </w:tc>
        <w:tc>
          <w:tcPr>
            <w:tcW w:w="23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Gross margin increased by 1 percentage point in 2006 compared with 2005 due primarily to higher margins in our Specialty Materials segment following our acquisition of full ownership of UOP (1.3 percentage points), and lower pension and other postretirement benefits expense of 0.5 percentage points, partially offset by higher repositioning costs of 0.2 percentage points. Gross margin increased by 3.3 percentage points in 2005 compared with 2004 primarily due to an increase of 1.2 percentage points in gross margin for our reportable segments, lower repositioning and other charges of 0.8 percentage points and lower pension and other postretirement benefits expense of 0.5 percentage points. For further discussion of segment results, see “Review of Business Segments”.</w:t>
      </w:r>
    </w:p>
    <w:p>
      <w:pPr>
        <w:pStyle w:val="TextBody"/>
        <w:jc w:val="left"/>
        <w:rPr>
          <w:rFonts w:ascii="Arial" w:hAnsi="Arial"/>
          <w:b/>
        </w:rPr>
      </w:pPr>
      <w:r>
        <w:rPr>
          <w:rFonts w:ascii="Arial" w:hAnsi="Arial"/>
          <w:b/>
        </w:rPr>
        <w:t>Selling, General and Administrative Expenses</w:t>
      </w:r>
    </w:p>
    <w:tbl>
      <w:tblPr>
        <w:tblW w:w="5000" w:type="pct"/>
        <w:jc w:val="left"/>
        <w:tblInd w:w="0" w:type="dxa"/>
        <w:tblCellMar>
          <w:top w:w="0" w:type="dxa"/>
          <w:left w:w="0" w:type="dxa"/>
          <w:bottom w:w="0" w:type="dxa"/>
          <w:right w:w="0" w:type="dxa"/>
        </w:tblCellMar>
      </w:tblPr>
      <w:tblGrid>
        <w:gridCol w:w="507"/>
        <w:gridCol w:w="3538"/>
        <w:gridCol w:w="175"/>
        <w:gridCol w:w="1064"/>
        <w:gridCol w:w="230"/>
        <w:gridCol w:w="872"/>
        <w:gridCol w:w="175"/>
        <w:gridCol w:w="1064"/>
        <w:gridCol w:w="230"/>
        <w:gridCol w:w="872"/>
        <w:gridCol w:w="174"/>
        <w:gridCol w:w="1064"/>
        <w:gridCol w:w="240"/>
      </w:tblGrid>
      <w:tr>
        <w:trPr/>
        <w:tc>
          <w:tcPr>
            <w:tcW w:w="507" w:type="dxa"/>
            <w:tcBorders/>
            <w:shd w:fill="FFFFFF" w:val="clear"/>
            <w:vAlign w:val="center"/>
          </w:tcPr>
          <w:p>
            <w:pPr>
              <w:pStyle w:val="TableContents"/>
              <w:spacing w:before="0" w:after="283"/>
              <w:rPr/>
            </w:pPr>
            <w:r>
              <w:rPr/>
              <w:t> </w:t>
            </w:r>
          </w:p>
        </w:tc>
        <w:tc>
          <w:tcPr>
            <w:tcW w:w="3538" w:type="dxa"/>
            <w:tcBorders/>
            <w:shd w:fill="FFFFFF" w:val="clear"/>
            <w:vAlign w:val="center"/>
          </w:tcPr>
          <w:p>
            <w:pPr>
              <w:pStyle w:val="TableContents"/>
              <w:spacing w:before="0" w:after="283"/>
              <w:rPr/>
            </w:pPr>
            <w:r>
              <w:rPr/>
              <w:t> </w:t>
            </w:r>
          </w:p>
        </w:tc>
        <w:tc>
          <w:tcPr>
            <w:tcW w:w="1469"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872" w:type="dxa"/>
            <w:tcBorders/>
            <w:shd w:fill="FFFFFF" w:val="clear"/>
            <w:vAlign w:val="center"/>
          </w:tcPr>
          <w:p>
            <w:pPr>
              <w:pStyle w:val="TableContents"/>
              <w:spacing w:before="0" w:after="283"/>
              <w:rPr/>
            </w:pPr>
            <w:r>
              <w:rPr/>
              <w:t> </w:t>
            </w:r>
          </w:p>
        </w:tc>
        <w:tc>
          <w:tcPr>
            <w:tcW w:w="1469"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872" w:type="dxa"/>
            <w:tcBorders/>
            <w:shd w:fill="FFFFFF" w:val="clear"/>
            <w:vAlign w:val="center"/>
          </w:tcPr>
          <w:p>
            <w:pPr>
              <w:pStyle w:val="TableContents"/>
              <w:spacing w:before="0" w:after="283"/>
              <w:rPr/>
            </w:pPr>
            <w:r>
              <w:rPr/>
              <w:t> </w:t>
            </w:r>
          </w:p>
        </w:tc>
        <w:tc>
          <w:tcPr>
            <w:tcW w:w="1478"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07" w:type="dxa"/>
            <w:tcBorders/>
            <w:shd w:fill="FFFFFF" w:val="clear"/>
            <w:vAlign w:val="center"/>
          </w:tcPr>
          <w:p>
            <w:pPr>
              <w:pStyle w:val="TableContents"/>
              <w:spacing w:before="0" w:after="283"/>
              <w:rPr/>
            </w:pPr>
            <w:r>
              <w:rPr/>
              <w:t> </w:t>
            </w:r>
          </w:p>
        </w:tc>
        <w:tc>
          <w:tcPr>
            <w:tcW w:w="3538" w:type="dxa"/>
            <w:tcBorders/>
            <w:shd w:fill="FFFFFF" w:val="clear"/>
            <w:vAlign w:val="center"/>
          </w:tcPr>
          <w:p>
            <w:pPr>
              <w:pStyle w:val="TableContents"/>
              <w:spacing w:before="0" w:after="283"/>
              <w:rPr/>
            </w:pPr>
            <w:r>
              <w:rPr/>
              <w:t> </w:t>
            </w:r>
          </w:p>
        </w:tc>
        <w:tc>
          <w:tcPr>
            <w:tcW w:w="6160"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507" w:type="dxa"/>
            <w:tcBorders/>
            <w:shd w:fill="E5FFFF" w:val="clear"/>
            <w:vAlign w:val="bottom"/>
          </w:tcPr>
          <w:p>
            <w:pPr>
              <w:pStyle w:val="TableContents"/>
              <w:spacing w:before="0" w:after="283"/>
              <w:jc w:val="left"/>
              <w:rPr/>
            </w:pPr>
            <w:r>
              <w:rPr/>
              <w:t>      </w:t>
            </w:r>
          </w:p>
        </w:tc>
        <w:tc>
          <w:tcPr>
            <w:tcW w:w="3538" w:type="dxa"/>
            <w:tcBorders/>
            <w:shd w:fill="E5FFFF" w:val="clear"/>
            <w:vAlign w:val="bottom"/>
          </w:tcPr>
          <w:p>
            <w:pPr>
              <w:pStyle w:val="TableContents"/>
              <w:spacing w:before="0" w:after="283"/>
              <w:jc w:val="left"/>
              <w:rPr>
                <w:rFonts w:ascii="Arial" w:hAnsi="Arial"/>
              </w:rPr>
            </w:pPr>
            <w:r>
              <w:rPr>
                <w:rFonts w:ascii="Arial" w:hAnsi="Arial"/>
              </w:rPr>
              <w:t>Selling, general and administrative expenses</w:t>
            </w:r>
          </w:p>
        </w:tc>
        <w:tc>
          <w:tcPr>
            <w:tcW w:w="175" w:type="dxa"/>
            <w:tcBorders/>
            <w:shd w:fill="E5FFFF" w:val="clear"/>
            <w:vAlign w:val="bottom"/>
          </w:tcPr>
          <w:p>
            <w:pPr>
              <w:pStyle w:val="TableContents"/>
              <w:spacing w:before="0" w:after="283"/>
              <w:jc w:val="right"/>
              <w:rPr>
                <w:rFonts w:ascii="Arial" w:hAnsi="Arial"/>
              </w:rPr>
            </w:pPr>
            <w:r>
              <w:rPr>
                <w:rFonts w:ascii="Arial" w:hAnsi="Arial"/>
              </w:rPr>
              <w:t>$</w:t>
            </w:r>
          </w:p>
        </w:tc>
        <w:tc>
          <w:tcPr>
            <w:tcW w:w="1064" w:type="dxa"/>
            <w:tcBorders/>
            <w:shd w:fill="E5FFFF" w:val="clear"/>
            <w:vAlign w:val="bottom"/>
          </w:tcPr>
          <w:p>
            <w:pPr>
              <w:pStyle w:val="TableContents"/>
              <w:spacing w:before="0" w:after="283"/>
              <w:jc w:val="right"/>
              <w:rPr>
                <w:rFonts w:ascii="Arial" w:hAnsi="Arial"/>
              </w:rPr>
            </w:pPr>
            <w:r>
              <w:rPr>
                <w:rFonts w:ascii="Arial" w:hAnsi="Arial"/>
              </w:rPr>
              <w:t>4,210</w:t>
            </w:r>
          </w:p>
        </w:tc>
        <w:tc>
          <w:tcPr>
            <w:tcW w:w="230" w:type="dxa"/>
            <w:tcBorders/>
            <w:shd w:fill="E5FFFF" w:val="clear"/>
            <w:vAlign w:val="center"/>
          </w:tcPr>
          <w:p>
            <w:pPr>
              <w:pStyle w:val="TableContents"/>
              <w:spacing w:before="0" w:after="283"/>
              <w:rPr/>
            </w:pPr>
            <w:r>
              <w:rPr/>
              <w:t> </w:t>
            </w:r>
          </w:p>
        </w:tc>
        <w:tc>
          <w:tcPr>
            <w:tcW w:w="872" w:type="dxa"/>
            <w:tcBorders/>
            <w:shd w:fill="E5FFFF" w:val="clear"/>
            <w:vAlign w:val="bottom"/>
          </w:tcPr>
          <w:p>
            <w:pPr>
              <w:pStyle w:val="TableContents"/>
              <w:spacing w:before="0" w:after="283"/>
              <w:jc w:val="right"/>
              <w:rPr/>
            </w:pPr>
            <w:r>
              <w:rPr/>
              <w:t>      </w:t>
            </w:r>
          </w:p>
        </w:tc>
        <w:tc>
          <w:tcPr>
            <w:tcW w:w="175" w:type="dxa"/>
            <w:tcBorders/>
            <w:shd w:fill="E5FFFF" w:val="clear"/>
            <w:vAlign w:val="bottom"/>
          </w:tcPr>
          <w:p>
            <w:pPr>
              <w:pStyle w:val="TableContents"/>
              <w:spacing w:before="0" w:after="283"/>
              <w:jc w:val="right"/>
              <w:rPr>
                <w:rFonts w:ascii="Arial" w:hAnsi="Arial"/>
              </w:rPr>
            </w:pPr>
            <w:r>
              <w:rPr>
                <w:rFonts w:ascii="Arial" w:hAnsi="Arial"/>
              </w:rPr>
              <w:t>$</w:t>
            </w:r>
          </w:p>
        </w:tc>
        <w:tc>
          <w:tcPr>
            <w:tcW w:w="1064" w:type="dxa"/>
            <w:tcBorders/>
            <w:shd w:fill="E5FFFF" w:val="clear"/>
            <w:vAlign w:val="bottom"/>
          </w:tcPr>
          <w:p>
            <w:pPr>
              <w:pStyle w:val="TableContents"/>
              <w:spacing w:before="0" w:after="283"/>
              <w:jc w:val="right"/>
              <w:rPr>
                <w:rFonts w:ascii="Arial" w:hAnsi="Arial"/>
              </w:rPr>
            </w:pPr>
            <w:r>
              <w:rPr>
                <w:rFonts w:ascii="Arial" w:hAnsi="Arial"/>
              </w:rPr>
              <w:t>3,707</w:t>
            </w:r>
          </w:p>
        </w:tc>
        <w:tc>
          <w:tcPr>
            <w:tcW w:w="230" w:type="dxa"/>
            <w:tcBorders/>
            <w:shd w:fill="E5FFFF" w:val="clear"/>
            <w:vAlign w:val="center"/>
          </w:tcPr>
          <w:p>
            <w:pPr>
              <w:pStyle w:val="TableContents"/>
              <w:spacing w:before="0" w:after="283"/>
              <w:rPr/>
            </w:pPr>
            <w:r>
              <w:rPr/>
              <w:t> </w:t>
            </w:r>
          </w:p>
        </w:tc>
        <w:tc>
          <w:tcPr>
            <w:tcW w:w="872" w:type="dxa"/>
            <w:tcBorders/>
            <w:shd w:fill="E5FFFF" w:val="clear"/>
            <w:vAlign w:val="bottom"/>
          </w:tcPr>
          <w:p>
            <w:pPr>
              <w:pStyle w:val="TableContents"/>
              <w:spacing w:before="0" w:after="283"/>
              <w:jc w:val="right"/>
              <w:rPr/>
            </w:pPr>
            <w:r>
              <w:rPr/>
              <w:t>      </w:t>
            </w:r>
          </w:p>
        </w:tc>
        <w:tc>
          <w:tcPr>
            <w:tcW w:w="174" w:type="dxa"/>
            <w:tcBorders/>
            <w:shd w:fill="E5FFFF" w:val="clear"/>
            <w:vAlign w:val="bottom"/>
          </w:tcPr>
          <w:p>
            <w:pPr>
              <w:pStyle w:val="TableContents"/>
              <w:spacing w:before="0" w:after="283"/>
              <w:jc w:val="right"/>
              <w:rPr>
                <w:rFonts w:ascii="Arial" w:hAnsi="Arial"/>
              </w:rPr>
            </w:pPr>
            <w:r>
              <w:rPr>
                <w:rFonts w:ascii="Arial" w:hAnsi="Arial"/>
              </w:rPr>
              <w:t>$</w:t>
            </w:r>
          </w:p>
        </w:tc>
        <w:tc>
          <w:tcPr>
            <w:tcW w:w="1064" w:type="dxa"/>
            <w:tcBorders/>
            <w:shd w:fill="E5FFFF" w:val="clear"/>
            <w:vAlign w:val="bottom"/>
          </w:tcPr>
          <w:p>
            <w:pPr>
              <w:pStyle w:val="TableContents"/>
              <w:spacing w:before="0" w:after="283"/>
              <w:jc w:val="right"/>
              <w:rPr>
                <w:rFonts w:ascii="Arial" w:hAnsi="Arial"/>
              </w:rPr>
            </w:pPr>
            <w:r>
              <w:rPr>
                <w:rFonts w:ascii="Arial" w:hAnsi="Arial"/>
              </w:rPr>
              <w:t>3,316</w:t>
            </w:r>
          </w:p>
        </w:tc>
        <w:tc>
          <w:tcPr>
            <w:tcW w:w="240" w:type="dxa"/>
            <w:tcBorders/>
            <w:shd w:fill="E5FFFF" w:val="clear"/>
            <w:vAlign w:val="center"/>
          </w:tcPr>
          <w:p>
            <w:pPr>
              <w:pStyle w:val="TableContents"/>
              <w:spacing w:before="0" w:after="283"/>
              <w:rPr/>
            </w:pPr>
            <w:r>
              <w:rPr/>
              <w:t> </w:t>
            </w:r>
          </w:p>
        </w:tc>
      </w:tr>
      <w:tr>
        <w:trPr/>
        <w:tc>
          <w:tcPr>
            <w:tcW w:w="507" w:type="dxa"/>
            <w:tcBorders/>
            <w:shd w:fill="FFFFFF" w:val="clear"/>
            <w:vAlign w:val="bottom"/>
          </w:tcPr>
          <w:p>
            <w:pPr>
              <w:pStyle w:val="TableContents"/>
              <w:spacing w:before="0" w:after="283"/>
              <w:jc w:val="left"/>
              <w:rPr/>
            </w:pPr>
            <w:r>
              <w:rPr/>
              <w:t>      </w:t>
            </w:r>
          </w:p>
        </w:tc>
        <w:tc>
          <w:tcPr>
            <w:tcW w:w="3538" w:type="dxa"/>
            <w:tcBorders/>
            <w:shd w:fill="FFFFFF" w:val="clear"/>
            <w:vAlign w:val="bottom"/>
          </w:tcPr>
          <w:p>
            <w:pPr>
              <w:pStyle w:val="TableContents"/>
              <w:spacing w:before="0" w:after="283"/>
              <w:jc w:val="left"/>
              <w:rPr>
                <w:rFonts w:ascii="Arial" w:hAnsi="Arial"/>
              </w:rPr>
            </w:pPr>
            <w:r>
              <w:rPr>
                <w:rFonts w:ascii="Arial" w:hAnsi="Arial"/>
              </w:rPr>
              <w:t>Percent of sales</w:t>
            </w:r>
          </w:p>
        </w:tc>
        <w:tc>
          <w:tcPr>
            <w:tcW w:w="175" w:type="dxa"/>
            <w:tcBorders/>
            <w:shd w:fill="FFFFFF" w:val="clear"/>
            <w:vAlign w:val="center"/>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Arial" w:hAnsi="Arial"/>
              </w:rPr>
            </w:pPr>
            <w:r>
              <w:rPr>
                <w:rFonts w:ascii="Arial" w:hAnsi="Arial"/>
              </w:rPr>
              <w:t>13.4</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872"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Arial" w:hAnsi="Arial"/>
              </w:rPr>
            </w:pPr>
            <w:r>
              <w:rPr>
                <w:rFonts w:ascii="Arial" w:hAnsi="Arial"/>
              </w:rPr>
              <w:t>13.4</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872" w:type="dxa"/>
            <w:tcBorders/>
            <w:shd w:fill="FFFFFF" w:val="clear"/>
            <w:vAlign w:val="bottom"/>
          </w:tcPr>
          <w:p>
            <w:pPr>
              <w:pStyle w:val="TableContents"/>
              <w:spacing w:before="0" w:after="283"/>
              <w:jc w:val="right"/>
              <w:rPr/>
            </w:pPr>
            <w:r>
              <w:rPr/>
              <w:t>      </w:t>
            </w:r>
          </w:p>
        </w:tc>
        <w:tc>
          <w:tcPr>
            <w:tcW w:w="174" w:type="dxa"/>
            <w:tcBorders/>
            <w:shd w:fill="FFFFFF" w:val="clear"/>
            <w:vAlign w:val="center"/>
          </w:tcPr>
          <w:p>
            <w:pPr>
              <w:pStyle w:val="TableContents"/>
              <w:spacing w:before="0" w:after="283"/>
              <w:rPr/>
            </w:pPr>
            <w:r>
              <w:rPr/>
              <w:t> </w:t>
            </w:r>
          </w:p>
        </w:tc>
        <w:tc>
          <w:tcPr>
            <w:tcW w:w="1064" w:type="dxa"/>
            <w:tcBorders/>
            <w:shd w:fill="FFFFFF" w:val="clear"/>
            <w:vAlign w:val="bottom"/>
          </w:tcPr>
          <w:p>
            <w:pPr>
              <w:pStyle w:val="TableContents"/>
              <w:spacing w:before="0" w:after="283"/>
              <w:jc w:val="right"/>
              <w:rPr>
                <w:rFonts w:ascii="Arial" w:hAnsi="Arial"/>
              </w:rPr>
            </w:pPr>
            <w:r>
              <w:rPr>
                <w:rFonts w:ascii="Arial" w:hAnsi="Arial"/>
              </w:rPr>
              <w:t>13.0</w:t>
            </w:r>
          </w:p>
        </w:tc>
        <w:tc>
          <w:tcPr>
            <w:tcW w:w="24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07" w:type="dxa"/>
            <w:tcBorders/>
            <w:shd w:fill="FFFFFF" w:val="clear"/>
            <w:vAlign w:val="bottom"/>
          </w:tcPr>
          <w:p>
            <w:pPr>
              <w:pStyle w:val="TableContents"/>
              <w:spacing w:before="0" w:after="283"/>
              <w:jc w:val="left"/>
              <w:rPr/>
            </w:pPr>
            <w:r>
              <w:rPr/>
              <w:t>      </w:t>
            </w:r>
          </w:p>
        </w:tc>
        <w:tc>
          <w:tcPr>
            <w:tcW w:w="3538" w:type="dxa"/>
            <w:tcBorders/>
            <w:shd w:fill="FFFFFF" w:val="clear"/>
            <w:vAlign w:val="bottom"/>
          </w:tcPr>
          <w:p>
            <w:pPr>
              <w:pStyle w:val="TableContents"/>
              <w:spacing w:before="0" w:after="283"/>
              <w:rPr>
                <w:sz w:val="4"/>
                <w:szCs w:val="4"/>
              </w:rPr>
            </w:pPr>
            <w:r>
              <w:rPr>
                <w:sz w:val="4"/>
                <w:szCs w:val="4"/>
              </w:rPr>
            </w:r>
          </w:p>
        </w:tc>
        <w:tc>
          <w:tcPr>
            <w:tcW w:w="175" w:type="dxa"/>
            <w:tcBorders/>
            <w:shd w:fill="FFFFFF" w:val="clear"/>
            <w:vAlign w:val="center"/>
          </w:tcPr>
          <w:p>
            <w:pPr>
              <w:pStyle w:val="TableContents"/>
              <w:spacing w:before="0" w:after="283"/>
              <w:rPr/>
            </w:pPr>
            <w:r>
              <w:rPr/>
              <w:t> </w:t>
            </w:r>
          </w:p>
        </w:tc>
        <w:tc>
          <w:tcPr>
            <w:tcW w:w="1064"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872"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1064"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872"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c>
          <w:tcPr>
            <w:tcW w:w="106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Selling, general and administrative expenses as a percentage of sales was flat in 2006 compared with 2005 due primarily to a reduction in expenses in our Aerospace segment, which reflects the benefit of prior restructuring actions, offsetting higher expenses in Automation and Control Solutions (ACS) and Specialty Materials as a result of acquisitions. A reduction of repositioning and pension costs of 0.2 percentage points offset the 0.2 percentage point increase for expenses of $77 million relating to stock-based compensation expense following the adoption of FAS No. 123R (see Note 20, Stock-Based Compensation Plans). Selling, general and administrative expenses as a percentage of sales increased by 0.4 percentage points in 2005 compared with 2004 due primarily to the impact of the acquisition of NOVAR and higher spending for information technology systems (primarily ERP system in Aerospace) of 0.3 percentage points and higher repositioning and other charges of 0.1 percentage points.</w:t>
      </w:r>
    </w:p>
    <w:p>
      <w:pPr>
        <w:pStyle w:val="TextBody"/>
        <w:jc w:val="left"/>
        <w:rPr>
          <w:rFonts w:ascii="Arial" w:hAnsi="Arial"/>
          <w:b/>
        </w:rPr>
      </w:pPr>
      <w:r>
        <w:rPr>
          <w:rFonts w:ascii="Arial" w:hAnsi="Arial"/>
          <w:b/>
        </w:rPr>
        <w:t>Pension and Other Postretirement Benefits</w:t>
      </w:r>
    </w:p>
    <w:tbl>
      <w:tblPr>
        <w:tblW w:w="5000" w:type="pct"/>
        <w:jc w:val="left"/>
        <w:tblInd w:w="0" w:type="dxa"/>
        <w:tblCellMar>
          <w:top w:w="0" w:type="dxa"/>
          <w:left w:w="0" w:type="dxa"/>
          <w:bottom w:w="0" w:type="dxa"/>
          <w:right w:w="0" w:type="dxa"/>
        </w:tblCellMar>
      </w:tblPr>
      <w:tblGrid>
        <w:gridCol w:w="417"/>
        <w:gridCol w:w="5746"/>
        <w:gridCol w:w="313"/>
        <w:gridCol w:w="208"/>
        <w:gridCol w:w="626"/>
        <w:gridCol w:w="60"/>
        <w:gridCol w:w="522"/>
        <w:gridCol w:w="209"/>
        <w:gridCol w:w="626"/>
        <w:gridCol w:w="60"/>
        <w:gridCol w:w="522"/>
        <w:gridCol w:w="209"/>
        <w:gridCol w:w="626"/>
        <w:gridCol w:w="61"/>
      </w:tblGrid>
      <w:tr>
        <w:trPr/>
        <w:tc>
          <w:tcPr>
            <w:tcW w:w="417" w:type="dxa"/>
            <w:tcBorders/>
            <w:shd w:fill="FFFFFF" w:val="clear"/>
            <w:vAlign w:val="center"/>
          </w:tcPr>
          <w:p>
            <w:pPr>
              <w:pStyle w:val="TableContents"/>
              <w:spacing w:before="0" w:after="283"/>
              <w:rPr/>
            </w:pPr>
            <w:r>
              <w:rPr/>
              <w:t> </w:t>
            </w:r>
          </w:p>
        </w:tc>
        <w:tc>
          <w:tcPr>
            <w:tcW w:w="5746" w:type="dxa"/>
            <w:tcBorders/>
            <w:shd w:fill="FFFFFF" w:val="clear"/>
            <w:vAlign w:val="center"/>
          </w:tcPr>
          <w:p>
            <w:pPr>
              <w:pStyle w:val="TableContents"/>
              <w:spacing w:before="0" w:after="283"/>
              <w:rPr/>
            </w:pPr>
            <w:r>
              <w:rPr/>
              <w:t> </w:t>
            </w:r>
          </w:p>
        </w:tc>
        <w:tc>
          <w:tcPr>
            <w:tcW w:w="313" w:type="dxa"/>
            <w:tcBorders/>
            <w:shd w:fill="FFFFFF" w:val="clear"/>
            <w:vAlign w:val="center"/>
          </w:tcPr>
          <w:p>
            <w:pPr>
              <w:pStyle w:val="TableContents"/>
              <w:spacing w:before="0" w:after="283"/>
              <w:rPr/>
            </w:pPr>
            <w:r>
              <w:rPr/>
              <w:t> </w:t>
            </w:r>
          </w:p>
        </w:tc>
        <w:tc>
          <w:tcPr>
            <w:tcW w:w="89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522" w:type="dxa"/>
            <w:tcBorders/>
            <w:shd w:fill="FFFFFF" w:val="clear"/>
            <w:vAlign w:val="center"/>
          </w:tcPr>
          <w:p>
            <w:pPr>
              <w:pStyle w:val="TableContents"/>
              <w:spacing w:before="0" w:after="283"/>
              <w:rPr/>
            </w:pPr>
            <w:r>
              <w:rPr/>
              <w:t> </w:t>
            </w:r>
          </w:p>
        </w:tc>
        <w:tc>
          <w:tcPr>
            <w:tcW w:w="89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522" w:type="dxa"/>
            <w:tcBorders/>
            <w:shd w:fill="FFFFFF" w:val="clear"/>
            <w:vAlign w:val="center"/>
          </w:tcPr>
          <w:p>
            <w:pPr>
              <w:pStyle w:val="TableContents"/>
              <w:spacing w:before="0" w:after="283"/>
              <w:rPr/>
            </w:pPr>
            <w:r>
              <w:rPr/>
              <w:t> </w:t>
            </w:r>
          </w:p>
        </w:tc>
        <w:tc>
          <w:tcPr>
            <w:tcW w:w="896"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17" w:type="dxa"/>
            <w:tcBorders/>
            <w:shd w:fill="FFFFFF" w:val="clear"/>
            <w:vAlign w:val="center"/>
          </w:tcPr>
          <w:p>
            <w:pPr>
              <w:pStyle w:val="TableContents"/>
              <w:spacing w:before="0" w:after="283"/>
              <w:rPr/>
            </w:pPr>
            <w:r>
              <w:rPr/>
              <w:t> </w:t>
            </w:r>
          </w:p>
        </w:tc>
        <w:tc>
          <w:tcPr>
            <w:tcW w:w="5746" w:type="dxa"/>
            <w:tcBorders/>
            <w:shd w:fill="FFFFFF" w:val="clear"/>
            <w:vAlign w:val="center"/>
          </w:tcPr>
          <w:p>
            <w:pPr>
              <w:pStyle w:val="TableContents"/>
              <w:spacing w:before="0" w:after="283"/>
              <w:rPr/>
            </w:pPr>
            <w:r>
              <w:rPr/>
              <w:t> </w:t>
            </w:r>
          </w:p>
        </w:tc>
        <w:tc>
          <w:tcPr>
            <w:tcW w:w="313" w:type="dxa"/>
            <w:tcBorders/>
            <w:shd w:fill="FFFFFF" w:val="clear"/>
            <w:vAlign w:val="center"/>
          </w:tcPr>
          <w:p>
            <w:pPr>
              <w:pStyle w:val="TableContents"/>
              <w:spacing w:before="0" w:after="283"/>
              <w:rPr/>
            </w:pPr>
            <w:r>
              <w:rPr/>
              <w:t> </w:t>
            </w:r>
          </w:p>
        </w:tc>
        <w:tc>
          <w:tcPr>
            <w:tcW w:w="3729"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17" w:type="dxa"/>
            <w:tcBorders/>
            <w:shd w:fill="E5FFFF" w:val="clear"/>
            <w:vAlign w:val="bottom"/>
          </w:tcPr>
          <w:p>
            <w:pPr>
              <w:pStyle w:val="TableContents"/>
              <w:spacing w:before="0" w:after="283"/>
              <w:jc w:val="left"/>
              <w:rPr/>
            </w:pPr>
            <w:r>
              <w:rPr/>
              <w:t>      </w:t>
            </w:r>
          </w:p>
        </w:tc>
        <w:tc>
          <w:tcPr>
            <w:tcW w:w="5746" w:type="dxa"/>
            <w:tcBorders/>
            <w:shd w:fill="E5FFFF" w:val="clear"/>
            <w:vAlign w:val="bottom"/>
          </w:tcPr>
          <w:p>
            <w:pPr>
              <w:pStyle w:val="TableContents"/>
              <w:spacing w:before="0" w:after="283"/>
              <w:jc w:val="left"/>
              <w:rPr>
                <w:rFonts w:ascii="Arial" w:hAnsi="Arial"/>
              </w:rPr>
            </w:pPr>
            <w:r>
              <w:rPr>
                <w:rFonts w:ascii="Arial" w:hAnsi="Arial"/>
              </w:rPr>
              <w:t>Pension expense</w:t>
            </w:r>
          </w:p>
        </w:tc>
        <w:tc>
          <w:tcPr>
            <w:tcW w:w="313" w:type="dxa"/>
            <w:tcBorders/>
            <w:shd w:fill="E5FFFF" w:val="clear"/>
            <w:vAlign w:val="bottom"/>
          </w:tcPr>
          <w:p>
            <w:pPr>
              <w:pStyle w:val="TableContents"/>
              <w:spacing w:before="0" w:after="283"/>
              <w:jc w:val="right"/>
              <w:rPr/>
            </w:pPr>
            <w:r>
              <w:rPr/>
              <w:t>    </w:t>
            </w:r>
          </w:p>
        </w:tc>
        <w:tc>
          <w:tcPr>
            <w:tcW w:w="208" w:type="dxa"/>
            <w:tcBorders/>
            <w:shd w:fill="E5FFFF" w:val="clear"/>
            <w:vAlign w:val="bottom"/>
          </w:tcPr>
          <w:p>
            <w:pPr>
              <w:pStyle w:val="TableContents"/>
              <w:spacing w:before="0" w:after="283"/>
              <w:jc w:val="right"/>
              <w:rPr>
                <w:rFonts w:ascii="Arial" w:hAnsi="Arial"/>
              </w:rPr>
            </w:pPr>
            <w:r>
              <w:rPr>
                <w:rFonts w:ascii="Arial" w:hAnsi="Arial"/>
              </w:rPr>
              <w:t>$</w:t>
            </w:r>
          </w:p>
        </w:tc>
        <w:tc>
          <w:tcPr>
            <w:tcW w:w="626" w:type="dxa"/>
            <w:tcBorders/>
            <w:shd w:fill="E5FFFF" w:val="clear"/>
            <w:vAlign w:val="bottom"/>
          </w:tcPr>
          <w:p>
            <w:pPr>
              <w:pStyle w:val="TableContents"/>
              <w:spacing w:before="0" w:after="283"/>
              <w:jc w:val="right"/>
              <w:rPr>
                <w:rFonts w:ascii="Arial" w:hAnsi="Arial"/>
              </w:rPr>
            </w:pPr>
            <w:r>
              <w:rPr>
                <w:rFonts w:ascii="Arial" w:hAnsi="Arial"/>
              </w:rPr>
              <w:t>313</w:t>
            </w:r>
          </w:p>
        </w:tc>
        <w:tc>
          <w:tcPr>
            <w:tcW w:w="60" w:type="dxa"/>
            <w:tcBorders/>
            <w:shd w:fill="E5FFFF" w:val="clear"/>
            <w:vAlign w:val="center"/>
          </w:tcPr>
          <w:p>
            <w:pPr>
              <w:pStyle w:val="TableContents"/>
              <w:spacing w:before="0" w:after="283"/>
              <w:rPr/>
            </w:pPr>
            <w:r>
              <w:rPr/>
              <w:t> </w:t>
            </w:r>
          </w:p>
        </w:tc>
        <w:tc>
          <w:tcPr>
            <w:tcW w:w="522" w:type="dxa"/>
            <w:tcBorders/>
            <w:shd w:fill="E5FFFF" w:val="clear"/>
            <w:vAlign w:val="bottom"/>
          </w:tcPr>
          <w:p>
            <w:pPr>
              <w:pStyle w:val="TableContents"/>
              <w:spacing w:before="0" w:after="283"/>
              <w:jc w:val="right"/>
              <w:rPr/>
            </w:pPr>
            <w:r>
              <w:rPr/>
              <w:t>      </w:t>
            </w:r>
          </w:p>
        </w:tc>
        <w:tc>
          <w:tcPr>
            <w:tcW w:w="209" w:type="dxa"/>
            <w:tcBorders/>
            <w:shd w:fill="E5FFFF" w:val="clear"/>
            <w:vAlign w:val="bottom"/>
          </w:tcPr>
          <w:p>
            <w:pPr>
              <w:pStyle w:val="TableContents"/>
              <w:spacing w:before="0" w:after="283"/>
              <w:jc w:val="right"/>
              <w:rPr>
                <w:rFonts w:ascii="Arial" w:hAnsi="Arial"/>
              </w:rPr>
            </w:pPr>
            <w:r>
              <w:rPr>
                <w:rFonts w:ascii="Arial" w:hAnsi="Arial"/>
              </w:rPr>
              <w:t>$</w:t>
            </w:r>
          </w:p>
        </w:tc>
        <w:tc>
          <w:tcPr>
            <w:tcW w:w="626" w:type="dxa"/>
            <w:tcBorders/>
            <w:shd w:fill="E5FFFF" w:val="clear"/>
            <w:vAlign w:val="bottom"/>
          </w:tcPr>
          <w:p>
            <w:pPr>
              <w:pStyle w:val="TableContents"/>
              <w:spacing w:before="0" w:after="283"/>
              <w:jc w:val="right"/>
              <w:rPr>
                <w:rFonts w:ascii="Arial" w:hAnsi="Arial"/>
              </w:rPr>
            </w:pPr>
            <w:r>
              <w:rPr>
                <w:rFonts w:ascii="Arial" w:hAnsi="Arial"/>
              </w:rPr>
              <w:t>404</w:t>
            </w:r>
          </w:p>
        </w:tc>
        <w:tc>
          <w:tcPr>
            <w:tcW w:w="60" w:type="dxa"/>
            <w:tcBorders/>
            <w:shd w:fill="E5FFFF" w:val="clear"/>
            <w:vAlign w:val="center"/>
          </w:tcPr>
          <w:p>
            <w:pPr>
              <w:pStyle w:val="TableContents"/>
              <w:spacing w:before="0" w:after="283"/>
              <w:rPr/>
            </w:pPr>
            <w:r>
              <w:rPr/>
              <w:t> </w:t>
            </w:r>
          </w:p>
        </w:tc>
        <w:tc>
          <w:tcPr>
            <w:tcW w:w="522" w:type="dxa"/>
            <w:tcBorders/>
            <w:shd w:fill="E5FFFF" w:val="clear"/>
            <w:vAlign w:val="bottom"/>
          </w:tcPr>
          <w:p>
            <w:pPr>
              <w:pStyle w:val="TableContents"/>
              <w:spacing w:before="0" w:after="283"/>
              <w:jc w:val="right"/>
              <w:rPr/>
            </w:pPr>
            <w:r>
              <w:rPr/>
              <w:t>      </w:t>
            </w:r>
          </w:p>
        </w:tc>
        <w:tc>
          <w:tcPr>
            <w:tcW w:w="209" w:type="dxa"/>
            <w:tcBorders/>
            <w:shd w:fill="E5FFFF" w:val="clear"/>
            <w:vAlign w:val="bottom"/>
          </w:tcPr>
          <w:p>
            <w:pPr>
              <w:pStyle w:val="TableContents"/>
              <w:spacing w:before="0" w:after="283"/>
              <w:jc w:val="right"/>
              <w:rPr>
                <w:rFonts w:ascii="Arial" w:hAnsi="Arial"/>
              </w:rPr>
            </w:pPr>
            <w:r>
              <w:rPr>
                <w:rFonts w:ascii="Arial" w:hAnsi="Arial"/>
              </w:rPr>
              <w:t>$</w:t>
            </w:r>
          </w:p>
        </w:tc>
        <w:tc>
          <w:tcPr>
            <w:tcW w:w="626" w:type="dxa"/>
            <w:tcBorders/>
            <w:shd w:fill="E5FFFF" w:val="clear"/>
            <w:vAlign w:val="bottom"/>
          </w:tcPr>
          <w:p>
            <w:pPr>
              <w:pStyle w:val="TableContents"/>
              <w:spacing w:before="0" w:after="283"/>
              <w:jc w:val="right"/>
              <w:rPr>
                <w:rFonts w:ascii="Arial" w:hAnsi="Arial"/>
              </w:rPr>
            </w:pPr>
            <w:r>
              <w:rPr>
                <w:rFonts w:ascii="Arial" w:hAnsi="Arial"/>
              </w:rPr>
              <w:t>412</w:t>
            </w:r>
          </w:p>
        </w:tc>
        <w:tc>
          <w:tcPr>
            <w:tcW w:w="61" w:type="dxa"/>
            <w:tcBorders/>
            <w:shd w:fill="E5FFFF" w:val="clear"/>
            <w:vAlign w:val="center"/>
          </w:tcPr>
          <w:p>
            <w:pPr>
              <w:pStyle w:val="TableContents"/>
              <w:spacing w:before="0" w:after="283"/>
              <w:rPr/>
            </w:pPr>
            <w:r>
              <w:rPr/>
              <w:t> </w:t>
            </w:r>
          </w:p>
        </w:tc>
      </w:tr>
      <w:tr>
        <w:trPr/>
        <w:tc>
          <w:tcPr>
            <w:tcW w:w="417" w:type="dxa"/>
            <w:tcBorders/>
            <w:shd w:fill="FFFFFF" w:val="clear"/>
            <w:vAlign w:val="bottom"/>
          </w:tcPr>
          <w:p>
            <w:pPr>
              <w:pStyle w:val="TableContents"/>
              <w:spacing w:before="0" w:after="283"/>
              <w:jc w:val="left"/>
              <w:rPr/>
            </w:pPr>
            <w:r>
              <w:rPr/>
              <w:t>      </w:t>
            </w:r>
          </w:p>
        </w:tc>
        <w:tc>
          <w:tcPr>
            <w:tcW w:w="5746" w:type="dxa"/>
            <w:tcBorders/>
            <w:shd w:fill="FFFFFF" w:val="clear"/>
            <w:vAlign w:val="bottom"/>
          </w:tcPr>
          <w:p>
            <w:pPr>
              <w:pStyle w:val="TableContents"/>
              <w:spacing w:before="0" w:after="283"/>
              <w:jc w:val="left"/>
              <w:rPr>
                <w:rFonts w:ascii="Arial" w:hAnsi="Arial"/>
              </w:rPr>
            </w:pPr>
            <w:r>
              <w:rPr>
                <w:rFonts w:ascii="Arial" w:hAnsi="Arial"/>
              </w:rPr>
              <w:t>Other postretirement benefits expense</w:t>
            </w:r>
          </w:p>
        </w:tc>
        <w:tc>
          <w:tcPr>
            <w:tcW w:w="313" w:type="dxa"/>
            <w:tcBorders/>
            <w:shd w:fill="FFFFFF" w:val="clear"/>
            <w:vAlign w:val="bottom"/>
          </w:tcPr>
          <w:p>
            <w:pPr>
              <w:pStyle w:val="TableContents"/>
              <w:spacing w:before="0" w:after="283"/>
              <w:jc w:val="right"/>
              <w:rPr/>
            </w:pPr>
            <w:r>
              <w:rPr/>
              <w:t>    </w:t>
            </w:r>
          </w:p>
        </w:tc>
        <w:tc>
          <w:tcPr>
            <w:tcW w:w="208" w:type="dxa"/>
            <w:tcBorders/>
            <w:shd w:fill="FFFFFF" w:val="clear"/>
            <w:vAlign w:val="center"/>
          </w:tcPr>
          <w:p>
            <w:pPr>
              <w:pStyle w:val="TableContents"/>
              <w:spacing w:before="0" w:after="283"/>
              <w:rPr/>
            </w:pPr>
            <w:r>
              <w:rPr/>
              <w:t> </w:t>
            </w:r>
          </w:p>
        </w:tc>
        <w:tc>
          <w:tcPr>
            <w:tcW w:w="626" w:type="dxa"/>
            <w:tcBorders/>
            <w:shd w:fill="FFFFFF" w:val="clear"/>
            <w:vAlign w:val="bottom"/>
          </w:tcPr>
          <w:p>
            <w:pPr>
              <w:pStyle w:val="TableContents"/>
              <w:spacing w:before="0" w:after="283"/>
              <w:jc w:val="right"/>
              <w:rPr>
                <w:rFonts w:ascii="Arial" w:hAnsi="Arial"/>
              </w:rPr>
            </w:pPr>
            <w:r>
              <w:rPr>
                <w:rFonts w:ascii="Arial" w:hAnsi="Arial"/>
              </w:rPr>
              <w:t>146</w:t>
            </w:r>
          </w:p>
        </w:tc>
        <w:tc>
          <w:tcPr>
            <w:tcW w:w="60" w:type="dxa"/>
            <w:tcBorders/>
            <w:shd w:fill="FFFFFF" w:val="clear"/>
            <w:vAlign w:val="center"/>
          </w:tcPr>
          <w:p>
            <w:pPr>
              <w:pStyle w:val="TableContents"/>
              <w:spacing w:before="0" w:after="283"/>
              <w:rPr/>
            </w:pPr>
            <w:r>
              <w:rPr/>
              <w:t> </w:t>
            </w:r>
          </w:p>
        </w:tc>
        <w:tc>
          <w:tcPr>
            <w:tcW w:w="522" w:type="dxa"/>
            <w:tcBorders/>
            <w:shd w:fill="FFFFFF" w:val="clear"/>
            <w:vAlign w:val="bottom"/>
          </w:tcPr>
          <w:p>
            <w:pPr>
              <w:pStyle w:val="TableContents"/>
              <w:spacing w:before="0" w:after="283"/>
              <w:jc w:val="right"/>
              <w:rPr/>
            </w:pPr>
            <w:r>
              <w:rPr/>
              <w:t>      </w:t>
            </w:r>
          </w:p>
        </w:tc>
        <w:tc>
          <w:tcPr>
            <w:tcW w:w="209" w:type="dxa"/>
            <w:tcBorders/>
            <w:shd w:fill="FFFFFF" w:val="clear"/>
            <w:vAlign w:val="center"/>
          </w:tcPr>
          <w:p>
            <w:pPr>
              <w:pStyle w:val="TableContents"/>
              <w:spacing w:before="0" w:after="283"/>
              <w:rPr/>
            </w:pPr>
            <w:r>
              <w:rPr/>
              <w:t> </w:t>
            </w:r>
          </w:p>
        </w:tc>
        <w:tc>
          <w:tcPr>
            <w:tcW w:w="626" w:type="dxa"/>
            <w:tcBorders/>
            <w:shd w:fill="FFFFFF" w:val="clear"/>
            <w:vAlign w:val="bottom"/>
          </w:tcPr>
          <w:p>
            <w:pPr>
              <w:pStyle w:val="TableContents"/>
              <w:spacing w:before="0" w:after="283"/>
              <w:jc w:val="right"/>
              <w:rPr>
                <w:rFonts w:ascii="Arial" w:hAnsi="Arial"/>
              </w:rPr>
            </w:pPr>
            <w:r>
              <w:rPr>
                <w:rFonts w:ascii="Arial" w:hAnsi="Arial"/>
              </w:rPr>
              <w:t>157</w:t>
            </w:r>
          </w:p>
        </w:tc>
        <w:tc>
          <w:tcPr>
            <w:tcW w:w="60" w:type="dxa"/>
            <w:tcBorders/>
            <w:shd w:fill="FFFFFF" w:val="clear"/>
            <w:vAlign w:val="center"/>
          </w:tcPr>
          <w:p>
            <w:pPr>
              <w:pStyle w:val="TableContents"/>
              <w:spacing w:before="0" w:after="283"/>
              <w:rPr/>
            </w:pPr>
            <w:r>
              <w:rPr/>
              <w:t> </w:t>
            </w:r>
          </w:p>
        </w:tc>
        <w:tc>
          <w:tcPr>
            <w:tcW w:w="522" w:type="dxa"/>
            <w:tcBorders/>
            <w:shd w:fill="FFFFFF" w:val="clear"/>
            <w:vAlign w:val="bottom"/>
          </w:tcPr>
          <w:p>
            <w:pPr>
              <w:pStyle w:val="TableContents"/>
              <w:spacing w:before="0" w:after="283"/>
              <w:jc w:val="right"/>
              <w:rPr/>
            </w:pPr>
            <w:r>
              <w:rPr/>
              <w:t>      </w:t>
            </w:r>
          </w:p>
        </w:tc>
        <w:tc>
          <w:tcPr>
            <w:tcW w:w="209" w:type="dxa"/>
            <w:tcBorders/>
            <w:shd w:fill="FFFFFF" w:val="clear"/>
            <w:vAlign w:val="center"/>
          </w:tcPr>
          <w:p>
            <w:pPr>
              <w:pStyle w:val="TableContents"/>
              <w:spacing w:before="0" w:after="283"/>
              <w:rPr/>
            </w:pPr>
            <w:r>
              <w:rPr/>
              <w:t> </w:t>
            </w:r>
          </w:p>
        </w:tc>
        <w:tc>
          <w:tcPr>
            <w:tcW w:w="626" w:type="dxa"/>
            <w:tcBorders/>
            <w:shd w:fill="FFFFFF" w:val="clear"/>
            <w:vAlign w:val="bottom"/>
          </w:tcPr>
          <w:p>
            <w:pPr>
              <w:pStyle w:val="TableContents"/>
              <w:spacing w:before="0" w:after="283"/>
              <w:jc w:val="right"/>
              <w:rPr>
                <w:rFonts w:ascii="Arial" w:hAnsi="Arial"/>
              </w:rPr>
            </w:pPr>
            <w:r>
              <w:rPr>
                <w:rFonts w:ascii="Arial" w:hAnsi="Arial"/>
              </w:rPr>
              <w:t>216</w:t>
            </w:r>
          </w:p>
        </w:tc>
        <w:tc>
          <w:tcPr>
            <w:tcW w:w="61" w:type="dxa"/>
            <w:tcBorders/>
            <w:shd w:fill="FFFFFF" w:val="clear"/>
            <w:vAlign w:val="center"/>
          </w:tcPr>
          <w:p>
            <w:pPr>
              <w:pStyle w:val="TableContents"/>
              <w:spacing w:before="0" w:after="283"/>
              <w:rPr/>
            </w:pPr>
            <w:r>
              <w:rPr/>
              <w:t> </w:t>
            </w:r>
          </w:p>
        </w:tc>
      </w:tr>
      <w:tr>
        <w:trPr/>
        <w:tc>
          <w:tcPr>
            <w:tcW w:w="417" w:type="dxa"/>
            <w:tcBorders/>
            <w:shd w:fill="E5FFFF" w:val="clear"/>
            <w:vAlign w:val="center"/>
          </w:tcPr>
          <w:p>
            <w:pPr>
              <w:pStyle w:val="TableContents"/>
              <w:spacing w:before="0" w:after="283"/>
              <w:rPr/>
            </w:pPr>
            <w:r>
              <w:rPr/>
              <w:t> </w:t>
            </w:r>
          </w:p>
        </w:tc>
        <w:tc>
          <w:tcPr>
            <w:tcW w:w="5746" w:type="dxa"/>
            <w:tcBorders/>
            <w:shd w:fill="E5FFFF" w:val="clear"/>
            <w:vAlign w:val="center"/>
          </w:tcPr>
          <w:p>
            <w:pPr>
              <w:pStyle w:val="TableContents"/>
              <w:spacing w:before="0" w:after="283"/>
              <w:rPr/>
            </w:pPr>
            <w:r>
              <w:rPr/>
              <w:t> </w:t>
            </w:r>
          </w:p>
        </w:tc>
        <w:tc>
          <w:tcPr>
            <w:tcW w:w="313" w:type="dxa"/>
            <w:tcBorders/>
            <w:shd w:fill="E5FFFF" w:val="clear"/>
            <w:vAlign w:val="bottom"/>
          </w:tcPr>
          <w:p>
            <w:pPr>
              <w:pStyle w:val="TableContents"/>
              <w:spacing w:before="0" w:after="283"/>
              <w:jc w:val="right"/>
              <w:rPr/>
            </w:pPr>
            <w:r>
              <w:rPr/>
              <w:t>    </w:t>
            </w:r>
          </w:p>
        </w:tc>
        <w:tc>
          <w:tcPr>
            <w:tcW w:w="208" w:type="dxa"/>
            <w:tcBorders/>
            <w:shd w:fill="E5FFFF" w:val="clear"/>
            <w:vAlign w:val="center"/>
          </w:tcPr>
          <w:p>
            <w:pPr>
              <w:pStyle w:val="TableContents"/>
              <w:spacing w:before="0" w:after="283"/>
              <w:rPr/>
            </w:pPr>
            <w:r>
              <w:rPr/>
              <w:t> </w:t>
            </w:r>
          </w:p>
        </w:tc>
        <w:tc>
          <w:tcPr>
            <w:tcW w:w="626" w:type="dxa"/>
            <w:tcBorders/>
            <w:shd w:fill="E5FFFF" w:val="clear"/>
            <w:vAlign w:val="bottom"/>
          </w:tcPr>
          <w:p>
            <w:pPr>
              <w:pStyle w:val="HorizontalLine"/>
              <w:pBdr>
                <w:bottom w:val="single" w:sz="6"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522" w:type="dxa"/>
            <w:tcBorders/>
            <w:shd w:fill="E5FFFF" w:val="clear"/>
            <w:vAlign w:val="bottom"/>
          </w:tcPr>
          <w:p>
            <w:pPr>
              <w:pStyle w:val="TableContents"/>
              <w:spacing w:before="0" w:after="283"/>
              <w:jc w:val="right"/>
              <w:rPr/>
            </w:pPr>
            <w:r>
              <w:rPr/>
              <w:t>      </w:t>
            </w:r>
          </w:p>
        </w:tc>
        <w:tc>
          <w:tcPr>
            <w:tcW w:w="209" w:type="dxa"/>
            <w:tcBorders/>
            <w:shd w:fill="E5FFFF" w:val="clear"/>
            <w:vAlign w:val="center"/>
          </w:tcPr>
          <w:p>
            <w:pPr>
              <w:pStyle w:val="TableContents"/>
              <w:spacing w:before="0" w:after="283"/>
              <w:rPr/>
            </w:pPr>
            <w:r>
              <w:rPr/>
              <w:t> </w:t>
            </w:r>
          </w:p>
        </w:tc>
        <w:tc>
          <w:tcPr>
            <w:tcW w:w="626" w:type="dxa"/>
            <w:tcBorders/>
            <w:shd w:fill="E5FFFF" w:val="clear"/>
            <w:vAlign w:val="bottom"/>
          </w:tcPr>
          <w:p>
            <w:pPr>
              <w:pStyle w:val="HorizontalLine"/>
              <w:pBdr>
                <w:bottom w:val="single" w:sz="6"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522" w:type="dxa"/>
            <w:tcBorders/>
            <w:shd w:fill="E5FFFF" w:val="clear"/>
            <w:vAlign w:val="bottom"/>
          </w:tcPr>
          <w:p>
            <w:pPr>
              <w:pStyle w:val="TableContents"/>
              <w:spacing w:before="0" w:after="283"/>
              <w:jc w:val="right"/>
              <w:rPr/>
            </w:pPr>
            <w:r>
              <w:rPr/>
              <w:t>      </w:t>
            </w:r>
          </w:p>
        </w:tc>
        <w:tc>
          <w:tcPr>
            <w:tcW w:w="209" w:type="dxa"/>
            <w:tcBorders/>
            <w:shd w:fill="E5FFFF" w:val="clear"/>
            <w:vAlign w:val="center"/>
          </w:tcPr>
          <w:p>
            <w:pPr>
              <w:pStyle w:val="TableContents"/>
              <w:spacing w:before="0" w:after="283"/>
              <w:rPr/>
            </w:pPr>
            <w:r>
              <w:rPr/>
              <w:t> </w:t>
            </w:r>
          </w:p>
        </w:tc>
        <w:tc>
          <w:tcPr>
            <w:tcW w:w="626" w:type="dxa"/>
            <w:tcBorders/>
            <w:shd w:fill="E5FFFF" w:val="clear"/>
            <w:vAlign w:val="bottom"/>
          </w:tcPr>
          <w:p>
            <w:pPr>
              <w:pStyle w:val="HorizontalLine"/>
              <w:pBdr>
                <w:bottom w:val="single" w:sz="6" w:space="0" w:color="000000"/>
              </w:pBdr>
              <w:spacing w:before="0" w:after="283"/>
              <w:rPr/>
            </w:pPr>
            <w:r>
              <w:rPr/>
            </w:r>
          </w:p>
        </w:tc>
        <w:tc>
          <w:tcPr>
            <w:tcW w:w="61" w:type="dxa"/>
            <w:tcBorders/>
            <w:shd w:fill="E5FFFF" w:val="clear"/>
            <w:vAlign w:val="center"/>
          </w:tcPr>
          <w:p>
            <w:pPr>
              <w:pStyle w:val="TableContents"/>
              <w:spacing w:before="0" w:after="283"/>
              <w:rPr/>
            </w:pPr>
            <w:r>
              <w:rPr/>
              <w:t> </w:t>
            </w:r>
          </w:p>
        </w:tc>
      </w:tr>
      <w:tr>
        <w:trPr/>
        <w:tc>
          <w:tcPr>
            <w:tcW w:w="417" w:type="dxa"/>
            <w:tcBorders/>
            <w:shd w:fill="FFFFFF" w:val="clear"/>
            <w:vAlign w:val="bottom"/>
          </w:tcPr>
          <w:p>
            <w:pPr>
              <w:pStyle w:val="TableContents"/>
              <w:spacing w:before="0" w:after="283"/>
              <w:jc w:val="left"/>
              <w:rPr/>
            </w:pPr>
            <w:r>
              <w:rPr/>
              <w:t>      </w:t>
            </w:r>
          </w:p>
        </w:tc>
        <w:tc>
          <w:tcPr>
            <w:tcW w:w="5746" w:type="dxa"/>
            <w:tcBorders/>
            <w:shd w:fill="FFFFFF" w:val="clear"/>
            <w:vAlign w:val="bottom"/>
          </w:tcPr>
          <w:p>
            <w:pPr>
              <w:pStyle w:val="TableContents"/>
              <w:spacing w:before="0" w:after="283"/>
              <w:jc w:val="left"/>
              <w:rPr>
                <w:rFonts w:ascii="Arial" w:hAnsi="Arial"/>
              </w:rPr>
            </w:pPr>
            <w:r>
              <w:rPr>
                <w:rFonts w:ascii="Arial" w:hAnsi="Arial"/>
              </w:rPr>
              <w:t xml:space="preserve">Total pension and other postretirement benefits expense </w:t>
              <w:br/>
              <w:t xml:space="preserve">(included in costs of products and services sold and selling, </w:t>
              <w:br/>
              <w:t>general and administrative expenses)</w:t>
            </w:r>
          </w:p>
        </w:tc>
        <w:tc>
          <w:tcPr>
            <w:tcW w:w="313"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jc w:val="right"/>
              <w:rPr>
                <w:rFonts w:ascii="Arial" w:hAnsi="Arial"/>
              </w:rPr>
            </w:pPr>
            <w:r>
              <w:rPr>
                <w:rFonts w:ascii="Arial" w:hAnsi="Arial"/>
              </w:rPr>
              <w:t>$</w:t>
            </w:r>
          </w:p>
        </w:tc>
        <w:tc>
          <w:tcPr>
            <w:tcW w:w="626" w:type="dxa"/>
            <w:tcBorders/>
            <w:shd w:fill="FFFFFF" w:val="clear"/>
            <w:vAlign w:val="bottom"/>
          </w:tcPr>
          <w:p>
            <w:pPr>
              <w:pStyle w:val="TableContents"/>
              <w:spacing w:before="0" w:after="283"/>
              <w:jc w:val="right"/>
              <w:rPr>
                <w:rFonts w:ascii="Arial" w:hAnsi="Arial"/>
              </w:rPr>
            </w:pPr>
            <w:r>
              <w:rPr>
                <w:rFonts w:ascii="Arial" w:hAnsi="Arial"/>
              </w:rPr>
              <w:t>459</w:t>
            </w:r>
          </w:p>
        </w:tc>
        <w:tc>
          <w:tcPr>
            <w:tcW w:w="60" w:type="dxa"/>
            <w:tcBorders/>
            <w:shd w:fill="FFFFFF" w:val="clear"/>
            <w:vAlign w:val="center"/>
          </w:tcPr>
          <w:p>
            <w:pPr>
              <w:pStyle w:val="TableContents"/>
              <w:spacing w:before="0" w:after="283"/>
              <w:rPr/>
            </w:pPr>
            <w:r>
              <w:rPr/>
              <w:t> </w:t>
            </w:r>
          </w:p>
        </w:tc>
        <w:tc>
          <w:tcPr>
            <w:tcW w:w="522" w:type="dxa"/>
            <w:tcBorders/>
            <w:shd w:fill="FFFFFF" w:val="clear"/>
            <w:vAlign w:val="bottom"/>
          </w:tcPr>
          <w:p>
            <w:pPr>
              <w:pStyle w:val="TableContents"/>
              <w:spacing w:before="0" w:after="283"/>
              <w:jc w:val="right"/>
              <w:rPr/>
            </w:pPr>
            <w:r>
              <w:rPr/>
              <w:t>      </w:t>
            </w:r>
          </w:p>
        </w:tc>
        <w:tc>
          <w:tcPr>
            <w:tcW w:w="209" w:type="dxa"/>
            <w:tcBorders/>
            <w:shd w:fill="FFFFFF" w:val="clear"/>
            <w:vAlign w:val="bottom"/>
          </w:tcPr>
          <w:p>
            <w:pPr>
              <w:pStyle w:val="TableContents"/>
              <w:spacing w:before="0" w:after="283"/>
              <w:jc w:val="right"/>
              <w:rPr>
                <w:rFonts w:ascii="Arial" w:hAnsi="Arial"/>
              </w:rPr>
            </w:pPr>
            <w:r>
              <w:rPr>
                <w:rFonts w:ascii="Arial" w:hAnsi="Arial"/>
              </w:rPr>
              <w:t>$</w:t>
            </w:r>
          </w:p>
        </w:tc>
        <w:tc>
          <w:tcPr>
            <w:tcW w:w="626" w:type="dxa"/>
            <w:tcBorders/>
            <w:shd w:fill="FFFFFF" w:val="clear"/>
            <w:vAlign w:val="bottom"/>
          </w:tcPr>
          <w:p>
            <w:pPr>
              <w:pStyle w:val="TableContents"/>
              <w:spacing w:before="0" w:after="283"/>
              <w:jc w:val="right"/>
              <w:rPr>
                <w:rFonts w:ascii="Arial" w:hAnsi="Arial"/>
              </w:rPr>
            </w:pPr>
            <w:r>
              <w:rPr>
                <w:rFonts w:ascii="Arial" w:hAnsi="Arial"/>
              </w:rPr>
              <w:t>561</w:t>
            </w:r>
          </w:p>
        </w:tc>
        <w:tc>
          <w:tcPr>
            <w:tcW w:w="60" w:type="dxa"/>
            <w:tcBorders/>
            <w:shd w:fill="FFFFFF" w:val="clear"/>
            <w:vAlign w:val="center"/>
          </w:tcPr>
          <w:p>
            <w:pPr>
              <w:pStyle w:val="TableContents"/>
              <w:spacing w:before="0" w:after="283"/>
              <w:rPr/>
            </w:pPr>
            <w:r>
              <w:rPr/>
              <w:t> </w:t>
            </w:r>
          </w:p>
        </w:tc>
        <w:tc>
          <w:tcPr>
            <w:tcW w:w="522" w:type="dxa"/>
            <w:tcBorders/>
            <w:shd w:fill="FFFFFF" w:val="clear"/>
            <w:vAlign w:val="bottom"/>
          </w:tcPr>
          <w:p>
            <w:pPr>
              <w:pStyle w:val="TableContents"/>
              <w:spacing w:before="0" w:after="283"/>
              <w:jc w:val="right"/>
              <w:rPr/>
            </w:pPr>
            <w:r>
              <w:rPr/>
              <w:t>      </w:t>
            </w:r>
          </w:p>
        </w:tc>
        <w:tc>
          <w:tcPr>
            <w:tcW w:w="209" w:type="dxa"/>
            <w:tcBorders/>
            <w:shd w:fill="FFFFFF" w:val="clear"/>
            <w:vAlign w:val="bottom"/>
          </w:tcPr>
          <w:p>
            <w:pPr>
              <w:pStyle w:val="TableContents"/>
              <w:spacing w:before="0" w:after="283"/>
              <w:jc w:val="right"/>
              <w:rPr>
                <w:rFonts w:ascii="Arial" w:hAnsi="Arial"/>
              </w:rPr>
            </w:pPr>
            <w:r>
              <w:rPr>
                <w:rFonts w:ascii="Arial" w:hAnsi="Arial"/>
              </w:rPr>
              <w:t>$</w:t>
            </w:r>
          </w:p>
        </w:tc>
        <w:tc>
          <w:tcPr>
            <w:tcW w:w="626" w:type="dxa"/>
            <w:tcBorders/>
            <w:shd w:fill="FFFFFF" w:val="clear"/>
            <w:vAlign w:val="bottom"/>
          </w:tcPr>
          <w:p>
            <w:pPr>
              <w:pStyle w:val="TableContents"/>
              <w:spacing w:before="0" w:after="283"/>
              <w:jc w:val="right"/>
              <w:rPr>
                <w:rFonts w:ascii="Arial" w:hAnsi="Arial"/>
              </w:rPr>
            </w:pPr>
            <w:r>
              <w:rPr>
                <w:rFonts w:ascii="Arial" w:hAnsi="Arial"/>
              </w:rPr>
              <w:t>628</w:t>
            </w:r>
          </w:p>
        </w:tc>
        <w:tc>
          <w:tcPr>
            <w:tcW w:w="61" w:type="dxa"/>
            <w:tcBorders/>
            <w:shd w:fill="FFFFFF" w:val="clear"/>
            <w:vAlign w:val="center"/>
          </w:tcPr>
          <w:p>
            <w:pPr>
              <w:pStyle w:val="TableContents"/>
              <w:spacing w:before="0" w:after="283"/>
              <w:rPr/>
            </w:pPr>
            <w:r>
              <w:rPr/>
              <w:t> </w:t>
            </w:r>
          </w:p>
        </w:tc>
      </w:tr>
      <w:tr>
        <w:trPr/>
        <w:tc>
          <w:tcPr>
            <w:tcW w:w="417" w:type="dxa"/>
            <w:tcBorders/>
            <w:shd w:fill="E5FFFF" w:val="clear"/>
            <w:vAlign w:val="center"/>
          </w:tcPr>
          <w:p>
            <w:pPr>
              <w:pStyle w:val="TableContents"/>
              <w:spacing w:before="0" w:after="283"/>
              <w:rPr/>
            </w:pPr>
            <w:r>
              <w:rPr/>
              <w:t> </w:t>
            </w:r>
          </w:p>
        </w:tc>
        <w:tc>
          <w:tcPr>
            <w:tcW w:w="5746" w:type="dxa"/>
            <w:tcBorders/>
            <w:shd w:fill="E5FFFF" w:val="clear"/>
            <w:vAlign w:val="center"/>
          </w:tcPr>
          <w:p>
            <w:pPr>
              <w:pStyle w:val="TableContents"/>
              <w:spacing w:before="0" w:after="283"/>
              <w:rPr/>
            </w:pPr>
            <w:r>
              <w:rPr/>
              <w:t> </w:t>
            </w:r>
          </w:p>
        </w:tc>
        <w:tc>
          <w:tcPr>
            <w:tcW w:w="313" w:type="dxa"/>
            <w:tcBorders/>
            <w:shd w:fill="E5FFFF" w:val="clear"/>
            <w:vAlign w:val="bottom"/>
          </w:tcPr>
          <w:p>
            <w:pPr>
              <w:pStyle w:val="TableContents"/>
              <w:spacing w:before="0" w:after="283"/>
              <w:jc w:val="right"/>
              <w:rPr/>
            </w:pPr>
            <w:r>
              <w:rPr/>
              <w:t>    </w:t>
            </w:r>
          </w:p>
        </w:tc>
        <w:tc>
          <w:tcPr>
            <w:tcW w:w="208" w:type="dxa"/>
            <w:tcBorders/>
            <w:shd w:fill="E5FFFF" w:val="clear"/>
            <w:vAlign w:val="center"/>
          </w:tcPr>
          <w:p>
            <w:pPr>
              <w:pStyle w:val="TableContents"/>
              <w:spacing w:before="0" w:after="283"/>
              <w:rPr/>
            </w:pPr>
            <w:r>
              <w:rPr/>
              <w:t> </w:t>
            </w:r>
          </w:p>
        </w:tc>
        <w:tc>
          <w:tcPr>
            <w:tcW w:w="626" w:type="dxa"/>
            <w:tcBorders/>
            <w:shd w:fill="E5FFFF" w:val="clear"/>
            <w:vAlign w:val="bottom"/>
          </w:tcPr>
          <w:p>
            <w:pPr>
              <w:pStyle w:val="HorizontalLine"/>
              <w:pBdr>
                <w:bottom w:val="single" w:sz="18"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522" w:type="dxa"/>
            <w:tcBorders/>
            <w:shd w:fill="E5FFFF" w:val="clear"/>
            <w:vAlign w:val="bottom"/>
          </w:tcPr>
          <w:p>
            <w:pPr>
              <w:pStyle w:val="TableContents"/>
              <w:spacing w:before="0" w:after="283"/>
              <w:jc w:val="right"/>
              <w:rPr/>
            </w:pPr>
            <w:r>
              <w:rPr/>
              <w:t>      </w:t>
            </w:r>
          </w:p>
        </w:tc>
        <w:tc>
          <w:tcPr>
            <w:tcW w:w="209" w:type="dxa"/>
            <w:tcBorders/>
            <w:shd w:fill="E5FFFF" w:val="clear"/>
            <w:vAlign w:val="center"/>
          </w:tcPr>
          <w:p>
            <w:pPr>
              <w:pStyle w:val="TableContents"/>
              <w:spacing w:before="0" w:after="283"/>
              <w:rPr/>
            </w:pPr>
            <w:r>
              <w:rPr/>
              <w:t> </w:t>
            </w:r>
          </w:p>
        </w:tc>
        <w:tc>
          <w:tcPr>
            <w:tcW w:w="626" w:type="dxa"/>
            <w:tcBorders/>
            <w:shd w:fill="E5FFFF" w:val="clear"/>
            <w:vAlign w:val="bottom"/>
          </w:tcPr>
          <w:p>
            <w:pPr>
              <w:pStyle w:val="HorizontalLine"/>
              <w:pBdr>
                <w:bottom w:val="single" w:sz="18"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522" w:type="dxa"/>
            <w:tcBorders/>
            <w:shd w:fill="E5FFFF" w:val="clear"/>
            <w:vAlign w:val="bottom"/>
          </w:tcPr>
          <w:p>
            <w:pPr>
              <w:pStyle w:val="TableContents"/>
              <w:spacing w:before="0" w:after="283"/>
              <w:jc w:val="right"/>
              <w:rPr/>
            </w:pPr>
            <w:r>
              <w:rPr/>
              <w:t>      </w:t>
            </w:r>
          </w:p>
        </w:tc>
        <w:tc>
          <w:tcPr>
            <w:tcW w:w="209" w:type="dxa"/>
            <w:tcBorders/>
            <w:shd w:fill="E5FFFF" w:val="clear"/>
            <w:vAlign w:val="center"/>
          </w:tcPr>
          <w:p>
            <w:pPr>
              <w:pStyle w:val="TableContents"/>
              <w:spacing w:before="0" w:after="283"/>
              <w:rPr/>
            </w:pPr>
            <w:r>
              <w:rPr/>
              <w:t> </w:t>
            </w:r>
          </w:p>
        </w:tc>
        <w:tc>
          <w:tcPr>
            <w:tcW w:w="626" w:type="dxa"/>
            <w:tcBorders/>
            <w:shd w:fill="E5FFFF" w:val="clear"/>
            <w:vAlign w:val="bottom"/>
          </w:tcPr>
          <w:p>
            <w:pPr>
              <w:pStyle w:val="HorizontalLine"/>
              <w:pBdr>
                <w:bottom w:val="single" w:sz="18" w:space="0" w:color="000000"/>
              </w:pBdr>
              <w:spacing w:before="0" w:after="283"/>
              <w:rPr/>
            </w:pPr>
            <w:r>
              <w:rPr/>
            </w:r>
          </w:p>
        </w:tc>
        <w:tc>
          <w:tcPr>
            <w:tcW w:w="61" w:type="dxa"/>
            <w:tcBorders/>
            <w:shd w:fill="E5FFFF" w:val="clear"/>
            <w:vAlign w:val="center"/>
          </w:tcPr>
          <w:p>
            <w:pPr>
              <w:pStyle w:val="TableContents"/>
              <w:spacing w:before="0" w:after="283"/>
              <w:rPr/>
            </w:pPr>
            <w:r>
              <w:rPr/>
              <w:t> </w:t>
            </w:r>
          </w:p>
        </w:tc>
      </w:tr>
      <w:tr>
        <w:trPr/>
        <w:tc>
          <w:tcPr>
            <w:tcW w:w="417" w:type="dxa"/>
            <w:tcBorders/>
            <w:shd w:fill="FFFFFF" w:val="clear"/>
            <w:vAlign w:val="bottom"/>
          </w:tcPr>
          <w:p>
            <w:pPr>
              <w:pStyle w:val="TableContents"/>
              <w:spacing w:before="0" w:after="283"/>
              <w:jc w:val="left"/>
              <w:rPr/>
            </w:pPr>
            <w:r>
              <w:rPr/>
              <w:t>      </w:t>
            </w:r>
          </w:p>
        </w:tc>
        <w:tc>
          <w:tcPr>
            <w:tcW w:w="5746" w:type="dxa"/>
            <w:tcBorders/>
            <w:shd w:fill="FFFFFF" w:val="clear"/>
            <w:vAlign w:val="bottom"/>
          </w:tcPr>
          <w:p>
            <w:pPr>
              <w:pStyle w:val="TableContents"/>
              <w:spacing w:before="0" w:after="283"/>
              <w:rPr>
                <w:sz w:val="4"/>
                <w:szCs w:val="4"/>
              </w:rPr>
            </w:pPr>
            <w:r>
              <w:rPr>
                <w:sz w:val="4"/>
                <w:szCs w:val="4"/>
              </w:rPr>
            </w:r>
          </w:p>
        </w:tc>
        <w:tc>
          <w:tcPr>
            <w:tcW w:w="313"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rPr/>
            </w:pPr>
            <w:r>
              <w:rPr/>
              <w:t> </w:t>
            </w:r>
          </w:p>
        </w:tc>
        <w:tc>
          <w:tcPr>
            <w:tcW w:w="6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22"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6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22"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626"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Pension expense decreased by 23 percent in 2006 compared to 2005 due principally to a decrease in the amortization of net losses, principally in our U.S. plans. Pension expense decreased by 2 percent in 2005 compared with 2004 due principally to a decrease in the amortization of net losses partially offset by pension expense for NOVAR, which was acquired in 2005.</w:t>
      </w:r>
    </w:p>
    <w:p>
      <w:pPr>
        <w:pStyle w:val="TextBody"/>
        <w:jc w:val="left"/>
        <w:rPr/>
      </w:pPr>
      <w:r>
        <w:rPr/>
        <w:t>      </w:t>
      </w:r>
      <w:r>
        <w:rPr>
          <w:rFonts w:ascii="Arial" w:hAnsi="Arial"/>
        </w:rPr>
        <w:t>Other postretirement benefits expense decreased by 7 percent in 2006 compared to 2005, due primarily to favorable demographic experience in the plan, and by 27 percent in 2005 compared with 2004, due primarily to the effect of implementing the Medicare Prescription Drug, Improvement and Modernization Act of 2003. See Note 22 to the financial statements for further discussion.</w:t>
      </w:r>
    </w:p>
    <w:p>
      <w:pPr>
        <w:pStyle w:val="TextBody"/>
        <w:jc w:val="center"/>
        <w:rPr>
          <w:rFonts w:ascii="Arial" w:hAnsi="Arial"/>
        </w:rPr>
      </w:pPr>
      <w:r>
        <w:rPr>
          <w:rFonts w:ascii="Arial" w:hAnsi="Arial"/>
        </w:rPr>
        <w:t>21</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Other (Income)/Expense</w:t>
      </w:r>
    </w:p>
    <w:tbl>
      <w:tblPr>
        <w:tblW w:w="5000" w:type="pct"/>
        <w:jc w:val="left"/>
        <w:tblInd w:w="0" w:type="dxa"/>
        <w:tblCellMar>
          <w:top w:w="0" w:type="dxa"/>
          <w:left w:w="0" w:type="dxa"/>
          <w:bottom w:w="0" w:type="dxa"/>
          <w:right w:w="0" w:type="dxa"/>
        </w:tblCellMar>
      </w:tblPr>
      <w:tblGrid>
        <w:gridCol w:w="608"/>
        <w:gridCol w:w="3946"/>
        <w:gridCol w:w="262"/>
        <w:gridCol w:w="191"/>
        <w:gridCol w:w="1220"/>
        <w:gridCol w:w="141"/>
        <w:gridCol w:w="363"/>
        <w:gridCol w:w="191"/>
        <w:gridCol w:w="1220"/>
        <w:gridCol w:w="141"/>
        <w:gridCol w:w="363"/>
        <w:gridCol w:w="191"/>
        <w:gridCol w:w="1219"/>
        <w:gridCol w:w="149"/>
      </w:tblGrid>
      <w:tr>
        <w:trPr/>
        <w:tc>
          <w:tcPr>
            <w:tcW w:w="608" w:type="dxa"/>
            <w:tcBorders/>
            <w:shd w:fill="FFFFFF" w:val="clear"/>
            <w:vAlign w:val="center"/>
          </w:tcPr>
          <w:p>
            <w:pPr>
              <w:pStyle w:val="TableContents"/>
              <w:spacing w:before="0" w:after="283"/>
              <w:rPr/>
            </w:pPr>
            <w:r>
              <w:rPr/>
              <w:t> </w:t>
            </w:r>
          </w:p>
        </w:tc>
        <w:tc>
          <w:tcPr>
            <w:tcW w:w="3946" w:type="dxa"/>
            <w:tcBorders/>
            <w:shd w:fill="FFFFFF" w:val="clear"/>
            <w:vAlign w:val="center"/>
          </w:tcPr>
          <w:p>
            <w:pPr>
              <w:pStyle w:val="TableContents"/>
              <w:spacing w:before="0" w:after="283"/>
              <w:rPr/>
            </w:pPr>
            <w:r>
              <w:rPr/>
              <w:t> </w:t>
            </w:r>
          </w:p>
        </w:tc>
        <w:tc>
          <w:tcPr>
            <w:tcW w:w="262" w:type="dxa"/>
            <w:tcBorders/>
            <w:shd w:fill="FFFFFF" w:val="clear"/>
            <w:vAlign w:val="center"/>
          </w:tcPr>
          <w:p>
            <w:pPr>
              <w:pStyle w:val="TableContents"/>
              <w:spacing w:before="0" w:after="283"/>
              <w:rPr/>
            </w:pPr>
            <w:r>
              <w:rPr/>
              <w:t> </w:t>
            </w:r>
          </w:p>
        </w:tc>
        <w:tc>
          <w:tcPr>
            <w:tcW w:w="155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63" w:type="dxa"/>
            <w:tcBorders/>
            <w:shd w:fill="FFFFFF" w:val="clear"/>
            <w:vAlign w:val="center"/>
          </w:tcPr>
          <w:p>
            <w:pPr>
              <w:pStyle w:val="TableContents"/>
              <w:spacing w:before="0" w:after="283"/>
              <w:rPr/>
            </w:pPr>
            <w:r>
              <w:rPr/>
              <w:t> </w:t>
            </w:r>
          </w:p>
        </w:tc>
        <w:tc>
          <w:tcPr>
            <w:tcW w:w="155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63" w:type="dxa"/>
            <w:tcBorders/>
            <w:shd w:fill="FFFFFF" w:val="clear"/>
            <w:vAlign w:val="center"/>
          </w:tcPr>
          <w:p>
            <w:pPr>
              <w:pStyle w:val="TableContents"/>
              <w:spacing w:before="0" w:after="283"/>
              <w:rPr/>
            </w:pPr>
            <w:r>
              <w:rPr/>
              <w:t> </w:t>
            </w:r>
          </w:p>
        </w:tc>
        <w:tc>
          <w:tcPr>
            <w:tcW w:w="1559"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08" w:type="dxa"/>
            <w:tcBorders/>
            <w:shd w:fill="FFFFFF" w:val="clear"/>
            <w:vAlign w:val="center"/>
          </w:tcPr>
          <w:p>
            <w:pPr>
              <w:pStyle w:val="TableContents"/>
              <w:spacing w:before="0" w:after="283"/>
              <w:rPr/>
            </w:pPr>
            <w:r>
              <w:rPr/>
              <w:t> </w:t>
            </w:r>
          </w:p>
        </w:tc>
        <w:tc>
          <w:tcPr>
            <w:tcW w:w="3946" w:type="dxa"/>
            <w:tcBorders/>
            <w:shd w:fill="FFFFFF" w:val="clear"/>
            <w:vAlign w:val="center"/>
          </w:tcPr>
          <w:p>
            <w:pPr>
              <w:pStyle w:val="TableContents"/>
              <w:spacing w:before="0" w:after="283"/>
              <w:rPr/>
            </w:pPr>
            <w:r>
              <w:rPr/>
              <w:t> </w:t>
            </w:r>
          </w:p>
        </w:tc>
        <w:tc>
          <w:tcPr>
            <w:tcW w:w="262" w:type="dxa"/>
            <w:tcBorders/>
            <w:shd w:fill="FFFFFF" w:val="clear"/>
            <w:vAlign w:val="center"/>
          </w:tcPr>
          <w:p>
            <w:pPr>
              <w:pStyle w:val="TableContents"/>
              <w:spacing w:before="0" w:after="283"/>
              <w:rPr/>
            </w:pPr>
            <w:r>
              <w:rPr/>
              <w:t> </w:t>
            </w:r>
          </w:p>
        </w:tc>
        <w:tc>
          <w:tcPr>
            <w:tcW w:w="5389"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08" w:type="dxa"/>
            <w:tcBorders/>
            <w:shd w:fill="FFFFFF" w:val="clear"/>
            <w:vAlign w:val="bottom"/>
          </w:tcPr>
          <w:p>
            <w:pPr>
              <w:pStyle w:val="TableContents"/>
              <w:spacing w:before="0" w:after="283"/>
              <w:jc w:val="left"/>
              <w:rPr/>
            </w:pPr>
            <w:r>
              <w:rPr/>
              <w:t>      </w:t>
            </w:r>
          </w:p>
        </w:tc>
        <w:tc>
          <w:tcPr>
            <w:tcW w:w="3946" w:type="dxa"/>
            <w:tcBorders/>
            <w:shd w:fill="FFFFFF" w:val="clear"/>
            <w:vAlign w:val="bottom"/>
          </w:tcPr>
          <w:p>
            <w:pPr>
              <w:pStyle w:val="TableContents"/>
              <w:spacing w:before="0" w:after="283"/>
              <w:jc w:val="left"/>
              <w:rPr>
                <w:rFonts w:ascii="Arial" w:hAnsi="Arial"/>
              </w:rPr>
            </w:pPr>
            <w:r>
              <w:rPr>
                <w:rFonts w:ascii="Arial" w:hAnsi="Arial"/>
              </w:rPr>
              <w:t>Gain on sale of non-strategic businesses and assets</w:t>
            </w:r>
          </w:p>
        </w:tc>
        <w:tc>
          <w:tcPr>
            <w:tcW w:w="262"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right"/>
              <w:rPr>
                <w:rFonts w:ascii="Arial" w:hAnsi="Arial"/>
              </w:rPr>
            </w:pPr>
            <w:r>
              <w:rPr>
                <w:rFonts w:ascii="Arial" w:hAnsi="Arial"/>
              </w:rPr>
              <w:t>$</w:t>
            </w:r>
          </w:p>
        </w:tc>
        <w:tc>
          <w:tcPr>
            <w:tcW w:w="1220" w:type="dxa"/>
            <w:tcBorders/>
            <w:shd w:fill="FFFFFF" w:val="clear"/>
            <w:vAlign w:val="bottom"/>
          </w:tcPr>
          <w:p>
            <w:pPr>
              <w:pStyle w:val="TableContents"/>
              <w:spacing w:before="0" w:after="283"/>
              <w:jc w:val="right"/>
              <w:rPr>
                <w:rFonts w:ascii="Arial" w:hAnsi="Arial"/>
              </w:rPr>
            </w:pPr>
            <w:r>
              <w:rPr>
                <w:rFonts w:ascii="Arial" w:hAnsi="Arial"/>
              </w:rPr>
              <w:t>(30</w:t>
            </w:r>
          </w:p>
        </w:tc>
        <w:tc>
          <w:tcPr>
            <w:tcW w:w="141" w:type="dxa"/>
            <w:tcBorders/>
            <w:shd w:fill="FFFFFF" w:val="clear"/>
            <w:vAlign w:val="bottom"/>
          </w:tcPr>
          <w:p>
            <w:pPr>
              <w:pStyle w:val="TableContents"/>
              <w:spacing w:before="0" w:after="283"/>
              <w:jc w:val="left"/>
              <w:rPr>
                <w:rFonts w:ascii="Arial" w:hAnsi="Arial"/>
              </w:rPr>
            </w:pPr>
            <w:r>
              <w:rPr>
                <w:rFonts w:ascii="Arial" w:hAnsi="Arial"/>
              </w:rPr>
              <w:t>)</w:t>
            </w:r>
          </w:p>
        </w:tc>
        <w:tc>
          <w:tcPr>
            <w:tcW w:w="363"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right"/>
              <w:rPr>
                <w:rFonts w:ascii="Arial" w:hAnsi="Arial"/>
              </w:rPr>
            </w:pPr>
            <w:r>
              <w:rPr>
                <w:rFonts w:ascii="Arial" w:hAnsi="Arial"/>
              </w:rPr>
              <w:t>$</w:t>
            </w:r>
          </w:p>
        </w:tc>
        <w:tc>
          <w:tcPr>
            <w:tcW w:w="1220" w:type="dxa"/>
            <w:tcBorders/>
            <w:shd w:fill="FFFFFF" w:val="clear"/>
            <w:vAlign w:val="bottom"/>
          </w:tcPr>
          <w:p>
            <w:pPr>
              <w:pStyle w:val="TableContents"/>
              <w:spacing w:before="0" w:after="283"/>
              <w:jc w:val="right"/>
              <w:rPr>
                <w:rFonts w:ascii="Arial" w:hAnsi="Arial"/>
              </w:rPr>
            </w:pPr>
            <w:r>
              <w:rPr>
                <w:rFonts w:ascii="Arial" w:hAnsi="Arial"/>
              </w:rPr>
              <w:t>(36</w:t>
            </w:r>
          </w:p>
        </w:tc>
        <w:tc>
          <w:tcPr>
            <w:tcW w:w="141" w:type="dxa"/>
            <w:tcBorders/>
            <w:shd w:fill="FFFFFF" w:val="clear"/>
            <w:vAlign w:val="bottom"/>
          </w:tcPr>
          <w:p>
            <w:pPr>
              <w:pStyle w:val="TableContents"/>
              <w:spacing w:before="0" w:after="283"/>
              <w:jc w:val="left"/>
              <w:rPr>
                <w:rFonts w:ascii="Arial" w:hAnsi="Arial"/>
              </w:rPr>
            </w:pPr>
            <w:r>
              <w:rPr>
                <w:rFonts w:ascii="Arial" w:hAnsi="Arial"/>
              </w:rPr>
              <w:t>)</w:t>
            </w:r>
          </w:p>
        </w:tc>
        <w:tc>
          <w:tcPr>
            <w:tcW w:w="363"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right"/>
              <w:rPr>
                <w:rFonts w:ascii="Arial" w:hAnsi="Arial"/>
              </w:rPr>
            </w:pPr>
            <w:r>
              <w:rPr>
                <w:rFonts w:ascii="Arial" w:hAnsi="Arial"/>
              </w:rPr>
              <w:t>$</w:t>
            </w:r>
          </w:p>
        </w:tc>
        <w:tc>
          <w:tcPr>
            <w:tcW w:w="1219" w:type="dxa"/>
            <w:tcBorders/>
            <w:shd w:fill="FFFFFF" w:val="clear"/>
            <w:vAlign w:val="bottom"/>
          </w:tcPr>
          <w:p>
            <w:pPr>
              <w:pStyle w:val="TableContents"/>
              <w:spacing w:before="0" w:after="283"/>
              <w:jc w:val="right"/>
              <w:rPr>
                <w:rFonts w:ascii="Arial" w:hAnsi="Arial"/>
              </w:rPr>
            </w:pPr>
            <w:r>
              <w:rPr>
                <w:rFonts w:ascii="Arial" w:hAnsi="Arial"/>
              </w:rPr>
              <w:t>(255</w:t>
            </w:r>
          </w:p>
        </w:tc>
        <w:tc>
          <w:tcPr>
            <w:tcW w:w="14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08" w:type="dxa"/>
            <w:tcBorders/>
            <w:shd w:fill="E5FFFF" w:val="clear"/>
            <w:vAlign w:val="bottom"/>
          </w:tcPr>
          <w:p>
            <w:pPr>
              <w:pStyle w:val="TableContents"/>
              <w:spacing w:before="0" w:after="283"/>
              <w:jc w:val="left"/>
              <w:rPr/>
            </w:pPr>
            <w:r>
              <w:rPr/>
              <w:t>      </w:t>
            </w:r>
          </w:p>
        </w:tc>
        <w:tc>
          <w:tcPr>
            <w:tcW w:w="3946" w:type="dxa"/>
            <w:tcBorders/>
            <w:shd w:fill="E5FFFF" w:val="clear"/>
            <w:vAlign w:val="bottom"/>
          </w:tcPr>
          <w:p>
            <w:pPr>
              <w:pStyle w:val="TableContents"/>
              <w:spacing w:before="0" w:after="283"/>
              <w:jc w:val="left"/>
              <w:rPr>
                <w:rFonts w:ascii="Arial" w:hAnsi="Arial"/>
              </w:rPr>
            </w:pPr>
            <w:r>
              <w:rPr>
                <w:rFonts w:ascii="Arial" w:hAnsi="Arial"/>
              </w:rPr>
              <w:t>Equity (income)/loss of affiliated companies</w:t>
            </w:r>
          </w:p>
        </w:tc>
        <w:tc>
          <w:tcPr>
            <w:tcW w:w="262"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TableContents"/>
              <w:spacing w:before="0" w:after="283"/>
              <w:jc w:val="right"/>
              <w:rPr>
                <w:rFonts w:ascii="Arial" w:hAnsi="Arial"/>
              </w:rPr>
            </w:pPr>
            <w:r>
              <w:rPr>
                <w:rFonts w:ascii="Arial" w:hAnsi="Arial"/>
              </w:rPr>
              <w:t>(13</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TableContents"/>
              <w:spacing w:before="0" w:after="283"/>
              <w:jc w:val="right"/>
              <w:rPr>
                <w:rFonts w:ascii="Arial" w:hAnsi="Arial"/>
              </w:rPr>
            </w:pPr>
            <w:r>
              <w:rPr>
                <w:rFonts w:ascii="Arial" w:hAnsi="Arial"/>
              </w:rPr>
              <w:t>(134</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TableContents"/>
              <w:spacing w:before="0" w:after="283"/>
              <w:jc w:val="right"/>
              <w:rPr>
                <w:rFonts w:ascii="Arial" w:hAnsi="Arial"/>
              </w:rPr>
            </w:pPr>
            <w:r>
              <w:rPr>
                <w:rFonts w:ascii="Arial" w:hAnsi="Arial"/>
              </w:rPr>
              <w:t>(82</w:t>
            </w:r>
          </w:p>
        </w:tc>
        <w:tc>
          <w:tcPr>
            <w:tcW w:w="149"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08" w:type="dxa"/>
            <w:tcBorders/>
            <w:shd w:fill="FFFFFF" w:val="clear"/>
            <w:vAlign w:val="bottom"/>
          </w:tcPr>
          <w:p>
            <w:pPr>
              <w:pStyle w:val="TableContents"/>
              <w:spacing w:before="0" w:after="283"/>
              <w:jc w:val="left"/>
              <w:rPr/>
            </w:pPr>
            <w:r>
              <w:rPr/>
              <w:t>      </w:t>
            </w:r>
          </w:p>
        </w:tc>
        <w:tc>
          <w:tcPr>
            <w:tcW w:w="3946" w:type="dxa"/>
            <w:tcBorders/>
            <w:shd w:fill="FFFFFF" w:val="clear"/>
            <w:vAlign w:val="bottom"/>
          </w:tcPr>
          <w:p>
            <w:pPr>
              <w:pStyle w:val="TableContents"/>
              <w:spacing w:before="0" w:after="283"/>
              <w:jc w:val="left"/>
              <w:rPr>
                <w:rFonts w:ascii="Arial" w:hAnsi="Arial"/>
              </w:rPr>
            </w:pPr>
            <w:r>
              <w:rPr>
                <w:rFonts w:ascii="Arial" w:hAnsi="Arial"/>
              </w:rPr>
              <w:t>Interest income</w:t>
            </w:r>
          </w:p>
        </w:tc>
        <w:tc>
          <w:tcPr>
            <w:tcW w:w="262" w:type="dxa"/>
            <w:tcBorders/>
            <w:shd w:fill="FFFFFF" w:val="clear"/>
            <w:vAlign w:val="bottom"/>
          </w:tcPr>
          <w:p>
            <w:pPr>
              <w:pStyle w:val="TableContents"/>
              <w:spacing w:before="0" w:after="283"/>
              <w:jc w:val="right"/>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bottom"/>
          </w:tcPr>
          <w:p>
            <w:pPr>
              <w:pStyle w:val="TableContents"/>
              <w:spacing w:before="0" w:after="283"/>
              <w:jc w:val="right"/>
              <w:rPr>
                <w:rFonts w:ascii="Arial" w:hAnsi="Arial"/>
              </w:rPr>
            </w:pPr>
            <w:r>
              <w:rPr>
                <w:rFonts w:ascii="Arial" w:hAnsi="Arial"/>
              </w:rPr>
              <w:t>(94</w:t>
            </w:r>
          </w:p>
        </w:tc>
        <w:tc>
          <w:tcPr>
            <w:tcW w:w="141" w:type="dxa"/>
            <w:tcBorders/>
            <w:shd w:fill="FFFFFF" w:val="clear"/>
            <w:vAlign w:val="bottom"/>
          </w:tcPr>
          <w:p>
            <w:pPr>
              <w:pStyle w:val="TableContents"/>
              <w:spacing w:before="0" w:after="283"/>
              <w:jc w:val="left"/>
              <w:rPr>
                <w:rFonts w:ascii="Arial" w:hAnsi="Arial"/>
              </w:rPr>
            </w:pPr>
            <w:r>
              <w:rPr>
                <w:rFonts w:ascii="Arial" w:hAnsi="Arial"/>
              </w:rPr>
              <w:t>)</w:t>
            </w:r>
          </w:p>
        </w:tc>
        <w:tc>
          <w:tcPr>
            <w:tcW w:w="363" w:type="dxa"/>
            <w:tcBorders/>
            <w:shd w:fill="FFFFFF" w:val="clear"/>
            <w:vAlign w:val="bottom"/>
          </w:tcPr>
          <w:p>
            <w:pPr>
              <w:pStyle w:val="TableContents"/>
              <w:spacing w:before="0" w:after="283"/>
              <w:jc w:val="right"/>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bottom"/>
          </w:tcPr>
          <w:p>
            <w:pPr>
              <w:pStyle w:val="TableContents"/>
              <w:spacing w:before="0" w:after="283"/>
              <w:jc w:val="right"/>
              <w:rPr>
                <w:rFonts w:ascii="Arial" w:hAnsi="Arial"/>
              </w:rPr>
            </w:pPr>
            <w:r>
              <w:rPr>
                <w:rFonts w:ascii="Arial" w:hAnsi="Arial"/>
              </w:rPr>
              <w:t>(84</w:t>
            </w:r>
          </w:p>
        </w:tc>
        <w:tc>
          <w:tcPr>
            <w:tcW w:w="141" w:type="dxa"/>
            <w:tcBorders/>
            <w:shd w:fill="FFFFFF" w:val="clear"/>
            <w:vAlign w:val="bottom"/>
          </w:tcPr>
          <w:p>
            <w:pPr>
              <w:pStyle w:val="TableContents"/>
              <w:spacing w:before="0" w:after="283"/>
              <w:jc w:val="left"/>
              <w:rPr>
                <w:rFonts w:ascii="Arial" w:hAnsi="Arial"/>
              </w:rPr>
            </w:pPr>
            <w:r>
              <w:rPr>
                <w:rFonts w:ascii="Arial" w:hAnsi="Arial"/>
              </w:rPr>
              <w:t>)</w:t>
            </w:r>
          </w:p>
        </w:tc>
        <w:tc>
          <w:tcPr>
            <w:tcW w:w="363" w:type="dxa"/>
            <w:tcBorders/>
            <w:shd w:fill="FFFFFF" w:val="clear"/>
            <w:vAlign w:val="bottom"/>
          </w:tcPr>
          <w:p>
            <w:pPr>
              <w:pStyle w:val="TableContents"/>
              <w:spacing w:before="0" w:after="283"/>
              <w:jc w:val="right"/>
              <w:rPr/>
            </w:pPr>
            <w:r>
              <w:rPr/>
              <w:t>      </w:t>
            </w:r>
          </w:p>
        </w:tc>
        <w:tc>
          <w:tcPr>
            <w:tcW w:w="191"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(100</w:t>
            </w:r>
          </w:p>
        </w:tc>
        <w:tc>
          <w:tcPr>
            <w:tcW w:w="14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08" w:type="dxa"/>
            <w:tcBorders/>
            <w:shd w:fill="E5FFFF" w:val="clear"/>
            <w:vAlign w:val="bottom"/>
          </w:tcPr>
          <w:p>
            <w:pPr>
              <w:pStyle w:val="TableContents"/>
              <w:spacing w:before="0" w:after="283"/>
              <w:jc w:val="left"/>
              <w:rPr/>
            </w:pPr>
            <w:r>
              <w:rPr/>
              <w:t>      </w:t>
            </w:r>
          </w:p>
        </w:tc>
        <w:tc>
          <w:tcPr>
            <w:tcW w:w="3946" w:type="dxa"/>
            <w:tcBorders/>
            <w:shd w:fill="E5FFFF" w:val="clear"/>
            <w:vAlign w:val="bottom"/>
          </w:tcPr>
          <w:p>
            <w:pPr>
              <w:pStyle w:val="TableContents"/>
              <w:spacing w:before="0" w:after="283"/>
              <w:jc w:val="left"/>
              <w:rPr>
                <w:rFonts w:ascii="Arial" w:hAnsi="Arial"/>
              </w:rPr>
            </w:pPr>
            <w:r>
              <w:rPr>
                <w:rFonts w:ascii="Arial" w:hAnsi="Arial"/>
              </w:rPr>
              <w:t>Foreign exchange</w:t>
            </w:r>
          </w:p>
        </w:tc>
        <w:tc>
          <w:tcPr>
            <w:tcW w:w="262"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TableContents"/>
              <w:spacing w:before="0" w:after="283"/>
              <w:jc w:val="right"/>
              <w:rPr>
                <w:rFonts w:ascii="Arial" w:hAnsi="Arial"/>
              </w:rPr>
            </w:pPr>
            <w:r>
              <w:rPr>
                <w:rFonts w:ascii="Arial" w:hAnsi="Arial"/>
              </w:rPr>
              <w:t>18</w:t>
            </w:r>
          </w:p>
        </w:tc>
        <w:tc>
          <w:tcPr>
            <w:tcW w:w="141" w:type="dxa"/>
            <w:tcBorders/>
            <w:shd w:fill="E5FFFF" w:val="clear"/>
            <w:vAlign w:val="center"/>
          </w:tcPr>
          <w:p>
            <w:pPr>
              <w:pStyle w:val="TableContents"/>
              <w:spacing w:before="0" w:after="283"/>
              <w:rPr/>
            </w:pPr>
            <w:r>
              <w:rPr/>
              <w:t> </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TableContents"/>
              <w:spacing w:before="0" w:after="283"/>
              <w:jc w:val="right"/>
              <w:rPr>
                <w:rFonts w:ascii="Arial" w:hAnsi="Arial"/>
              </w:rPr>
            </w:pPr>
            <w:r>
              <w:rPr>
                <w:rFonts w:ascii="Arial" w:hAnsi="Arial"/>
              </w:rPr>
              <w:t>21</w:t>
            </w:r>
          </w:p>
        </w:tc>
        <w:tc>
          <w:tcPr>
            <w:tcW w:w="141" w:type="dxa"/>
            <w:tcBorders/>
            <w:shd w:fill="E5FFFF" w:val="clear"/>
            <w:vAlign w:val="center"/>
          </w:tcPr>
          <w:p>
            <w:pPr>
              <w:pStyle w:val="TableContents"/>
              <w:spacing w:before="0" w:after="283"/>
              <w:rPr/>
            </w:pPr>
            <w:r>
              <w:rPr/>
              <w:t> </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TableContents"/>
              <w:spacing w:before="0" w:after="283"/>
              <w:jc w:val="right"/>
              <w:rPr>
                <w:rFonts w:ascii="Arial" w:hAnsi="Arial"/>
              </w:rPr>
            </w:pPr>
            <w:r>
              <w:rPr>
                <w:rFonts w:ascii="Arial" w:hAnsi="Arial"/>
              </w:rPr>
              <w:t>28</w:t>
            </w:r>
          </w:p>
        </w:tc>
        <w:tc>
          <w:tcPr>
            <w:tcW w:w="149" w:type="dxa"/>
            <w:tcBorders/>
            <w:shd w:fill="E5FFFF" w:val="clear"/>
            <w:vAlign w:val="center"/>
          </w:tcPr>
          <w:p>
            <w:pPr>
              <w:pStyle w:val="TableContents"/>
              <w:spacing w:before="0" w:after="283"/>
              <w:rPr/>
            </w:pPr>
            <w:r>
              <w:rPr/>
              <w:t> </w:t>
            </w:r>
          </w:p>
        </w:tc>
      </w:tr>
      <w:tr>
        <w:trPr/>
        <w:tc>
          <w:tcPr>
            <w:tcW w:w="608" w:type="dxa"/>
            <w:tcBorders/>
            <w:shd w:fill="auto" w:val="clear"/>
            <w:vAlign w:val="bottom"/>
          </w:tcPr>
          <w:p>
            <w:pPr>
              <w:pStyle w:val="TableContents"/>
              <w:spacing w:before="0" w:after="283"/>
              <w:jc w:val="left"/>
              <w:rPr/>
            </w:pPr>
            <w:r>
              <w:rPr/>
              <w:t>      </w:t>
            </w:r>
          </w:p>
        </w:tc>
        <w:tc>
          <w:tcPr>
            <w:tcW w:w="3946" w:type="dxa"/>
            <w:tcBorders/>
            <w:shd w:fill="auto" w:val="clear"/>
            <w:vAlign w:val="bottom"/>
          </w:tcPr>
          <w:p>
            <w:pPr>
              <w:pStyle w:val="TableContents"/>
              <w:spacing w:before="0" w:after="283"/>
              <w:jc w:val="left"/>
              <w:rPr>
                <w:rFonts w:ascii="Arial" w:hAnsi="Arial"/>
              </w:rPr>
            </w:pPr>
            <w:r>
              <w:rPr>
                <w:rFonts w:ascii="Arial" w:hAnsi="Arial"/>
              </w:rPr>
              <w:t>Other (net)</w:t>
            </w:r>
          </w:p>
        </w:tc>
        <w:tc>
          <w:tcPr>
            <w:tcW w:w="262" w:type="dxa"/>
            <w:tcBorders/>
            <w:shd w:fill="auto" w:val="clear"/>
            <w:vAlign w:val="bottom"/>
          </w:tcPr>
          <w:p>
            <w:pPr>
              <w:pStyle w:val="TableContents"/>
              <w:spacing w:before="0" w:after="283"/>
              <w:jc w:val="right"/>
              <w:rPr/>
            </w:pPr>
            <w:r>
              <w:rPr/>
              <w:t>    </w:t>
            </w:r>
          </w:p>
        </w:tc>
        <w:tc>
          <w:tcPr>
            <w:tcW w:w="191" w:type="dxa"/>
            <w:tcBorders/>
            <w:shd w:fill="auto" w:val="clear"/>
            <w:vAlign w:val="center"/>
          </w:tcPr>
          <w:p>
            <w:pPr>
              <w:pStyle w:val="TableContents"/>
              <w:spacing w:before="0" w:after="283"/>
              <w:rPr/>
            </w:pPr>
            <w:r>
              <w:rPr/>
              <w:t> </w:t>
            </w:r>
          </w:p>
        </w:tc>
        <w:tc>
          <w:tcPr>
            <w:tcW w:w="1220" w:type="dxa"/>
            <w:tcBorders/>
            <w:shd w:fill="auto" w:val="clear"/>
            <w:vAlign w:val="bottom"/>
          </w:tcPr>
          <w:p>
            <w:pPr>
              <w:pStyle w:val="TableContents"/>
              <w:spacing w:before="0" w:after="283"/>
              <w:jc w:val="right"/>
              <w:rPr>
                <w:rFonts w:ascii="Arial" w:hAnsi="Arial"/>
              </w:rPr>
            </w:pPr>
            <w:r>
              <w:rPr>
                <w:rFonts w:ascii="Arial" w:hAnsi="Arial"/>
              </w:rPr>
              <w:t>8</w:t>
            </w:r>
          </w:p>
        </w:tc>
        <w:tc>
          <w:tcPr>
            <w:tcW w:w="141"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      </w:t>
            </w:r>
          </w:p>
        </w:tc>
        <w:tc>
          <w:tcPr>
            <w:tcW w:w="191" w:type="dxa"/>
            <w:tcBorders/>
            <w:shd w:fill="auto" w:val="clear"/>
            <w:vAlign w:val="center"/>
          </w:tcPr>
          <w:p>
            <w:pPr>
              <w:pStyle w:val="TableContents"/>
              <w:spacing w:before="0" w:after="283"/>
              <w:rPr/>
            </w:pPr>
            <w:r>
              <w:rPr/>
              <w:t> </w:t>
            </w:r>
          </w:p>
        </w:tc>
        <w:tc>
          <w:tcPr>
            <w:tcW w:w="1220" w:type="dxa"/>
            <w:tcBorders/>
            <w:shd w:fill="auto" w:val="clear"/>
            <w:vAlign w:val="bottom"/>
          </w:tcPr>
          <w:p>
            <w:pPr>
              <w:pStyle w:val="TableContents"/>
              <w:spacing w:before="0" w:after="283"/>
              <w:jc w:val="right"/>
              <w:rPr>
                <w:rFonts w:ascii="Arial" w:hAnsi="Arial"/>
              </w:rPr>
            </w:pPr>
            <w:r>
              <w:rPr>
                <w:rFonts w:ascii="Arial" w:hAnsi="Arial"/>
              </w:rPr>
              <w:t>2</w:t>
            </w:r>
          </w:p>
        </w:tc>
        <w:tc>
          <w:tcPr>
            <w:tcW w:w="141"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      </w:t>
            </w:r>
          </w:p>
        </w:tc>
        <w:tc>
          <w:tcPr>
            <w:tcW w:w="191" w:type="dxa"/>
            <w:tcBorders/>
            <w:shd w:fill="auto" w:val="clear"/>
            <w:vAlign w:val="center"/>
          </w:tcPr>
          <w:p>
            <w:pPr>
              <w:pStyle w:val="TableContents"/>
              <w:spacing w:before="0" w:after="283"/>
              <w:rPr/>
            </w:pPr>
            <w:r>
              <w:rPr/>
              <w:t> </w:t>
            </w:r>
          </w:p>
        </w:tc>
        <w:tc>
          <w:tcPr>
            <w:tcW w:w="1219" w:type="dxa"/>
            <w:tcBorders/>
            <w:shd w:fill="auto" w:val="clear"/>
            <w:vAlign w:val="bottom"/>
          </w:tcPr>
          <w:p>
            <w:pPr>
              <w:pStyle w:val="TableContents"/>
              <w:spacing w:before="0" w:after="283"/>
              <w:jc w:val="right"/>
              <w:rPr>
                <w:rFonts w:ascii="Arial" w:hAnsi="Arial"/>
              </w:rPr>
            </w:pPr>
            <w:r>
              <w:rPr>
                <w:rFonts w:ascii="Arial" w:hAnsi="Arial"/>
              </w:rPr>
              <w:t>(20</w:t>
            </w:r>
          </w:p>
        </w:tc>
        <w:tc>
          <w:tcPr>
            <w:tcW w:w="149" w:type="dxa"/>
            <w:tcBorders/>
            <w:shd w:fill="auto" w:val="clear"/>
            <w:vAlign w:val="bottom"/>
          </w:tcPr>
          <w:p>
            <w:pPr>
              <w:pStyle w:val="TableContents"/>
              <w:spacing w:before="0" w:after="283"/>
              <w:jc w:val="left"/>
              <w:rPr>
                <w:rFonts w:ascii="Arial" w:hAnsi="Arial"/>
              </w:rPr>
            </w:pPr>
            <w:r>
              <w:rPr>
                <w:rFonts w:ascii="Arial" w:hAnsi="Arial"/>
              </w:rPr>
              <w:t>)</w:t>
            </w:r>
          </w:p>
        </w:tc>
      </w:tr>
      <w:tr>
        <w:trPr/>
        <w:tc>
          <w:tcPr>
            <w:tcW w:w="608" w:type="dxa"/>
            <w:tcBorders/>
            <w:shd w:fill="E5FFFF" w:val="clear"/>
            <w:vAlign w:val="center"/>
          </w:tcPr>
          <w:p>
            <w:pPr>
              <w:pStyle w:val="TableContents"/>
              <w:spacing w:before="0" w:after="283"/>
              <w:rPr/>
            </w:pPr>
            <w:r>
              <w:rPr/>
              <w:t> </w:t>
            </w:r>
          </w:p>
        </w:tc>
        <w:tc>
          <w:tcPr>
            <w:tcW w:w="3946" w:type="dxa"/>
            <w:tcBorders/>
            <w:shd w:fill="E5FFFF" w:val="clear"/>
            <w:vAlign w:val="center"/>
          </w:tcPr>
          <w:p>
            <w:pPr>
              <w:pStyle w:val="TableContents"/>
              <w:spacing w:before="0" w:after="283"/>
              <w:rPr/>
            </w:pPr>
            <w:r>
              <w:rPr/>
              <w:t> </w:t>
            </w:r>
          </w:p>
        </w:tc>
        <w:tc>
          <w:tcPr>
            <w:tcW w:w="262"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HorizontalLine"/>
              <w:pBdr>
                <w:bottom w:val="single" w:sz="6" w:space="0" w:color="000000"/>
              </w:pBdr>
              <w:spacing w:before="0" w:after="283"/>
              <w:rPr/>
            </w:pPr>
            <w:r>
              <w:rPr/>
            </w:r>
          </w:p>
        </w:tc>
        <w:tc>
          <w:tcPr>
            <w:tcW w:w="149" w:type="dxa"/>
            <w:tcBorders/>
            <w:shd w:fill="E5FFFF" w:val="clear"/>
            <w:vAlign w:val="center"/>
          </w:tcPr>
          <w:p>
            <w:pPr>
              <w:pStyle w:val="TableContents"/>
              <w:spacing w:before="0" w:after="283"/>
              <w:rPr/>
            </w:pPr>
            <w:r>
              <w:rPr/>
              <w:t> </w:t>
            </w:r>
          </w:p>
        </w:tc>
      </w:tr>
      <w:tr>
        <w:trPr/>
        <w:tc>
          <w:tcPr>
            <w:tcW w:w="608" w:type="dxa"/>
            <w:tcBorders/>
            <w:shd w:fill="auto" w:val="clear"/>
            <w:vAlign w:val="bottom"/>
          </w:tcPr>
          <w:p>
            <w:pPr>
              <w:pStyle w:val="TableContents"/>
              <w:spacing w:before="0" w:after="283"/>
              <w:jc w:val="left"/>
              <w:rPr/>
            </w:pPr>
            <w:r>
              <w:rPr/>
              <w:t>      </w:t>
            </w:r>
          </w:p>
        </w:tc>
        <w:tc>
          <w:tcPr>
            <w:tcW w:w="3946" w:type="dxa"/>
            <w:tcBorders/>
            <w:shd w:fill="auto" w:val="clear"/>
            <w:vAlign w:val="bottom"/>
          </w:tcPr>
          <w:p>
            <w:pPr>
              <w:pStyle w:val="TableContents"/>
              <w:spacing w:before="0" w:after="283"/>
              <w:jc w:val="left"/>
              <w:rPr>
                <w:rFonts w:ascii="Arial" w:hAnsi="Arial"/>
              </w:rPr>
            </w:pPr>
            <w:r>
              <w:rPr>
                <w:rFonts w:ascii="Arial" w:hAnsi="Arial"/>
              </w:rPr>
              <w:t>Total</w:t>
            </w:r>
          </w:p>
        </w:tc>
        <w:tc>
          <w:tcPr>
            <w:tcW w:w="262"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right"/>
              <w:rPr>
                <w:rFonts w:ascii="Arial" w:hAnsi="Arial"/>
              </w:rPr>
            </w:pPr>
            <w:r>
              <w:rPr>
                <w:rFonts w:ascii="Arial" w:hAnsi="Arial"/>
              </w:rPr>
              <w:t>$</w:t>
            </w:r>
          </w:p>
        </w:tc>
        <w:tc>
          <w:tcPr>
            <w:tcW w:w="1220" w:type="dxa"/>
            <w:tcBorders/>
            <w:shd w:fill="auto" w:val="clear"/>
            <w:vAlign w:val="bottom"/>
          </w:tcPr>
          <w:p>
            <w:pPr>
              <w:pStyle w:val="TableContents"/>
              <w:spacing w:before="0" w:after="283"/>
              <w:jc w:val="right"/>
              <w:rPr>
                <w:rFonts w:ascii="Arial" w:hAnsi="Arial"/>
              </w:rPr>
            </w:pPr>
            <w:r>
              <w:rPr>
                <w:rFonts w:ascii="Arial" w:hAnsi="Arial"/>
              </w:rPr>
              <w:t>(111</w:t>
            </w:r>
          </w:p>
        </w:tc>
        <w:tc>
          <w:tcPr>
            <w:tcW w:w="141" w:type="dxa"/>
            <w:tcBorders/>
            <w:shd w:fill="auto" w:val="clear"/>
            <w:vAlign w:val="bottom"/>
          </w:tcPr>
          <w:p>
            <w:pPr>
              <w:pStyle w:val="TableContents"/>
              <w:spacing w:before="0" w:after="283"/>
              <w:jc w:val="left"/>
              <w:rPr>
                <w:rFonts w:ascii="Arial" w:hAnsi="Arial"/>
              </w:rPr>
            </w:pPr>
            <w:r>
              <w:rPr>
                <w:rFonts w:ascii="Arial" w:hAnsi="Arial"/>
              </w:rPr>
              <w:t>)</w:t>
            </w:r>
          </w:p>
        </w:tc>
        <w:tc>
          <w:tcPr>
            <w:tcW w:w="363"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right"/>
              <w:rPr>
                <w:rFonts w:ascii="Arial" w:hAnsi="Arial"/>
              </w:rPr>
            </w:pPr>
            <w:r>
              <w:rPr>
                <w:rFonts w:ascii="Arial" w:hAnsi="Arial"/>
              </w:rPr>
              <w:t>$</w:t>
            </w:r>
          </w:p>
        </w:tc>
        <w:tc>
          <w:tcPr>
            <w:tcW w:w="1220" w:type="dxa"/>
            <w:tcBorders/>
            <w:shd w:fill="auto" w:val="clear"/>
            <w:vAlign w:val="bottom"/>
          </w:tcPr>
          <w:p>
            <w:pPr>
              <w:pStyle w:val="TableContents"/>
              <w:spacing w:before="0" w:after="283"/>
              <w:jc w:val="right"/>
              <w:rPr>
                <w:rFonts w:ascii="Arial" w:hAnsi="Arial"/>
              </w:rPr>
            </w:pPr>
            <w:r>
              <w:rPr>
                <w:rFonts w:ascii="Arial" w:hAnsi="Arial"/>
              </w:rPr>
              <w:t>(231</w:t>
            </w:r>
          </w:p>
        </w:tc>
        <w:tc>
          <w:tcPr>
            <w:tcW w:w="141" w:type="dxa"/>
            <w:tcBorders/>
            <w:shd w:fill="auto" w:val="clear"/>
            <w:vAlign w:val="bottom"/>
          </w:tcPr>
          <w:p>
            <w:pPr>
              <w:pStyle w:val="TableContents"/>
              <w:spacing w:before="0" w:after="283"/>
              <w:jc w:val="left"/>
              <w:rPr>
                <w:rFonts w:ascii="Arial" w:hAnsi="Arial"/>
              </w:rPr>
            </w:pPr>
            <w:r>
              <w:rPr>
                <w:rFonts w:ascii="Arial" w:hAnsi="Arial"/>
              </w:rPr>
              <w:t>)</w:t>
            </w:r>
          </w:p>
        </w:tc>
        <w:tc>
          <w:tcPr>
            <w:tcW w:w="363"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right"/>
              <w:rPr>
                <w:rFonts w:ascii="Arial" w:hAnsi="Arial"/>
              </w:rPr>
            </w:pPr>
            <w:r>
              <w:rPr>
                <w:rFonts w:ascii="Arial" w:hAnsi="Arial"/>
              </w:rPr>
              <w:t>$</w:t>
            </w:r>
          </w:p>
        </w:tc>
        <w:tc>
          <w:tcPr>
            <w:tcW w:w="1219" w:type="dxa"/>
            <w:tcBorders/>
            <w:shd w:fill="auto" w:val="clear"/>
            <w:vAlign w:val="bottom"/>
          </w:tcPr>
          <w:p>
            <w:pPr>
              <w:pStyle w:val="TableContents"/>
              <w:spacing w:before="0" w:after="283"/>
              <w:jc w:val="right"/>
              <w:rPr>
                <w:rFonts w:ascii="Arial" w:hAnsi="Arial"/>
              </w:rPr>
            </w:pPr>
            <w:r>
              <w:rPr>
                <w:rFonts w:ascii="Arial" w:hAnsi="Arial"/>
              </w:rPr>
              <w:t>(429</w:t>
            </w:r>
          </w:p>
        </w:tc>
        <w:tc>
          <w:tcPr>
            <w:tcW w:w="149" w:type="dxa"/>
            <w:tcBorders/>
            <w:shd w:fill="auto" w:val="clear"/>
            <w:vAlign w:val="bottom"/>
          </w:tcPr>
          <w:p>
            <w:pPr>
              <w:pStyle w:val="TableContents"/>
              <w:spacing w:before="0" w:after="283"/>
              <w:jc w:val="left"/>
              <w:rPr>
                <w:rFonts w:ascii="Arial" w:hAnsi="Arial"/>
              </w:rPr>
            </w:pPr>
            <w:r>
              <w:rPr>
                <w:rFonts w:ascii="Arial" w:hAnsi="Arial"/>
              </w:rPr>
              <w:t>)</w:t>
            </w:r>
          </w:p>
        </w:tc>
      </w:tr>
      <w:tr>
        <w:trPr/>
        <w:tc>
          <w:tcPr>
            <w:tcW w:w="608" w:type="dxa"/>
            <w:tcBorders/>
            <w:shd w:fill="E5FFFF" w:val="clear"/>
            <w:vAlign w:val="center"/>
          </w:tcPr>
          <w:p>
            <w:pPr>
              <w:pStyle w:val="TableContents"/>
              <w:spacing w:before="0" w:after="283"/>
              <w:rPr/>
            </w:pPr>
            <w:r>
              <w:rPr/>
              <w:t> </w:t>
            </w:r>
          </w:p>
        </w:tc>
        <w:tc>
          <w:tcPr>
            <w:tcW w:w="3946" w:type="dxa"/>
            <w:tcBorders/>
            <w:shd w:fill="E5FFFF" w:val="clear"/>
            <w:vAlign w:val="center"/>
          </w:tcPr>
          <w:p>
            <w:pPr>
              <w:pStyle w:val="TableContents"/>
              <w:spacing w:before="0" w:after="283"/>
              <w:rPr/>
            </w:pPr>
            <w:r>
              <w:rPr/>
              <w:t> </w:t>
            </w:r>
          </w:p>
        </w:tc>
        <w:tc>
          <w:tcPr>
            <w:tcW w:w="262"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HorizontalLine"/>
              <w:pBdr>
                <w:bottom w:val="single" w:sz="18"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20" w:type="dxa"/>
            <w:tcBorders/>
            <w:shd w:fill="E5FFFF" w:val="clear"/>
            <w:vAlign w:val="bottom"/>
          </w:tcPr>
          <w:p>
            <w:pPr>
              <w:pStyle w:val="HorizontalLine"/>
              <w:pBdr>
                <w:bottom w:val="single" w:sz="18"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363" w:type="dxa"/>
            <w:tcBorders/>
            <w:shd w:fill="E5FFFF" w:val="clear"/>
            <w:vAlign w:val="bottom"/>
          </w:tcPr>
          <w:p>
            <w:pPr>
              <w:pStyle w:val="TableContents"/>
              <w:spacing w:before="0" w:after="283"/>
              <w:jc w:val="right"/>
              <w:rPr/>
            </w:pPr>
            <w:r>
              <w:rPr/>
              <w:t>      </w:t>
            </w:r>
          </w:p>
        </w:tc>
        <w:tc>
          <w:tcPr>
            <w:tcW w:w="191"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HorizontalLine"/>
              <w:pBdr>
                <w:bottom w:val="single" w:sz="18" w:space="0" w:color="000000"/>
              </w:pBdr>
              <w:spacing w:before="0" w:after="283"/>
              <w:rPr/>
            </w:pPr>
            <w:r>
              <w:rPr/>
            </w:r>
          </w:p>
        </w:tc>
        <w:tc>
          <w:tcPr>
            <w:tcW w:w="149" w:type="dxa"/>
            <w:tcBorders/>
            <w:shd w:fill="E5FFFF" w:val="clear"/>
            <w:vAlign w:val="center"/>
          </w:tcPr>
          <w:p>
            <w:pPr>
              <w:pStyle w:val="TableContents"/>
              <w:spacing w:before="0" w:after="283"/>
              <w:rPr/>
            </w:pPr>
            <w:r>
              <w:rPr/>
              <w:t> </w:t>
            </w:r>
          </w:p>
        </w:tc>
      </w:tr>
      <w:tr>
        <w:trPr/>
        <w:tc>
          <w:tcPr>
            <w:tcW w:w="608" w:type="dxa"/>
            <w:tcBorders/>
            <w:shd w:fill="FFFFFF" w:val="clear"/>
            <w:vAlign w:val="bottom"/>
          </w:tcPr>
          <w:p>
            <w:pPr>
              <w:pStyle w:val="TableContents"/>
              <w:spacing w:before="0" w:after="283"/>
              <w:jc w:val="left"/>
              <w:rPr/>
            </w:pPr>
            <w:r>
              <w:rPr/>
              <w:t>      </w:t>
            </w:r>
          </w:p>
        </w:tc>
        <w:tc>
          <w:tcPr>
            <w:tcW w:w="3946" w:type="dxa"/>
            <w:tcBorders/>
            <w:shd w:fill="FFFFFF" w:val="clear"/>
            <w:vAlign w:val="bottom"/>
          </w:tcPr>
          <w:p>
            <w:pPr>
              <w:pStyle w:val="TableContents"/>
              <w:spacing w:before="0" w:after="283"/>
              <w:rPr>
                <w:sz w:val="4"/>
                <w:szCs w:val="4"/>
              </w:rPr>
            </w:pPr>
            <w:r>
              <w:rPr>
                <w:sz w:val="4"/>
                <w:szCs w:val="4"/>
              </w:rPr>
            </w:r>
          </w:p>
        </w:tc>
        <w:tc>
          <w:tcPr>
            <w:tcW w:w="26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363"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363"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121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Other income decreased by $120 million, or 52 percent in 2006 compared to 2005 primarily due to a $121 million reduction in equity income of affiliated companies primarily related to UOP, following our acquisition of full ownership of UOP in November 2005. In 2005, other income decreased by $198 million compared to 2004, or 46 percent compared to 2004 primarily as a result of pretax gains on the sales of our Security Monitoring and VCSEL Optical Products businesses of $215 and $36 million, respectively, and recognition of a gain of $27 million related to the favorable settlement of a patent infringement lawsuit.</w:t>
      </w:r>
    </w:p>
    <w:p>
      <w:pPr>
        <w:pStyle w:val="TextBody"/>
        <w:jc w:val="left"/>
        <w:rPr>
          <w:rFonts w:ascii="Arial" w:hAnsi="Arial"/>
          <w:b/>
        </w:rPr>
      </w:pPr>
      <w:r>
        <w:rPr>
          <w:rFonts w:ascii="Arial" w:hAnsi="Arial"/>
          <w:b/>
        </w:rPr>
        <w:t>Interest and Other Financial Charges</w:t>
      </w:r>
    </w:p>
    <w:tbl>
      <w:tblPr>
        <w:tblW w:w="5000" w:type="pct"/>
        <w:jc w:val="left"/>
        <w:tblInd w:w="0" w:type="dxa"/>
        <w:tblCellMar>
          <w:top w:w="0" w:type="dxa"/>
          <w:left w:w="0" w:type="dxa"/>
          <w:bottom w:w="0" w:type="dxa"/>
          <w:right w:w="0" w:type="dxa"/>
        </w:tblCellMar>
      </w:tblPr>
      <w:tblGrid>
        <w:gridCol w:w="621"/>
        <w:gridCol w:w="3804"/>
        <w:gridCol w:w="264"/>
        <w:gridCol w:w="193"/>
        <w:gridCol w:w="1192"/>
        <w:gridCol w:w="256"/>
        <w:gridCol w:w="364"/>
        <w:gridCol w:w="193"/>
        <w:gridCol w:w="1192"/>
        <w:gridCol w:w="255"/>
        <w:gridCol w:w="364"/>
        <w:gridCol w:w="193"/>
        <w:gridCol w:w="1192"/>
        <w:gridCol w:w="122"/>
      </w:tblGrid>
      <w:tr>
        <w:trPr/>
        <w:tc>
          <w:tcPr>
            <w:tcW w:w="621" w:type="dxa"/>
            <w:tcBorders/>
            <w:shd w:fill="FFFFFF" w:val="clear"/>
            <w:vAlign w:val="center"/>
          </w:tcPr>
          <w:p>
            <w:pPr>
              <w:pStyle w:val="TableContents"/>
              <w:spacing w:before="0" w:after="283"/>
              <w:rPr/>
            </w:pPr>
            <w:r>
              <w:rPr/>
              <w:t> </w:t>
            </w:r>
          </w:p>
        </w:tc>
        <w:tc>
          <w:tcPr>
            <w:tcW w:w="3804"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641"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64" w:type="dxa"/>
            <w:tcBorders/>
            <w:shd w:fill="FFFFFF" w:val="clear"/>
            <w:vAlign w:val="center"/>
          </w:tcPr>
          <w:p>
            <w:pPr>
              <w:pStyle w:val="TableContents"/>
              <w:spacing w:before="0" w:after="283"/>
              <w:rPr/>
            </w:pPr>
            <w:r>
              <w:rPr/>
              <w:t> </w:t>
            </w:r>
          </w:p>
        </w:tc>
        <w:tc>
          <w:tcPr>
            <w:tcW w:w="164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64" w:type="dxa"/>
            <w:tcBorders/>
            <w:shd w:fill="FFFFFF" w:val="clear"/>
            <w:vAlign w:val="center"/>
          </w:tcPr>
          <w:p>
            <w:pPr>
              <w:pStyle w:val="TableContents"/>
              <w:spacing w:before="0" w:after="283"/>
              <w:rPr/>
            </w:pPr>
            <w:r>
              <w:rPr/>
              <w:t> </w:t>
            </w:r>
          </w:p>
        </w:tc>
        <w:tc>
          <w:tcPr>
            <w:tcW w:w="1507"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21" w:type="dxa"/>
            <w:tcBorders/>
            <w:shd w:fill="FFFFFF" w:val="clear"/>
            <w:vAlign w:val="center"/>
          </w:tcPr>
          <w:p>
            <w:pPr>
              <w:pStyle w:val="TableContents"/>
              <w:spacing w:before="0" w:after="283"/>
              <w:rPr/>
            </w:pPr>
            <w:r>
              <w:rPr/>
              <w:t> </w:t>
            </w:r>
          </w:p>
        </w:tc>
        <w:tc>
          <w:tcPr>
            <w:tcW w:w="3804"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5516"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21" w:type="dxa"/>
            <w:tcBorders/>
            <w:shd w:fill="E5FFFF" w:val="clear"/>
            <w:vAlign w:val="bottom"/>
          </w:tcPr>
          <w:p>
            <w:pPr>
              <w:pStyle w:val="TableContents"/>
              <w:spacing w:before="0" w:after="283"/>
              <w:jc w:val="left"/>
              <w:rPr/>
            </w:pPr>
            <w:r>
              <w:rPr/>
              <w:t>      </w:t>
            </w:r>
          </w:p>
        </w:tc>
        <w:tc>
          <w:tcPr>
            <w:tcW w:w="3804" w:type="dxa"/>
            <w:tcBorders/>
            <w:shd w:fill="E5FFFF" w:val="clear"/>
            <w:vAlign w:val="bottom"/>
          </w:tcPr>
          <w:p>
            <w:pPr>
              <w:pStyle w:val="TableContents"/>
              <w:spacing w:before="0" w:after="283"/>
              <w:jc w:val="left"/>
              <w:rPr>
                <w:rFonts w:ascii="Arial" w:hAnsi="Arial"/>
              </w:rPr>
            </w:pPr>
            <w:r>
              <w:rPr>
                <w:rFonts w:ascii="Arial" w:hAnsi="Arial"/>
              </w:rPr>
              <w:t>Interest and other financial charges</w:t>
            </w:r>
          </w:p>
        </w:tc>
        <w:tc>
          <w:tcPr>
            <w:tcW w:w="264"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1192" w:type="dxa"/>
            <w:tcBorders/>
            <w:shd w:fill="E5FFFF" w:val="clear"/>
            <w:vAlign w:val="bottom"/>
          </w:tcPr>
          <w:p>
            <w:pPr>
              <w:pStyle w:val="TableContents"/>
              <w:spacing w:before="0" w:after="283"/>
              <w:jc w:val="right"/>
              <w:rPr>
                <w:rFonts w:ascii="Arial" w:hAnsi="Arial"/>
              </w:rPr>
            </w:pPr>
            <w:r>
              <w:rPr>
                <w:rFonts w:ascii="Arial" w:hAnsi="Arial"/>
              </w:rPr>
              <w:t>374</w:t>
            </w:r>
          </w:p>
        </w:tc>
        <w:tc>
          <w:tcPr>
            <w:tcW w:w="256" w:type="dxa"/>
            <w:tcBorders/>
            <w:shd w:fill="E5FFFF" w:val="clear"/>
            <w:vAlign w:val="center"/>
          </w:tcPr>
          <w:p>
            <w:pPr>
              <w:pStyle w:val="TableContents"/>
              <w:spacing w:before="0" w:after="283"/>
              <w:rPr/>
            </w:pPr>
            <w:r>
              <w:rPr/>
              <w:t> </w:t>
            </w:r>
          </w:p>
        </w:tc>
        <w:tc>
          <w:tcPr>
            <w:tcW w:w="364"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1192" w:type="dxa"/>
            <w:tcBorders/>
            <w:shd w:fill="E5FFFF" w:val="clear"/>
            <w:vAlign w:val="bottom"/>
          </w:tcPr>
          <w:p>
            <w:pPr>
              <w:pStyle w:val="TableContents"/>
              <w:spacing w:before="0" w:after="283"/>
              <w:jc w:val="right"/>
              <w:rPr>
                <w:rFonts w:ascii="Arial" w:hAnsi="Arial"/>
              </w:rPr>
            </w:pPr>
            <w:r>
              <w:rPr>
                <w:rFonts w:ascii="Arial" w:hAnsi="Arial"/>
              </w:rPr>
              <w:t>356</w:t>
            </w:r>
          </w:p>
        </w:tc>
        <w:tc>
          <w:tcPr>
            <w:tcW w:w="255" w:type="dxa"/>
            <w:tcBorders/>
            <w:shd w:fill="E5FFFF" w:val="clear"/>
            <w:vAlign w:val="center"/>
          </w:tcPr>
          <w:p>
            <w:pPr>
              <w:pStyle w:val="TableContents"/>
              <w:spacing w:before="0" w:after="283"/>
              <w:rPr/>
            </w:pPr>
            <w:r>
              <w:rPr/>
              <w:t> </w:t>
            </w:r>
          </w:p>
        </w:tc>
        <w:tc>
          <w:tcPr>
            <w:tcW w:w="364"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1192" w:type="dxa"/>
            <w:tcBorders/>
            <w:shd w:fill="E5FFFF" w:val="clear"/>
            <w:vAlign w:val="bottom"/>
          </w:tcPr>
          <w:p>
            <w:pPr>
              <w:pStyle w:val="TableContents"/>
              <w:spacing w:before="0" w:after="283"/>
              <w:jc w:val="right"/>
              <w:rPr>
                <w:rFonts w:ascii="Arial" w:hAnsi="Arial"/>
              </w:rPr>
            </w:pPr>
            <w:r>
              <w:rPr>
                <w:rFonts w:ascii="Arial" w:hAnsi="Arial"/>
              </w:rPr>
              <w:t>331</w:t>
            </w:r>
          </w:p>
        </w:tc>
        <w:tc>
          <w:tcPr>
            <w:tcW w:w="122" w:type="dxa"/>
            <w:tcBorders/>
            <w:shd w:fill="E5FFFF" w:val="clear"/>
            <w:vAlign w:val="center"/>
          </w:tcPr>
          <w:p>
            <w:pPr>
              <w:pStyle w:val="TableContents"/>
              <w:spacing w:before="0" w:after="283"/>
              <w:rPr/>
            </w:pPr>
            <w:r>
              <w:rPr/>
              <w:t> </w:t>
            </w:r>
          </w:p>
        </w:tc>
      </w:tr>
      <w:tr>
        <w:trPr/>
        <w:tc>
          <w:tcPr>
            <w:tcW w:w="621" w:type="dxa"/>
            <w:tcBorders/>
            <w:shd w:fill="FFFFFF" w:val="clear"/>
            <w:vAlign w:val="bottom"/>
          </w:tcPr>
          <w:p>
            <w:pPr>
              <w:pStyle w:val="TableContents"/>
              <w:spacing w:before="0" w:after="283"/>
              <w:jc w:val="left"/>
              <w:rPr/>
            </w:pPr>
            <w:r>
              <w:rPr/>
              <w:t>      </w:t>
            </w:r>
          </w:p>
        </w:tc>
        <w:tc>
          <w:tcPr>
            <w:tcW w:w="3804"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264"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1192" w:type="dxa"/>
            <w:tcBorders/>
            <w:shd w:fill="FFFFFF" w:val="clear"/>
            <w:vAlign w:val="bottom"/>
          </w:tcPr>
          <w:p>
            <w:pPr>
              <w:pStyle w:val="TableContents"/>
              <w:spacing w:before="0" w:after="283"/>
              <w:jc w:val="right"/>
              <w:rPr>
                <w:rFonts w:ascii="Arial" w:hAnsi="Arial"/>
              </w:rPr>
            </w:pPr>
            <w:r>
              <w:rPr>
                <w:rFonts w:ascii="Arial" w:hAnsi="Arial"/>
              </w:rPr>
              <w:t>5</w:t>
            </w:r>
          </w:p>
        </w:tc>
        <w:tc>
          <w:tcPr>
            <w:tcW w:w="256" w:type="dxa"/>
            <w:tcBorders/>
            <w:shd w:fill="FFFFFF" w:val="clear"/>
            <w:vAlign w:val="bottom"/>
          </w:tcPr>
          <w:p>
            <w:pPr>
              <w:pStyle w:val="TableContents"/>
              <w:spacing w:before="0" w:after="283"/>
              <w:jc w:val="left"/>
              <w:rPr>
                <w:rFonts w:ascii="Arial" w:hAnsi="Arial"/>
              </w:rPr>
            </w:pPr>
            <w:r>
              <w:rPr>
                <w:rFonts w:ascii="Arial" w:hAnsi="Arial"/>
              </w:rPr>
              <w:t>%</w:t>
            </w:r>
          </w:p>
        </w:tc>
        <w:tc>
          <w:tcPr>
            <w:tcW w:w="364"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1192" w:type="dxa"/>
            <w:tcBorders/>
            <w:shd w:fill="FFFFFF" w:val="clear"/>
            <w:vAlign w:val="bottom"/>
          </w:tcPr>
          <w:p>
            <w:pPr>
              <w:pStyle w:val="TableContents"/>
              <w:spacing w:before="0" w:after="283"/>
              <w:jc w:val="right"/>
              <w:rPr>
                <w:rFonts w:ascii="Arial" w:hAnsi="Arial"/>
              </w:rPr>
            </w:pPr>
            <w:r>
              <w:rPr>
                <w:rFonts w:ascii="Arial" w:hAnsi="Arial"/>
              </w:rPr>
              <w:t>8</w:t>
            </w:r>
          </w:p>
        </w:tc>
        <w:tc>
          <w:tcPr>
            <w:tcW w:w="255" w:type="dxa"/>
            <w:tcBorders/>
            <w:shd w:fill="FFFFFF" w:val="clear"/>
            <w:vAlign w:val="bottom"/>
          </w:tcPr>
          <w:p>
            <w:pPr>
              <w:pStyle w:val="TableContents"/>
              <w:spacing w:before="0" w:after="283"/>
              <w:jc w:val="left"/>
              <w:rPr>
                <w:rFonts w:ascii="Arial" w:hAnsi="Arial"/>
              </w:rPr>
            </w:pPr>
            <w:r>
              <w:rPr>
                <w:rFonts w:ascii="Arial" w:hAnsi="Arial"/>
              </w:rPr>
              <w:t>%</w:t>
            </w:r>
          </w:p>
        </w:tc>
        <w:tc>
          <w:tcPr>
            <w:tcW w:w="364"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192"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r>
      <w:tr>
        <w:trPr/>
        <w:tc>
          <w:tcPr>
            <w:tcW w:w="621" w:type="dxa"/>
            <w:tcBorders/>
            <w:shd w:fill="FFFFFF" w:val="clear"/>
            <w:vAlign w:val="bottom"/>
          </w:tcPr>
          <w:p>
            <w:pPr>
              <w:pStyle w:val="TableContents"/>
              <w:spacing w:before="0" w:after="283"/>
              <w:jc w:val="left"/>
              <w:rPr/>
            </w:pPr>
            <w:r>
              <w:rPr/>
              <w:t>      </w:t>
            </w:r>
          </w:p>
        </w:tc>
        <w:tc>
          <w:tcPr>
            <w:tcW w:w="3804" w:type="dxa"/>
            <w:tcBorders/>
            <w:shd w:fill="FFFFFF" w:val="clear"/>
            <w:vAlign w:val="bottom"/>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192"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364"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192"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364"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1192"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Interest and other financial charges increased by 5 percent in 2006 compared with 2005 due to higher debt balances and higher borrowing costs, and increased by 8 percent in 2005 compared with 2004 due to both higher average short-term debt outstanding and higher interest rates in 2005.</w:t>
      </w:r>
    </w:p>
    <w:p>
      <w:pPr>
        <w:pStyle w:val="TextBody"/>
        <w:jc w:val="left"/>
        <w:rPr>
          <w:rFonts w:ascii="Arial" w:hAnsi="Arial"/>
          <w:b/>
        </w:rPr>
      </w:pPr>
      <w:r>
        <w:rPr>
          <w:rFonts w:ascii="Arial" w:hAnsi="Arial"/>
          <w:b/>
        </w:rPr>
        <w:t>Tax Expense</w:t>
      </w:r>
    </w:p>
    <w:tbl>
      <w:tblPr>
        <w:tblW w:w="5000" w:type="pct"/>
        <w:jc w:val="left"/>
        <w:tblInd w:w="0" w:type="dxa"/>
        <w:tblCellMar>
          <w:top w:w="0" w:type="dxa"/>
          <w:left w:w="0" w:type="dxa"/>
          <w:bottom w:w="0" w:type="dxa"/>
          <w:right w:w="0" w:type="dxa"/>
        </w:tblCellMar>
      </w:tblPr>
      <w:tblGrid>
        <w:gridCol w:w="612"/>
        <w:gridCol w:w="3605"/>
        <w:gridCol w:w="262"/>
        <w:gridCol w:w="191"/>
        <w:gridCol w:w="1220"/>
        <w:gridCol w:w="254"/>
        <w:gridCol w:w="362"/>
        <w:gridCol w:w="191"/>
        <w:gridCol w:w="1220"/>
        <w:gridCol w:w="254"/>
        <w:gridCol w:w="362"/>
        <w:gridCol w:w="190"/>
        <w:gridCol w:w="1220"/>
        <w:gridCol w:w="262"/>
      </w:tblGrid>
      <w:tr>
        <w:trPr/>
        <w:tc>
          <w:tcPr>
            <w:tcW w:w="612" w:type="dxa"/>
            <w:tcBorders/>
            <w:shd w:fill="FFFFFF" w:val="clear"/>
            <w:vAlign w:val="center"/>
          </w:tcPr>
          <w:p>
            <w:pPr>
              <w:pStyle w:val="TableContents"/>
              <w:spacing w:before="0" w:after="283"/>
              <w:rPr/>
            </w:pPr>
            <w:r>
              <w:rPr/>
              <w:t> </w:t>
            </w:r>
          </w:p>
        </w:tc>
        <w:tc>
          <w:tcPr>
            <w:tcW w:w="3605" w:type="dxa"/>
            <w:tcBorders/>
            <w:shd w:fill="FFFFFF" w:val="clear"/>
            <w:vAlign w:val="center"/>
          </w:tcPr>
          <w:p>
            <w:pPr>
              <w:pStyle w:val="TableContents"/>
              <w:spacing w:before="0" w:after="283"/>
              <w:rPr/>
            </w:pPr>
            <w:r>
              <w:rPr/>
              <w:t> </w:t>
            </w:r>
          </w:p>
        </w:tc>
        <w:tc>
          <w:tcPr>
            <w:tcW w:w="262" w:type="dxa"/>
            <w:tcBorders/>
            <w:shd w:fill="FFFFFF" w:val="clear"/>
            <w:vAlign w:val="center"/>
          </w:tcPr>
          <w:p>
            <w:pPr>
              <w:pStyle w:val="TableContents"/>
              <w:spacing w:before="0" w:after="283"/>
              <w:rPr/>
            </w:pPr>
            <w:r>
              <w:rPr/>
              <w:t> </w:t>
            </w:r>
          </w:p>
        </w:tc>
        <w:tc>
          <w:tcPr>
            <w:tcW w:w="166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62" w:type="dxa"/>
            <w:tcBorders/>
            <w:shd w:fill="FFFFFF" w:val="clear"/>
            <w:vAlign w:val="center"/>
          </w:tcPr>
          <w:p>
            <w:pPr>
              <w:pStyle w:val="TableContents"/>
              <w:spacing w:before="0" w:after="283"/>
              <w:rPr/>
            </w:pPr>
            <w:r>
              <w:rPr/>
              <w:t> </w:t>
            </w:r>
          </w:p>
        </w:tc>
        <w:tc>
          <w:tcPr>
            <w:tcW w:w="166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62" w:type="dxa"/>
            <w:tcBorders/>
            <w:shd w:fill="FFFFFF" w:val="clear"/>
            <w:vAlign w:val="center"/>
          </w:tcPr>
          <w:p>
            <w:pPr>
              <w:pStyle w:val="TableContents"/>
              <w:spacing w:before="0" w:after="283"/>
              <w:rPr/>
            </w:pPr>
            <w:r>
              <w:rPr/>
              <w:t> </w:t>
            </w:r>
          </w:p>
        </w:tc>
        <w:tc>
          <w:tcPr>
            <w:tcW w:w="167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12" w:type="dxa"/>
            <w:tcBorders/>
            <w:shd w:fill="FFFFFF" w:val="clear"/>
            <w:vAlign w:val="center"/>
          </w:tcPr>
          <w:p>
            <w:pPr>
              <w:pStyle w:val="TableContents"/>
              <w:spacing w:before="0" w:after="283"/>
              <w:rPr/>
            </w:pPr>
            <w:r>
              <w:rPr/>
              <w:t> </w:t>
            </w:r>
          </w:p>
        </w:tc>
        <w:tc>
          <w:tcPr>
            <w:tcW w:w="3605" w:type="dxa"/>
            <w:tcBorders/>
            <w:shd w:fill="FFFFFF" w:val="clear"/>
            <w:vAlign w:val="center"/>
          </w:tcPr>
          <w:p>
            <w:pPr>
              <w:pStyle w:val="TableContents"/>
              <w:spacing w:before="0" w:after="283"/>
              <w:rPr/>
            </w:pPr>
            <w:r>
              <w:rPr/>
              <w:t> </w:t>
            </w:r>
          </w:p>
        </w:tc>
        <w:tc>
          <w:tcPr>
            <w:tcW w:w="262" w:type="dxa"/>
            <w:tcBorders/>
            <w:shd w:fill="FFFFFF" w:val="clear"/>
            <w:vAlign w:val="center"/>
          </w:tcPr>
          <w:p>
            <w:pPr>
              <w:pStyle w:val="TableContents"/>
              <w:spacing w:before="0" w:after="283"/>
              <w:rPr/>
            </w:pPr>
            <w:r>
              <w:rPr/>
              <w:t> </w:t>
            </w:r>
          </w:p>
        </w:tc>
        <w:tc>
          <w:tcPr>
            <w:tcW w:w="5726"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12" w:type="dxa"/>
            <w:tcBorders/>
            <w:shd w:fill="E5FFFF" w:val="clear"/>
            <w:vAlign w:val="bottom"/>
          </w:tcPr>
          <w:p>
            <w:pPr>
              <w:pStyle w:val="TableContents"/>
              <w:spacing w:before="0" w:after="283"/>
              <w:jc w:val="left"/>
              <w:rPr/>
            </w:pPr>
            <w:r>
              <w:rPr/>
              <w:t>      </w:t>
            </w:r>
          </w:p>
        </w:tc>
        <w:tc>
          <w:tcPr>
            <w:tcW w:w="3605" w:type="dxa"/>
            <w:tcBorders/>
            <w:shd w:fill="E5FFFF" w:val="clear"/>
            <w:vAlign w:val="bottom"/>
          </w:tcPr>
          <w:p>
            <w:pPr>
              <w:pStyle w:val="TableContents"/>
              <w:spacing w:before="0" w:after="283"/>
              <w:jc w:val="left"/>
              <w:rPr>
                <w:rFonts w:ascii="Arial" w:hAnsi="Arial"/>
              </w:rPr>
            </w:pPr>
            <w:r>
              <w:rPr>
                <w:rFonts w:ascii="Arial" w:hAnsi="Arial"/>
              </w:rPr>
              <w:t>Tax expense</w:t>
            </w:r>
          </w:p>
        </w:tc>
        <w:tc>
          <w:tcPr>
            <w:tcW w:w="262" w:type="dxa"/>
            <w:tcBorders/>
            <w:shd w:fill="E5FFFF" w:val="clear"/>
            <w:vAlign w:val="bottom"/>
          </w:tcPr>
          <w:p>
            <w:pPr>
              <w:pStyle w:val="TableContents"/>
              <w:spacing w:before="0" w:after="283"/>
              <w:jc w:val="right"/>
              <w:rPr/>
            </w:pPr>
            <w:r>
              <w:rPr/>
              <w:t>    </w:t>
            </w:r>
          </w:p>
        </w:tc>
        <w:tc>
          <w:tcPr>
            <w:tcW w:w="191" w:type="dxa"/>
            <w:tcBorders/>
            <w:shd w:fill="E5FFFF" w:val="clear"/>
            <w:vAlign w:val="bottom"/>
          </w:tcPr>
          <w:p>
            <w:pPr>
              <w:pStyle w:val="TableContents"/>
              <w:spacing w:before="0" w:after="283"/>
              <w:jc w:val="right"/>
              <w:rPr>
                <w:rFonts w:ascii="Arial" w:hAnsi="Arial"/>
              </w:rPr>
            </w:pPr>
            <w:r>
              <w:rPr>
                <w:rFonts w:ascii="Arial" w:hAnsi="Arial"/>
              </w:rPr>
              <w:t>$</w:t>
            </w:r>
          </w:p>
        </w:tc>
        <w:tc>
          <w:tcPr>
            <w:tcW w:w="1220" w:type="dxa"/>
            <w:tcBorders/>
            <w:shd w:fill="E5FFFF" w:val="clear"/>
            <w:vAlign w:val="bottom"/>
          </w:tcPr>
          <w:p>
            <w:pPr>
              <w:pStyle w:val="TableContents"/>
              <w:spacing w:before="0" w:after="283"/>
              <w:jc w:val="right"/>
              <w:rPr>
                <w:rFonts w:ascii="Arial" w:hAnsi="Arial"/>
              </w:rPr>
            </w:pPr>
            <w:r>
              <w:rPr>
                <w:rFonts w:ascii="Arial" w:hAnsi="Arial"/>
              </w:rPr>
              <w:t>720</w:t>
            </w:r>
          </w:p>
        </w:tc>
        <w:tc>
          <w:tcPr>
            <w:tcW w:w="254" w:type="dxa"/>
            <w:tcBorders/>
            <w:shd w:fill="E5FFFF" w:val="clear"/>
            <w:vAlign w:val="center"/>
          </w:tcPr>
          <w:p>
            <w:pPr>
              <w:pStyle w:val="TableContents"/>
              <w:spacing w:before="0" w:after="283"/>
              <w:rPr/>
            </w:pPr>
            <w:r>
              <w:rPr/>
              <w:t> </w:t>
            </w:r>
          </w:p>
        </w:tc>
        <w:tc>
          <w:tcPr>
            <w:tcW w:w="362" w:type="dxa"/>
            <w:tcBorders/>
            <w:shd w:fill="E5FFFF" w:val="clear"/>
            <w:vAlign w:val="bottom"/>
          </w:tcPr>
          <w:p>
            <w:pPr>
              <w:pStyle w:val="TableContents"/>
              <w:spacing w:before="0" w:after="283"/>
              <w:jc w:val="right"/>
              <w:rPr/>
            </w:pPr>
            <w:r>
              <w:rPr/>
              <w:t>      </w:t>
            </w:r>
          </w:p>
        </w:tc>
        <w:tc>
          <w:tcPr>
            <w:tcW w:w="191" w:type="dxa"/>
            <w:tcBorders/>
            <w:shd w:fill="E5FFFF" w:val="clear"/>
            <w:vAlign w:val="bottom"/>
          </w:tcPr>
          <w:p>
            <w:pPr>
              <w:pStyle w:val="TableContents"/>
              <w:spacing w:before="0" w:after="283"/>
              <w:jc w:val="right"/>
              <w:rPr>
                <w:rFonts w:ascii="Arial" w:hAnsi="Arial"/>
              </w:rPr>
            </w:pPr>
            <w:r>
              <w:rPr>
                <w:rFonts w:ascii="Arial" w:hAnsi="Arial"/>
              </w:rPr>
              <w:t>$</w:t>
            </w:r>
          </w:p>
        </w:tc>
        <w:tc>
          <w:tcPr>
            <w:tcW w:w="1220" w:type="dxa"/>
            <w:tcBorders/>
            <w:shd w:fill="E5FFFF" w:val="clear"/>
            <w:vAlign w:val="bottom"/>
          </w:tcPr>
          <w:p>
            <w:pPr>
              <w:pStyle w:val="TableContents"/>
              <w:spacing w:before="0" w:after="283"/>
              <w:jc w:val="right"/>
              <w:rPr>
                <w:rFonts w:ascii="Arial" w:hAnsi="Arial"/>
              </w:rPr>
            </w:pPr>
            <w:r>
              <w:rPr>
                <w:rFonts w:ascii="Arial" w:hAnsi="Arial"/>
              </w:rPr>
              <w:t>732</w:t>
            </w:r>
          </w:p>
        </w:tc>
        <w:tc>
          <w:tcPr>
            <w:tcW w:w="254" w:type="dxa"/>
            <w:tcBorders/>
            <w:shd w:fill="E5FFFF" w:val="clear"/>
            <w:vAlign w:val="center"/>
          </w:tcPr>
          <w:p>
            <w:pPr>
              <w:pStyle w:val="TableContents"/>
              <w:spacing w:before="0" w:after="283"/>
              <w:rPr/>
            </w:pPr>
            <w:r>
              <w:rPr/>
              <w:t> </w:t>
            </w:r>
          </w:p>
        </w:tc>
        <w:tc>
          <w:tcPr>
            <w:tcW w:w="362" w:type="dxa"/>
            <w:tcBorders/>
            <w:shd w:fill="E5FFFF" w:val="clear"/>
            <w:vAlign w:val="bottom"/>
          </w:tcPr>
          <w:p>
            <w:pPr>
              <w:pStyle w:val="TableContents"/>
              <w:spacing w:before="0" w:after="283"/>
              <w:jc w:val="right"/>
              <w:rPr/>
            </w:pPr>
            <w:r>
              <w:rPr/>
              <w:t>      </w:t>
            </w:r>
          </w:p>
        </w:tc>
        <w:tc>
          <w:tcPr>
            <w:tcW w:w="190" w:type="dxa"/>
            <w:tcBorders/>
            <w:shd w:fill="E5FFFF" w:val="clear"/>
            <w:vAlign w:val="bottom"/>
          </w:tcPr>
          <w:p>
            <w:pPr>
              <w:pStyle w:val="TableContents"/>
              <w:spacing w:before="0" w:after="283"/>
              <w:jc w:val="right"/>
              <w:rPr>
                <w:rFonts w:ascii="Arial" w:hAnsi="Arial"/>
              </w:rPr>
            </w:pPr>
            <w:r>
              <w:rPr>
                <w:rFonts w:ascii="Arial" w:hAnsi="Arial"/>
              </w:rPr>
              <w:t>$</w:t>
            </w:r>
          </w:p>
        </w:tc>
        <w:tc>
          <w:tcPr>
            <w:tcW w:w="1220" w:type="dxa"/>
            <w:tcBorders/>
            <w:shd w:fill="E5FFFF" w:val="clear"/>
            <w:vAlign w:val="bottom"/>
          </w:tcPr>
          <w:p>
            <w:pPr>
              <w:pStyle w:val="TableContents"/>
              <w:spacing w:before="0" w:after="283"/>
              <w:jc w:val="right"/>
              <w:rPr>
                <w:rFonts w:ascii="Arial" w:hAnsi="Arial"/>
              </w:rPr>
            </w:pPr>
            <w:r>
              <w:rPr>
                <w:rFonts w:ascii="Arial" w:hAnsi="Arial"/>
              </w:rPr>
              <w:t>377</w:t>
            </w:r>
          </w:p>
        </w:tc>
        <w:tc>
          <w:tcPr>
            <w:tcW w:w="262" w:type="dxa"/>
            <w:tcBorders/>
            <w:shd w:fill="E5FFFF" w:val="clear"/>
            <w:vAlign w:val="center"/>
          </w:tcPr>
          <w:p>
            <w:pPr>
              <w:pStyle w:val="TableContents"/>
              <w:spacing w:before="0" w:after="283"/>
              <w:rPr/>
            </w:pPr>
            <w:r>
              <w:rPr/>
              <w:t> </w:t>
            </w:r>
          </w:p>
        </w:tc>
      </w:tr>
      <w:tr>
        <w:trPr/>
        <w:tc>
          <w:tcPr>
            <w:tcW w:w="612" w:type="dxa"/>
            <w:tcBorders/>
            <w:shd w:fill="FFFFFF" w:val="clear"/>
            <w:vAlign w:val="bottom"/>
          </w:tcPr>
          <w:p>
            <w:pPr>
              <w:pStyle w:val="TableContents"/>
              <w:spacing w:before="0" w:after="283"/>
              <w:jc w:val="left"/>
              <w:rPr/>
            </w:pPr>
            <w:r>
              <w:rPr/>
              <w:t>      </w:t>
            </w:r>
          </w:p>
        </w:tc>
        <w:tc>
          <w:tcPr>
            <w:tcW w:w="3605" w:type="dxa"/>
            <w:tcBorders/>
            <w:shd w:fill="FFFFFF" w:val="clear"/>
            <w:vAlign w:val="bottom"/>
          </w:tcPr>
          <w:p>
            <w:pPr>
              <w:pStyle w:val="TableContents"/>
              <w:spacing w:before="0" w:after="283"/>
              <w:jc w:val="left"/>
              <w:rPr>
                <w:rFonts w:ascii="Arial" w:hAnsi="Arial"/>
              </w:rPr>
            </w:pPr>
            <w:r>
              <w:rPr>
                <w:rFonts w:ascii="Arial" w:hAnsi="Arial"/>
              </w:rPr>
              <w:t>Effective tax rate</w:t>
            </w:r>
          </w:p>
        </w:tc>
        <w:tc>
          <w:tcPr>
            <w:tcW w:w="262" w:type="dxa"/>
            <w:tcBorders/>
            <w:shd w:fill="FFFFFF" w:val="clear"/>
            <w:vAlign w:val="bottom"/>
          </w:tcPr>
          <w:p>
            <w:pPr>
              <w:pStyle w:val="TableContents"/>
              <w:spacing w:before="0" w:after="283"/>
              <w:jc w:val="right"/>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bottom"/>
          </w:tcPr>
          <w:p>
            <w:pPr>
              <w:pStyle w:val="TableContents"/>
              <w:spacing w:before="0" w:after="283"/>
              <w:jc w:val="right"/>
              <w:rPr>
                <w:rFonts w:ascii="Arial" w:hAnsi="Arial"/>
              </w:rPr>
            </w:pPr>
            <w:r>
              <w:rPr>
                <w:rFonts w:ascii="Arial" w:hAnsi="Arial"/>
              </w:rPr>
              <w:t>25.7</w:t>
            </w:r>
          </w:p>
        </w:tc>
        <w:tc>
          <w:tcPr>
            <w:tcW w:w="254" w:type="dxa"/>
            <w:tcBorders/>
            <w:shd w:fill="FFFFFF" w:val="clear"/>
            <w:vAlign w:val="bottom"/>
          </w:tcPr>
          <w:p>
            <w:pPr>
              <w:pStyle w:val="TableContents"/>
              <w:spacing w:before="0" w:after="283"/>
              <w:jc w:val="left"/>
              <w:rPr>
                <w:rFonts w:ascii="Arial" w:hAnsi="Arial"/>
              </w:rPr>
            </w:pPr>
            <w:r>
              <w:rPr>
                <w:rFonts w:ascii="Arial" w:hAnsi="Arial"/>
              </w:rPr>
              <w:t>%</w:t>
            </w:r>
          </w:p>
        </w:tc>
        <w:tc>
          <w:tcPr>
            <w:tcW w:w="362" w:type="dxa"/>
            <w:tcBorders/>
            <w:shd w:fill="FFFFFF" w:val="clear"/>
            <w:vAlign w:val="bottom"/>
          </w:tcPr>
          <w:p>
            <w:pPr>
              <w:pStyle w:val="TableContents"/>
              <w:spacing w:before="0" w:after="283"/>
              <w:jc w:val="right"/>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bottom"/>
          </w:tcPr>
          <w:p>
            <w:pPr>
              <w:pStyle w:val="TableContents"/>
              <w:spacing w:before="0" w:after="283"/>
              <w:jc w:val="right"/>
              <w:rPr>
                <w:rFonts w:ascii="Arial" w:hAnsi="Arial"/>
              </w:rPr>
            </w:pPr>
            <w:r>
              <w:rPr>
                <w:rFonts w:ascii="Arial" w:hAnsi="Arial"/>
              </w:rPr>
              <w:t>31.9</w:t>
            </w:r>
          </w:p>
        </w:tc>
        <w:tc>
          <w:tcPr>
            <w:tcW w:w="254" w:type="dxa"/>
            <w:tcBorders/>
            <w:shd w:fill="FFFFFF" w:val="clear"/>
            <w:vAlign w:val="bottom"/>
          </w:tcPr>
          <w:p>
            <w:pPr>
              <w:pStyle w:val="TableContents"/>
              <w:spacing w:before="0" w:after="283"/>
              <w:jc w:val="left"/>
              <w:rPr>
                <w:rFonts w:ascii="Arial" w:hAnsi="Arial"/>
              </w:rPr>
            </w:pPr>
            <w:r>
              <w:rPr>
                <w:rFonts w:ascii="Arial" w:hAnsi="Arial"/>
              </w:rPr>
              <w:t>%</w:t>
            </w:r>
          </w:p>
        </w:tc>
        <w:tc>
          <w:tcPr>
            <w:tcW w:w="362" w:type="dxa"/>
            <w:tcBorders/>
            <w:shd w:fill="FFFFFF" w:val="clear"/>
            <w:vAlign w:val="bottom"/>
          </w:tcPr>
          <w:p>
            <w:pPr>
              <w:pStyle w:val="TableContents"/>
              <w:spacing w:before="0" w:after="283"/>
              <w:jc w:val="right"/>
              <w:rPr/>
            </w:pPr>
            <w:r>
              <w:rPr/>
              <w:t>      </w:t>
            </w:r>
          </w:p>
        </w:tc>
        <w:tc>
          <w:tcPr>
            <w:tcW w:w="190" w:type="dxa"/>
            <w:tcBorders/>
            <w:shd w:fill="FFFFFF" w:val="clear"/>
            <w:vAlign w:val="center"/>
          </w:tcPr>
          <w:p>
            <w:pPr>
              <w:pStyle w:val="TableContents"/>
              <w:spacing w:before="0" w:after="283"/>
              <w:rPr/>
            </w:pPr>
            <w:r>
              <w:rPr/>
              <w:t> </w:t>
            </w:r>
          </w:p>
        </w:tc>
        <w:tc>
          <w:tcPr>
            <w:tcW w:w="1220" w:type="dxa"/>
            <w:tcBorders/>
            <w:shd w:fill="FFFFFF" w:val="clear"/>
            <w:vAlign w:val="bottom"/>
          </w:tcPr>
          <w:p>
            <w:pPr>
              <w:pStyle w:val="TableContents"/>
              <w:spacing w:before="0" w:after="283"/>
              <w:jc w:val="right"/>
              <w:rPr>
                <w:rFonts w:ascii="Arial" w:hAnsi="Arial"/>
              </w:rPr>
            </w:pPr>
            <w:r>
              <w:rPr>
                <w:rFonts w:ascii="Arial" w:hAnsi="Arial"/>
              </w:rPr>
              <w:t>23.2</w:t>
            </w:r>
          </w:p>
        </w:tc>
        <w:tc>
          <w:tcPr>
            <w:tcW w:w="26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12" w:type="dxa"/>
            <w:tcBorders/>
            <w:shd w:fill="FFFFFF" w:val="clear"/>
            <w:vAlign w:val="bottom"/>
          </w:tcPr>
          <w:p>
            <w:pPr>
              <w:pStyle w:val="TableContents"/>
              <w:spacing w:before="0" w:after="283"/>
              <w:jc w:val="left"/>
              <w:rPr/>
            </w:pPr>
            <w:r>
              <w:rPr/>
              <w:t>      </w:t>
            </w:r>
          </w:p>
        </w:tc>
        <w:tc>
          <w:tcPr>
            <w:tcW w:w="3605" w:type="dxa"/>
            <w:tcBorders/>
            <w:shd w:fill="FFFFFF" w:val="clear"/>
            <w:vAlign w:val="bottom"/>
          </w:tcPr>
          <w:p>
            <w:pPr>
              <w:pStyle w:val="TableContents"/>
              <w:spacing w:before="0" w:after="283"/>
              <w:rPr>
                <w:sz w:val="4"/>
                <w:szCs w:val="4"/>
              </w:rPr>
            </w:pPr>
            <w:r>
              <w:rPr>
                <w:sz w:val="4"/>
                <w:szCs w:val="4"/>
              </w:rPr>
            </w:r>
          </w:p>
        </w:tc>
        <w:tc>
          <w:tcPr>
            <w:tcW w:w="26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rPr/>
            </w:pPr>
            <w:r>
              <w:rPr/>
              <w:t> </w:t>
            </w:r>
          </w:p>
        </w:tc>
        <w:tc>
          <w:tcPr>
            <w:tcW w:w="19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rPr/>
            </w:pPr>
            <w:r>
              <w:rPr/>
              <w:t> </w:t>
            </w:r>
          </w:p>
        </w:tc>
        <w:tc>
          <w:tcPr>
            <w:tcW w:w="26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effective tax rate decreased by 6.2 percentage points in 2006 compared with 2005, due principally to the absence of the 2005 one-time tax charge of $155 million for the repatriation of foreign earnings under the American Jobs Creation Act of 2004, offset, in part, by $64 million of tax benefits associated with the 2005 sale of our Industrial Wax business which had a higher tax basis than book basis. In addition, in 2006, there were benefits recognized from the favorable resolution of certain tax audits offset by a tax charge for an up-front licensing of certain in-process research and development. The effective tax rate was lower than the statutory rate of 35 percent due in part to tax benefits derived from export sales, lower foreign taxes, and benefits from tax planning strategies. The effective tax rate increased by 8.7 percentage points in 2005 compared with 2004 due principally to the tax impact of the repatriation of approximately $2.7 billion of foreign earnings, of which $2.2 billion was subject to a significantly reduced tax under the American Jobs Creation Act of 2004, offset in part by the higher effective tax benefit rate for repositioning and other charges that were incurred in 2004. See Note 6 to the financial statements for further information on taxes including a detailed effective tax rate reconciliation.</w:t>
      </w:r>
    </w:p>
    <w:p>
      <w:pPr>
        <w:pStyle w:val="TextBody"/>
        <w:jc w:val="left"/>
        <w:rPr/>
      </w:pPr>
      <w:r>
        <w:rPr/>
        <w:t>      </w:t>
      </w:r>
      <w:r>
        <w:rPr>
          <w:rFonts w:ascii="Arial" w:hAnsi="Arial"/>
        </w:rPr>
        <w:t>In 2007, the effective tax rate could change based upon the Company's operating results and the outcome of tax positions taken regarding previously filed tax returns currently under audit by various Federal, State and foreign tax authorities, several of which may be finalized in the foreseeable future. The Company believes that it has adequate reserves for these matters, the outcome of which could materially impact the results of operations and operating cash flows in the period that they are resolved.</w:t>
      </w:r>
    </w:p>
    <w:p>
      <w:pPr>
        <w:pStyle w:val="TextBody"/>
        <w:jc w:val="center"/>
        <w:rPr>
          <w:rFonts w:ascii="Arial" w:hAnsi="Arial"/>
        </w:rPr>
      </w:pPr>
      <w:r>
        <w:rPr>
          <w:rFonts w:ascii="Arial" w:hAnsi="Arial"/>
        </w:rPr>
        <w:t>22</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Income From Continuing Operations</w:t>
      </w:r>
    </w:p>
    <w:tbl>
      <w:tblPr>
        <w:tblW w:w="5000" w:type="pct"/>
        <w:jc w:val="left"/>
        <w:tblInd w:w="0" w:type="dxa"/>
        <w:tblCellMar>
          <w:top w:w="0" w:type="dxa"/>
          <w:left w:w="0" w:type="dxa"/>
          <w:bottom w:w="0" w:type="dxa"/>
          <w:right w:w="0" w:type="dxa"/>
        </w:tblCellMar>
      </w:tblPr>
      <w:tblGrid>
        <w:gridCol w:w="373"/>
        <w:gridCol w:w="6235"/>
        <w:gridCol w:w="249"/>
        <w:gridCol w:w="161"/>
        <w:gridCol w:w="643"/>
        <w:gridCol w:w="62"/>
        <w:gridCol w:w="374"/>
        <w:gridCol w:w="161"/>
        <w:gridCol w:w="644"/>
        <w:gridCol w:w="62"/>
        <w:gridCol w:w="374"/>
        <w:gridCol w:w="161"/>
        <w:gridCol w:w="643"/>
        <w:gridCol w:w="63"/>
      </w:tblGrid>
      <w:tr>
        <w:trPr/>
        <w:tc>
          <w:tcPr>
            <w:tcW w:w="373" w:type="dxa"/>
            <w:tcBorders/>
            <w:shd w:fill="FFFFFF" w:val="clear"/>
            <w:vAlign w:val="center"/>
          </w:tcPr>
          <w:p>
            <w:pPr>
              <w:pStyle w:val="TableContents"/>
              <w:spacing w:before="0" w:after="283"/>
              <w:rPr/>
            </w:pPr>
            <w:r>
              <w:rPr/>
              <w:t> </w:t>
            </w:r>
          </w:p>
        </w:tc>
        <w:tc>
          <w:tcPr>
            <w:tcW w:w="6235"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866"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74" w:type="dxa"/>
            <w:tcBorders/>
            <w:shd w:fill="FFFFFF" w:val="clear"/>
            <w:vAlign w:val="center"/>
          </w:tcPr>
          <w:p>
            <w:pPr>
              <w:pStyle w:val="TableContents"/>
              <w:spacing w:before="0" w:after="283"/>
              <w:rPr/>
            </w:pPr>
            <w:r>
              <w:rPr/>
              <w:t> </w:t>
            </w:r>
          </w:p>
        </w:tc>
        <w:tc>
          <w:tcPr>
            <w:tcW w:w="867"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74" w:type="dxa"/>
            <w:tcBorders/>
            <w:shd w:fill="FFFFFF" w:val="clear"/>
            <w:vAlign w:val="center"/>
          </w:tcPr>
          <w:p>
            <w:pPr>
              <w:pStyle w:val="TableContents"/>
              <w:spacing w:before="0" w:after="283"/>
              <w:rPr/>
            </w:pPr>
            <w:r>
              <w:rPr/>
              <w:t> </w:t>
            </w:r>
          </w:p>
        </w:tc>
        <w:tc>
          <w:tcPr>
            <w:tcW w:w="867"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373" w:type="dxa"/>
            <w:tcBorders/>
            <w:shd w:fill="FFFFFF" w:val="clear"/>
            <w:vAlign w:val="center"/>
          </w:tcPr>
          <w:p>
            <w:pPr>
              <w:pStyle w:val="TableContents"/>
              <w:spacing w:before="0" w:after="283"/>
              <w:rPr/>
            </w:pPr>
            <w:r>
              <w:rPr/>
              <w:t> </w:t>
            </w:r>
          </w:p>
        </w:tc>
        <w:tc>
          <w:tcPr>
            <w:tcW w:w="6235"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3348"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br/>
              <w:t>except per share amounts)</w:t>
            </w:r>
          </w:p>
        </w:tc>
      </w:tr>
      <w:tr>
        <w:trPr/>
        <w:tc>
          <w:tcPr>
            <w:tcW w:w="373" w:type="dxa"/>
            <w:tcBorders/>
            <w:shd w:fill="E5FFFF" w:val="clear"/>
            <w:vAlign w:val="bottom"/>
          </w:tcPr>
          <w:p>
            <w:pPr>
              <w:pStyle w:val="TableContents"/>
              <w:spacing w:before="0" w:after="283"/>
              <w:jc w:val="left"/>
              <w:rPr/>
            </w:pPr>
            <w:r>
              <w:rPr/>
              <w:t>      </w:t>
            </w:r>
          </w:p>
        </w:tc>
        <w:tc>
          <w:tcPr>
            <w:tcW w:w="6235" w:type="dxa"/>
            <w:tcBorders/>
            <w:shd w:fill="E5FFFF" w:val="clear"/>
            <w:vAlign w:val="bottom"/>
          </w:tcPr>
          <w:p>
            <w:pPr>
              <w:pStyle w:val="TableContents"/>
              <w:spacing w:before="0" w:after="283"/>
              <w:jc w:val="left"/>
              <w:rPr>
                <w:rFonts w:ascii="Arial" w:hAnsi="Arial"/>
              </w:rPr>
            </w:pPr>
            <w:r>
              <w:rPr>
                <w:rFonts w:ascii="Arial" w:hAnsi="Arial"/>
              </w:rPr>
              <w:t>Income from continuing operations</w:t>
            </w:r>
          </w:p>
        </w:tc>
        <w:tc>
          <w:tcPr>
            <w:tcW w:w="249" w:type="dxa"/>
            <w:tcBorders/>
            <w:shd w:fill="E5FFFF" w:val="clear"/>
            <w:vAlign w:val="bottom"/>
          </w:tcPr>
          <w:p>
            <w:pPr>
              <w:pStyle w:val="TableContents"/>
              <w:spacing w:before="0" w:after="283"/>
              <w:jc w:val="right"/>
              <w:rPr/>
            </w:pPr>
            <w:r>
              <w:rPr/>
              <w:t>    </w:t>
            </w:r>
          </w:p>
        </w:tc>
        <w:tc>
          <w:tcPr>
            <w:tcW w:w="161" w:type="dxa"/>
            <w:tcBorders/>
            <w:shd w:fill="E5FFFF" w:val="clear"/>
            <w:vAlign w:val="bottom"/>
          </w:tcPr>
          <w:p>
            <w:pPr>
              <w:pStyle w:val="TableContents"/>
              <w:spacing w:before="0" w:after="283"/>
              <w:jc w:val="right"/>
              <w:rPr>
                <w:rFonts w:ascii="Arial" w:hAnsi="Arial"/>
              </w:rPr>
            </w:pPr>
            <w:r>
              <w:rPr>
                <w:rFonts w:ascii="Arial" w:hAnsi="Arial"/>
              </w:rPr>
              <w:t>$</w:t>
            </w:r>
          </w:p>
        </w:tc>
        <w:tc>
          <w:tcPr>
            <w:tcW w:w="643" w:type="dxa"/>
            <w:tcBorders/>
            <w:shd w:fill="E5FFFF" w:val="clear"/>
            <w:vAlign w:val="bottom"/>
          </w:tcPr>
          <w:p>
            <w:pPr>
              <w:pStyle w:val="TableContents"/>
              <w:spacing w:before="0" w:after="283"/>
              <w:jc w:val="right"/>
              <w:rPr>
                <w:rFonts w:ascii="Arial" w:hAnsi="Arial"/>
              </w:rPr>
            </w:pPr>
            <w:r>
              <w:rPr>
                <w:rFonts w:ascii="Arial" w:hAnsi="Arial"/>
              </w:rPr>
              <w:t>2,078</w:t>
            </w:r>
          </w:p>
        </w:tc>
        <w:tc>
          <w:tcPr>
            <w:tcW w:w="62" w:type="dxa"/>
            <w:tcBorders/>
            <w:shd w:fill="E5FFFF" w:val="clear"/>
            <w:vAlign w:val="center"/>
          </w:tcPr>
          <w:p>
            <w:pPr>
              <w:pStyle w:val="TableContents"/>
              <w:spacing w:before="0" w:after="283"/>
              <w:rPr/>
            </w:pPr>
            <w:r>
              <w:rPr/>
              <w:t> </w:t>
            </w:r>
          </w:p>
        </w:tc>
        <w:tc>
          <w:tcPr>
            <w:tcW w:w="374" w:type="dxa"/>
            <w:tcBorders/>
            <w:shd w:fill="E5FFFF" w:val="clear"/>
            <w:vAlign w:val="bottom"/>
          </w:tcPr>
          <w:p>
            <w:pPr>
              <w:pStyle w:val="TableContents"/>
              <w:spacing w:before="0" w:after="283"/>
              <w:jc w:val="right"/>
              <w:rPr/>
            </w:pPr>
            <w:r>
              <w:rPr/>
              <w:t>      </w:t>
            </w:r>
          </w:p>
        </w:tc>
        <w:tc>
          <w:tcPr>
            <w:tcW w:w="161" w:type="dxa"/>
            <w:tcBorders/>
            <w:shd w:fill="E5FFFF" w:val="clear"/>
            <w:vAlign w:val="bottom"/>
          </w:tcPr>
          <w:p>
            <w:pPr>
              <w:pStyle w:val="TableContents"/>
              <w:spacing w:before="0" w:after="283"/>
              <w:jc w:val="right"/>
              <w:rPr>
                <w:rFonts w:ascii="Arial" w:hAnsi="Arial"/>
              </w:rPr>
            </w:pPr>
            <w:r>
              <w:rPr>
                <w:rFonts w:ascii="Arial" w:hAnsi="Arial"/>
              </w:rPr>
              <w:t>$</w:t>
            </w:r>
          </w:p>
        </w:tc>
        <w:tc>
          <w:tcPr>
            <w:tcW w:w="644" w:type="dxa"/>
            <w:tcBorders/>
            <w:shd w:fill="E5FFFF" w:val="clear"/>
            <w:vAlign w:val="bottom"/>
          </w:tcPr>
          <w:p>
            <w:pPr>
              <w:pStyle w:val="TableContents"/>
              <w:spacing w:before="0" w:after="283"/>
              <w:jc w:val="right"/>
              <w:rPr>
                <w:rFonts w:ascii="Arial" w:hAnsi="Arial"/>
              </w:rPr>
            </w:pPr>
            <w:r>
              <w:rPr>
                <w:rFonts w:ascii="Arial" w:hAnsi="Arial"/>
              </w:rPr>
              <w:t>1,564</w:t>
            </w:r>
          </w:p>
        </w:tc>
        <w:tc>
          <w:tcPr>
            <w:tcW w:w="62" w:type="dxa"/>
            <w:tcBorders/>
            <w:shd w:fill="E5FFFF" w:val="clear"/>
            <w:vAlign w:val="center"/>
          </w:tcPr>
          <w:p>
            <w:pPr>
              <w:pStyle w:val="TableContents"/>
              <w:spacing w:before="0" w:after="283"/>
              <w:rPr/>
            </w:pPr>
            <w:r>
              <w:rPr/>
              <w:t> </w:t>
            </w:r>
          </w:p>
        </w:tc>
        <w:tc>
          <w:tcPr>
            <w:tcW w:w="374" w:type="dxa"/>
            <w:tcBorders/>
            <w:shd w:fill="E5FFFF" w:val="clear"/>
            <w:vAlign w:val="bottom"/>
          </w:tcPr>
          <w:p>
            <w:pPr>
              <w:pStyle w:val="TableContents"/>
              <w:spacing w:before="0" w:after="283"/>
              <w:jc w:val="right"/>
              <w:rPr/>
            </w:pPr>
            <w:r>
              <w:rPr/>
              <w:t>      </w:t>
            </w:r>
          </w:p>
        </w:tc>
        <w:tc>
          <w:tcPr>
            <w:tcW w:w="161" w:type="dxa"/>
            <w:tcBorders/>
            <w:shd w:fill="E5FFFF" w:val="clear"/>
            <w:vAlign w:val="bottom"/>
          </w:tcPr>
          <w:p>
            <w:pPr>
              <w:pStyle w:val="TableContents"/>
              <w:spacing w:before="0" w:after="283"/>
              <w:jc w:val="right"/>
              <w:rPr>
                <w:rFonts w:ascii="Arial" w:hAnsi="Arial"/>
              </w:rPr>
            </w:pPr>
            <w:r>
              <w:rPr>
                <w:rFonts w:ascii="Arial" w:hAnsi="Arial"/>
              </w:rPr>
              <w:t>$</w:t>
            </w:r>
          </w:p>
        </w:tc>
        <w:tc>
          <w:tcPr>
            <w:tcW w:w="643" w:type="dxa"/>
            <w:tcBorders/>
            <w:shd w:fill="E5FFFF" w:val="clear"/>
            <w:vAlign w:val="bottom"/>
          </w:tcPr>
          <w:p>
            <w:pPr>
              <w:pStyle w:val="TableContents"/>
              <w:spacing w:before="0" w:after="283"/>
              <w:jc w:val="right"/>
              <w:rPr>
                <w:rFonts w:ascii="Arial" w:hAnsi="Arial"/>
              </w:rPr>
            </w:pPr>
            <w:r>
              <w:rPr>
                <w:rFonts w:ascii="Arial" w:hAnsi="Arial"/>
              </w:rPr>
              <w:t>1,246</w:t>
            </w:r>
          </w:p>
        </w:tc>
        <w:tc>
          <w:tcPr>
            <w:tcW w:w="63" w:type="dxa"/>
            <w:tcBorders/>
            <w:shd w:fill="E5FFFF" w:val="clear"/>
            <w:vAlign w:val="center"/>
          </w:tcPr>
          <w:p>
            <w:pPr>
              <w:pStyle w:val="TableContents"/>
              <w:spacing w:before="0" w:after="283"/>
              <w:rPr/>
            </w:pPr>
            <w:r>
              <w:rPr/>
              <w:t> </w:t>
            </w:r>
          </w:p>
        </w:tc>
      </w:tr>
      <w:tr>
        <w:trPr/>
        <w:tc>
          <w:tcPr>
            <w:tcW w:w="373" w:type="dxa"/>
            <w:tcBorders/>
            <w:shd w:fill="FFFFFF" w:val="clear"/>
            <w:vAlign w:val="bottom"/>
          </w:tcPr>
          <w:p>
            <w:pPr>
              <w:pStyle w:val="TableContents"/>
              <w:spacing w:before="0" w:after="283"/>
              <w:jc w:val="left"/>
              <w:rPr/>
            </w:pPr>
            <w:r>
              <w:rPr/>
              <w:t>      </w:t>
            </w:r>
          </w:p>
        </w:tc>
        <w:tc>
          <w:tcPr>
            <w:tcW w:w="6235" w:type="dxa"/>
            <w:tcBorders/>
            <w:shd w:fill="FFFFFF" w:val="clear"/>
            <w:vAlign w:val="bottom"/>
          </w:tcPr>
          <w:p>
            <w:pPr>
              <w:pStyle w:val="TableContents"/>
              <w:spacing w:before="0" w:after="283"/>
              <w:jc w:val="left"/>
              <w:rPr>
                <w:rFonts w:ascii="Arial" w:hAnsi="Arial"/>
              </w:rPr>
            </w:pPr>
            <w:r>
              <w:rPr>
                <w:rFonts w:ascii="Arial" w:hAnsi="Arial"/>
              </w:rPr>
              <w:t>Earnings per share of common stock—assuming dilution</w:t>
            </w:r>
          </w:p>
        </w:tc>
        <w:tc>
          <w:tcPr>
            <w:tcW w:w="249"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right"/>
              <w:rPr>
                <w:rFonts w:ascii="Arial" w:hAnsi="Arial"/>
              </w:rPr>
            </w:pPr>
            <w:r>
              <w:rPr>
                <w:rFonts w:ascii="Arial" w:hAnsi="Arial"/>
              </w:rPr>
              <w:t>$</w:t>
            </w:r>
          </w:p>
        </w:tc>
        <w:tc>
          <w:tcPr>
            <w:tcW w:w="643" w:type="dxa"/>
            <w:tcBorders/>
            <w:shd w:fill="FFFFFF" w:val="clear"/>
            <w:vAlign w:val="bottom"/>
          </w:tcPr>
          <w:p>
            <w:pPr>
              <w:pStyle w:val="TableContents"/>
              <w:spacing w:before="0" w:after="283"/>
              <w:jc w:val="right"/>
              <w:rPr>
                <w:rFonts w:ascii="Arial" w:hAnsi="Arial"/>
              </w:rPr>
            </w:pPr>
            <w:r>
              <w:rPr>
                <w:rFonts w:ascii="Arial" w:hAnsi="Arial"/>
              </w:rPr>
              <w:t>2.51</w:t>
            </w:r>
          </w:p>
        </w:tc>
        <w:tc>
          <w:tcPr>
            <w:tcW w:w="62" w:type="dxa"/>
            <w:tcBorders/>
            <w:shd w:fill="FFFFFF" w:val="clear"/>
            <w:vAlign w:val="center"/>
          </w:tcPr>
          <w:p>
            <w:pPr>
              <w:pStyle w:val="TableContents"/>
              <w:spacing w:before="0" w:after="283"/>
              <w:rPr/>
            </w:pPr>
            <w:r>
              <w:rPr/>
              <w:t> </w:t>
            </w:r>
          </w:p>
        </w:tc>
        <w:tc>
          <w:tcPr>
            <w:tcW w:w="374"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right"/>
              <w:rPr>
                <w:rFonts w:ascii="Arial" w:hAnsi="Arial"/>
              </w:rPr>
            </w:pPr>
            <w:r>
              <w:rPr>
                <w:rFonts w:ascii="Arial" w:hAnsi="Arial"/>
              </w:rPr>
              <w:t>$</w:t>
            </w:r>
          </w:p>
        </w:tc>
        <w:tc>
          <w:tcPr>
            <w:tcW w:w="644" w:type="dxa"/>
            <w:tcBorders/>
            <w:shd w:fill="FFFFFF" w:val="clear"/>
            <w:vAlign w:val="bottom"/>
          </w:tcPr>
          <w:p>
            <w:pPr>
              <w:pStyle w:val="TableContents"/>
              <w:spacing w:before="0" w:after="283"/>
              <w:jc w:val="right"/>
              <w:rPr>
                <w:rFonts w:ascii="Arial" w:hAnsi="Arial"/>
              </w:rPr>
            </w:pPr>
            <w:r>
              <w:rPr>
                <w:rFonts w:ascii="Arial" w:hAnsi="Arial"/>
              </w:rPr>
              <w:t>1.84</w:t>
            </w:r>
          </w:p>
        </w:tc>
        <w:tc>
          <w:tcPr>
            <w:tcW w:w="62" w:type="dxa"/>
            <w:tcBorders/>
            <w:shd w:fill="FFFFFF" w:val="clear"/>
            <w:vAlign w:val="center"/>
          </w:tcPr>
          <w:p>
            <w:pPr>
              <w:pStyle w:val="TableContents"/>
              <w:spacing w:before="0" w:after="283"/>
              <w:rPr/>
            </w:pPr>
            <w:r>
              <w:rPr/>
              <w:t> </w:t>
            </w:r>
          </w:p>
        </w:tc>
        <w:tc>
          <w:tcPr>
            <w:tcW w:w="374"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right"/>
              <w:rPr>
                <w:rFonts w:ascii="Arial" w:hAnsi="Arial"/>
              </w:rPr>
            </w:pPr>
            <w:r>
              <w:rPr>
                <w:rFonts w:ascii="Arial" w:hAnsi="Arial"/>
              </w:rPr>
              <w:t>$</w:t>
            </w:r>
          </w:p>
        </w:tc>
        <w:tc>
          <w:tcPr>
            <w:tcW w:w="643" w:type="dxa"/>
            <w:tcBorders/>
            <w:shd w:fill="FFFFFF" w:val="clear"/>
            <w:vAlign w:val="bottom"/>
          </w:tcPr>
          <w:p>
            <w:pPr>
              <w:pStyle w:val="TableContents"/>
              <w:spacing w:before="0" w:after="283"/>
              <w:jc w:val="right"/>
              <w:rPr>
                <w:rFonts w:ascii="Arial" w:hAnsi="Arial"/>
              </w:rPr>
            </w:pPr>
            <w:r>
              <w:rPr>
                <w:rFonts w:ascii="Arial" w:hAnsi="Arial"/>
              </w:rPr>
              <w:t>1.45</w:t>
            </w:r>
          </w:p>
        </w:tc>
        <w:tc>
          <w:tcPr>
            <w:tcW w:w="63" w:type="dxa"/>
            <w:tcBorders/>
            <w:shd w:fill="FFFFFF" w:val="clear"/>
            <w:vAlign w:val="center"/>
          </w:tcPr>
          <w:p>
            <w:pPr>
              <w:pStyle w:val="TableContents"/>
              <w:spacing w:before="0" w:after="283"/>
              <w:rPr/>
            </w:pPr>
            <w:r>
              <w:rPr/>
              <w:t> </w:t>
            </w:r>
          </w:p>
        </w:tc>
      </w:tr>
      <w:tr>
        <w:trPr/>
        <w:tc>
          <w:tcPr>
            <w:tcW w:w="373" w:type="dxa"/>
            <w:tcBorders/>
            <w:shd w:fill="FFFFFF" w:val="clear"/>
            <w:vAlign w:val="bottom"/>
          </w:tcPr>
          <w:p>
            <w:pPr>
              <w:pStyle w:val="TableContents"/>
              <w:spacing w:before="0" w:after="283"/>
              <w:jc w:val="left"/>
              <w:rPr/>
            </w:pPr>
            <w:r>
              <w:rPr/>
              <w:t>      </w:t>
            </w:r>
          </w:p>
        </w:tc>
        <w:tc>
          <w:tcPr>
            <w:tcW w:w="6235" w:type="dxa"/>
            <w:tcBorders/>
            <w:shd w:fill="FFFFFF" w:val="clear"/>
            <w:vAlign w:val="bottom"/>
          </w:tcPr>
          <w:p>
            <w:pPr>
              <w:pStyle w:val="TableContents"/>
              <w:spacing w:before="0" w:after="283"/>
              <w:rPr>
                <w:sz w:val="4"/>
                <w:szCs w:val="4"/>
              </w:rPr>
            </w:pPr>
            <w:r>
              <w:rPr>
                <w:sz w:val="4"/>
                <w:szCs w:val="4"/>
              </w:rPr>
            </w:r>
          </w:p>
        </w:tc>
        <w:tc>
          <w:tcPr>
            <w:tcW w:w="249"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4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374"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44"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374"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64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increase of $0.67 in earnings (diluted) per share for continuing operations in 2006 compared with 2005 primarily relates to an increase in segment profit in Aerospace and Automation and Control Solutions and income generated from our acquisition of full ownership of UOP in Specialty Materials, reduced repositioning and pension costs and a reduction in the number of shares outstanding due to the previously announced stock repurchase program, offset by the impact of adopting FAS No. 123R (“Share-Based Payment”) for stock-based compensation expense of $77 million in 2006. In addition, in 2005 there was a one-time tax charge of $155 million for the repatriation of foreign earnings under the American Jobs Creation Act of 2004, which decreased earnings and earnings per share in 2005. The increase of $0.39 earnings (diluted) per share for continuing operations in 2005 compared with 2004 relates primarily to an increase in segment profit for our reportable segments. For further discussion of segment results, see “Review of Business Segments”.</w:t>
      </w:r>
    </w:p>
    <w:p>
      <w:pPr>
        <w:pStyle w:val="TextBody"/>
        <w:jc w:val="left"/>
        <w:rPr>
          <w:rFonts w:ascii="Arial" w:hAnsi="Arial"/>
          <w:b/>
        </w:rPr>
      </w:pPr>
      <w:r>
        <w:rPr>
          <w:rFonts w:ascii="Arial" w:hAnsi="Arial"/>
          <w:b/>
        </w:rPr>
        <w:t>Income From Discontinued Operations</w:t>
      </w:r>
    </w:p>
    <w:p>
      <w:pPr>
        <w:pStyle w:val="TextBody"/>
        <w:jc w:val="left"/>
        <w:rPr/>
      </w:pPr>
      <w:r>
        <w:rPr/>
        <w:t>      </w:t>
      </w:r>
      <w:r>
        <w:rPr>
          <w:rFonts w:ascii="Arial" w:hAnsi="Arial"/>
        </w:rPr>
        <w:t>Income from discontinued operations of $5 million, or $0.01 earnings per share (diluted) in 2006 relates to the operating results of the Indalex business which was sold in February 2006 to Sun Capital Partners, Inc. Income from discontinued operations of $95 million, or $0.11 earnings per share, in 2005 relates to the operating results of the Indalex and Security Printing businesses, that were part of our NOVAR acquisition that were subsequently divested. In December 2005, the Security Printing business was sold to M&amp;F Worldwide Corp. See Note 2 to the financial statements for further discussion of these sales.</w:t>
      </w:r>
    </w:p>
    <w:p>
      <w:pPr>
        <w:pStyle w:val="TextBody"/>
        <w:jc w:val="left"/>
        <w:rPr>
          <w:rFonts w:ascii="Arial" w:hAnsi="Arial"/>
          <w:b/>
        </w:rPr>
      </w:pPr>
      <w:r>
        <w:rPr>
          <w:rFonts w:ascii="Arial" w:hAnsi="Arial"/>
          <w:b/>
        </w:rPr>
        <w:t>BUSINESS OVERVIEW</w:t>
      </w:r>
    </w:p>
    <w:p>
      <w:pPr>
        <w:pStyle w:val="TextBody"/>
        <w:jc w:val="left"/>
        <w:rPr/>
      </w:pPr>
      <w:r>
        <w:rPr/>
        <w:t>      </w:t>
      </w:r>
      <w:r>
        <w:rPr>
          <w:rFonts w:ascii="Arial" w:hAnsi="Arial"/>
        </w:rPr>
        <w:t>This Business Overview provides a summary of Honeywell's four reportable operating segments (Aerospace, Automation and Control Solutions, Specialty Materials and Transportation Systems), including how they generate income, the relevant economic and other factors impacting their results, a discussion of each segment's results for the three years ended December 31, 2006 and the areas of focus for 2007 for the Company and each of its operating segments. Each of these segments is comprised of various product and service classes that serve multiple end markets. See Note 23 to the financial statements for further information on our reportable segments and our definition of segment profit.</w:t>
      </w:r>
    </w:p>
    <w:p>
      <w:pPr>
        <w:pStyle w:val="TextBody"/>
        <w:jc w:val="left"/>
        <w:rPr>
          <w:rFonts w:ascii="Arial" w:hAnsi="Arial"/>
          <w:b/>
        </w:rPr>
      </w:pPr>
      <w:r>
        <w:rPr>
          <w:rFonts w:ascii="Arial" w:hAnsi="Arial"/>
          <w:b/>
        </w:rPr>
        <w:t>Areas of Focus for 2007</w:t>
      </w:r>
    </w:p>
    <w:p>
      <w:pPr>
        <w:pStyle w:val="TextBody"/>
        <w:jc w:val="left"/>
        <w:rPr/>
      </w:pPr>
      <w:r>
        <w:rPr/>
        <w:t>      </w:t>
      </w:r>
      <w:r>
        <w:rPr>
          <w:rFonts w:ascii="Arial" w:hAnsi="Arial"/>
        </w:rPr>
        <w:t>The areas of focus for 2007, which are generally applicable to each of our operating segments, include:</w:t>
      </w:r>
    </w:p>
    <w:tbl>
      <w:tblPr>
        <w:tblW w:w="5000" w:type="pct"/>
        <w:jc w:val="left"/>
        <w:tblInd w:w="0" w:type="dxa"/>
        <w:tblCellMar>
          <w:top w:w="0" w:type="dxa"/>
          <w:left w:w="0" w:type="dxa"/>
          <w:bottom w:w="0" w:type="dxa"/>
          <w:right w:w="0" w:type="dxa"/>
        </w:tblCellMar>
      </w:tblPr>
      <w:tblGrid>
        <w:gridCol w:w="359"/>
        <w:gridCol w:w="130"/>
        <w:gridCol w:w="9716"/>
      </w:tblGrid>
      <w:tr>
        <w:trPr/>
        <w:tc>
          <w:tcPr>
            <w:tcW w:w="359" w:type="dxa"/>
            <w:tcBorders/>
            <w:shd w:fill="FFFFFF" w:val="clear"/>
          </w:tcPr>
          <w:p>
            <w:pPr>
              <w:pStyle w:val="TableContents"/>
              <w:spacing w:before="0" w:after="283"/>
              <w:rPr>
                <w:sz w:val="4"/>
                <w:szCs w:val="4"/>
              </w:rPr>
            </w:pPr>
            <w:r>
              <w:rPr>
                <w:sz w:val="4"/>
                <w:szCs w:val="4"/>
              </w:rPr>
            </w:r>
          </w:p>
        </w:tc>
        <w:tc>
          <w:tcPr>
            <w:tcW w:w="130" w:type="dxa"/>
            <w:tcBorders/>
            <w:shd w:fill="FFFFFF" w:val="clear"/>
          </w:tcPr>
          <w:p>
            <w:pPr>
              <w:pStyle w:val="TableContents"/>
              <w:spacing w:before="0" w:after="283"/>
              <w:jc w:val="left"/>
              <w:rPr/>
            </w:pPr>
            <w:r>
              <w:rPr/>
              <w:t>•</w:t>
            </w:r>
          </w:p>
        </w:tc>
        <w:tc>
          <w:tcPr>
            <w:tcW w:w="9716" w:type="dxa"/>
            <w:tcBorders/>
            <w:shd w:fill="FFFFFF" w:val="clear"/>
          </w:tcPr>
          <w:p>
            <w:pPr>
              <w:pStyle w:val="TableContents"/>
              <w:spacing w:before="0" w:after="283"/>
              <w:jc w:val="left"/>
              <w:rPr>
                <w:rFonts w:ascii="Arial" w:hAnsi="Arial"/>
              </w:rPr>
            </w:pPr>
            <w:r>
              <w:rPr>
                <w:rFonts w:ascii="Arial" w:hAnsi="Arial"/>
              </w:rPr>
              <w:t>Driving profitable growth by building innovative products that address customer needs;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30" w:type="dxa"/>
            <w:tcBorders/>
            <w:shd w:fill="FFFFFF" w:val="clear"/>
          </w:tcPr>
          <w:p>
            <w:pPr>
              <w:pStyle w:val="TableContents"/>
              <w:spacing w:before="0" w:after="283"/>
              <w:jc w:val="left"/>
              <w:rPr/>
            </w:pPr>
            <w:r>
              <w:rPr/>
              <w:t>•</w:t>
            </w:r>
          </w:p>
        </w:tc>
        <w:tc>
          <w:tcPr>
            <w:tcW w:w="9716" w:type="dxa"/>
            <w:tcBorders/>
            <w:shd w:fill="FFFFFF" w:val="clear"/>
          </w:tcPr>
          <w:p>
            <w:pPr>
              <w:pStyle w:val="TableContents"/>
              <w:spacing w:before="0" w:after="283"/>
              <w:jc w:val="left"/>
              <w:rPr>
                <w:rFonts w:ascii="Arial" w:hAnsi="Arial"/>
              </w:rPr>
            </w:pPr>
            <w:r>
              <w:rPr>
                <w:rFonts w:ascii="Arial" w:hAnsi="Arial"/>
              </w:rPr>
              <w:t>Achieving sales growth, technological excellence and manufacturing capability through global expansion, especially focused on emerging regions in China, India and the Middle East;</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30" w:type="dxa"/>
            <w:tcBorders/>
            <w:shd w:fill="FFFFFF" w:val="clear"/>
          </w:tcPr>
          <w:p>
            <w:pPr>
              <w:pStyle w:val="TableContents"/>
              <w:spacing w:before="0" w:after="283"/>
              <w:jc w:val="left"/>
              <w:rPr/>
            </w:pPr>
            <w:r>
              <w:rPr/>
              <w:t>•</w:t>
            </w:r>
          </w:p>
        </w:tc>
        <w:tc>
          <w:tcPr>
            <w:tcW w:w="9716" w:type="dxa"/>
            <w:tcBorders/>
            <w:shd w:fill="FFFFFF" w:val="clear"/>
          </w:tcPr>
          <w:p>
            <w:pPr>
              <w:pStyle w:val="TableContents"/>
              <w:spacing w:before="0" w:after="283"/>
              <w:jc w:val="left"/>
              <w:rPr>
                <w:rFonts w:ascii="Arial" w:hAnsi="Arial"/>
              </w:rPr>
            </w:pPr>
            <w:r>
              <w:rPr>
                <w:rFonts w:ascii="Arial" w:hAnsi="Arial"/>
              </w:rPr>
              <w:t>Continuing to grow through disciplined acquisition and rigorous integration processes;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30" w:type="dxa"/>
            <w:tcBorders/>
            <w:shd w:fill="FFFFFF" w:val="clear"/>
          </w:tcPr>
          <w:p>
            <w:pPr>
              <w:pStyle w:val="TableContents"/>
              <w:spacing w:before="0" w:after="283"/>
              <w:jc w:val="left"/>
              <w:rPr/>
            </w:pPr>
            <w:r>
              <w:rPr/>
              <w:t>•</w:t>
            </w:r>
          </w:p>
        </w:tc>
        <w:tc>
          <w:tcPr>
            <w:tcW w:w="9716" w:type="dxa"/>
            <w:tcBorders/>
            <w:shd w:fill="FFFFFF" w:val="clear"/>
          </w:tcPr>
          <w:p>
            <w:pPr>
              <w:pStyle w:val="TableContents"/>
              <w:spacing w:before="0" w:after="283"/>
              <w:jc w:val="left"/>
              <w:rPr>
                <w:rFonts w:ascii="Arial" w:hAnsi="Arial"/>
              </w:rPr>
            </w:pPr>
            <w:r>
              <w:rPr>
                <w:rFonts w:ascii="Arial" w:hAnsi="Arial"/>
              </w:rPr>
              <w:t>Proactively managing raw material cost increases with formula price agreements, price increases and hedging activities, where feasible;</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30" w:type="dxa"/>
            <w:tcBorders/>
            <w:shd w:fill="FFFFFF" w:val="clear"/>
          </w:tcPr>
          <w:p>
            <w:pPr>
              <w:pStyle w:val="TableContents"/>
              <w:spacing w:before="0" w:after="283"/>
              <w:jc w:val="left"/>
              <w:rPr/>
            </w:pPr>
            <w:r>
              <w:rPr/>
              <w:t>•</w:t>
            </w:r>
          </w:p>
        </w:tc>
        <w:tc>
          <w:tcPr>
            <w:tcW w:w="9716" w:type="dxa"/>
            <w:tcBorders/>
            <w:shd w:fill="FFFFFF" w:val="clear"/>
          </w:tcPr>
          <w:p>
            <w:pPr>
              <w:pStyle w:val="TableContents"/>
              <w:spacing w:before="0" w:after="283"/>
              <w:jc w:val="left"/>
              <w:rPr>
                <w:rFonts w:ascii="Arial" w:hAnsi="Arial"/>
              </w:rPr>
            </w:pPr>
            <w:r>
              <w:rPr>
                <w:rFonts w:ascii="Arial" w:hAnsi="Arial"/>
              </w:rPr>
              <w:t>Driving free cash flow through increased net income and effective working capital management enabling continued investment in our businesses, strategic acquisitions, returning value to shareholders through share repurchases and increased dividend payments;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30" w:type="dxa"/>
            <w:tcBorders/>
            <w:shd w:fill="FFFFFF" w:val="clear"/>
          </w:tcPr>
          <w:p>
            <w:pPr>
              <w:pStyle w:val="TableContents"/>
              <w:spacing w:before="0" w:after="283"/>
              <w:jc w:val="left"/>
              <w:rPr/>
            </w:pPr>
            <w:r>
              <w:rPr/>
              <w:t>•</w:t>
            </w:r>
          </w:p>
        </w:tc>
        <w:tc>
          <w:tcPr>
            <w:tcW w:w="9716" w:type="dxa"/>
            <w:tcBorders/>
            <w:shd w:fill="FFFFFF" w:val="clear"/>
          </w:tcPr>
          <w:p>
            <w:pPr>
              <w:pStyle w:val="TableContents"/>
              <w:spacing w:before="0" w:after="283"/>
              <w:jc w:val="left"/>
              <w:rPr/>
            </w:pPr>
            <w:r>
              <w:rPr>
                <w:rFonts w:ascii="Arial" w:hAnsi="Arial"/>
              </w:rPr>
              <w:t>Utilizing our enablers Honeywell Operating System (HOS), Functional Transformation and Velocity Product Development (VPD)</w:t>
            </w:r>
            <w:r>
              <w:rPr/>
              <w:t xml:space="preserve">™ </w:t>
            </w:r>
            <w:r>
              <w:rPr>
                <w:rFonts w:ascii="Arial" w:hAnsi="Arial"/>
              </w:rPr>
              <w:t>to standardize the way we work, increase quality and reduce the costs of product manufacturing, reduce costs and enhance the quality of our</w:t>
            </w:r>
          </w:p>
        </w:tc>
      </w:tr>
    </w:tbl>
    <w:p>
      <w:pPr>
        <w:pStyle w:val="TextBody"/>
        <w:jc w:val="center"/>
        <w:rPr>
          <w:rFonts w:ascii="Arial" w:hAnsi="Arial"/>
        </w:rPr>
      </w:pPr>
      <w:r>
        <w:rPr>
          <w:rFonts w:ascii="Arial" w:hAnsi="Arial"/>
        </w:rPr>
        <w:t>23</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359"/>
        <w:gridCol w:w="147"/>
        <w:gridCol w:w="9699"/>
      </w:tblGrid>
      <w:tr>
        <w:trPr/>
        <w:tc>
          <w:tcPr>
            <w:tcW w:w="359" w:type="dxa"/>
            <w:tcBorders/>
            <w:shd w:fill="FFFFFF" w:val="clear"/>
          </w:tcPr>
          <w:p>
            <w:pPr>
              <w:pStyle w:val="TableContents"/>
              <w:pageBreakBefore/>
              <w:spacing w:before="0" w:after="283"/>
              <w:rPr>
                <w:sz w:val="4"/>
                <w:szCs w:val="4"/>
              </w:rPr>
            </w:pPr>
            <w:r>
              <w:rPr>
                <w:sz w:val="4"/>
                <w:szCs w:val="4"/>
              </w:rPr>
            </w:r>
          </w:p>
        </w:tc>
        <w:tc>
          <w:tcPr>
            <w:tcW w:w="147" w:type="dxa"/>
            <w:tcBorders/>
            <w:shd w:fill="FFFFFF" w:val="clear"/>
          </w:tcPr>
          <w:p>
            <w:pPr>
              <w:pStyle w:val="TableContents"/>
              <w:spacing w:before="0" w:after="283"/>
              <w:jc w:val="left"/>
              <w:rPr/>
            </w:pPr>
            <w:r>
              <w:rPr/>
              <w:t> </w:t>
            </w:r>
          </w:p>
        </w:tc>
        <w:tc>
          <w:tcPr>
            <w:tcW w:w="9699" w:type="dxa"/>
            <w:tcBorders/>
            <w:shd w:fill="FFFFFF" w:val="clear"/>
          </w:tcPr>
          <w:p>
            <w:pPr>
              <w:pStyle w:val="TableContents"/>
              <w:spacing w:before="0" w:after="283"/>
              <w:jc w:val="left"/>
              <w:rPr>
                <w:rFonts w:ascii="Arial" w:hAnsi="Arial"/>
              </w:rPr>
            </w:pPr>
            <w:r>
              <w:rPr>
                <w:rFonts w:ascii="Arial" w:hAnsi="Arial"/>
              </w:rPr>
              <w:t>administrative functions and improve business operations through investments in systems and process improvements; and</w:t>
            </w:r>
          </w:p>
        </w:tc>
      </w:tr>
      <w:tr>
        <w:trPr/>
        <w:tc>
          <w:tcPr>
            <w:tcW w:w="359" w:type="dxa"/>
            <w:tcBorders/>
            <w:shd w:fill="FFFFFF" w:val="clear"/>
          </w:tcPr>
          <w:p>
            <w:pPr>
              <w:pStyle w:val="TableContents"/>
              <w:spacing w:before="0" w:after="283"/>
              <w:rPr>
                <w:sz w:val="4"/>
                <w:szCs w:val="4"/>
              </w:rPr>
            </w:pPr>
            <w:r>
              <w:rPr>
                <w:sz w:val="4"/>
                <w:szCs w:val="4"/>
              </w:rPr>
            </w:r>
          </w:p>
        </w:tc>
        <w:tc>
          <w:tcPr>
            <w:tcW w:w="147" w:type="dxa"/>
            <w:tcBorders/>
            <w:shd w:fill="FFFFFF" w:val="clear"/>
          </w:tcPr>
          <w:p>
            <w:pPr>
              <w:pStyle w:val="TableContents"/>
              <w:spacing w:before="0" w:after="283"/>
              <w:jc w:val="left"/>
              <w:rPr/>
            </w:pPr>
            <w:r>
              <w:rPr/>
              <w:t> </w:t>
            </w:r>
          </w:p>
        </w:tc>
        <w:tc>
          <w:tcPr>
            <w:tcW w:w="9699" w:type="dxa"/>
            <w:tcBorders/>
            <w:shd w:fill="FFFFFF" w:val="clear"/>
          </w:tcPr>
          <w:p>
            <w:pPr>
              <w:pStyle w:val="TableContents"/>
              <w:spacing w:before="0" w:after="283"/>
              <w:jc w:val="left"/>
              <w:rPr/>
            </w:pPr>
            <w:r>
              <w:rPr/>
              <w:t> </w:t>
            </w:r>
          </w:p>
        </w:tc>
      </w:tr>
      <w:tr>
        <w:trPr/>
        <w:tc>
          <w:tcPr>
            <w:tcW w:w="359" w:type="dxa"/>
            <w:tcBorders/>
            <w:shd w:fill="FFFFFF" w:val="clear"/>
          </w:tcPr>
          <w:p>
            <w:pPr>
              <w:pStyle w:val="TableContents"/>
              <w:spacing w:before="0" w:after="283"/>
              <w:rPr>
                <w:sz w:val="4"/>
                <w:szCs w:val="4"/>
              </w:rPr>
            </w:pPr>
            <w:r>
              <w:rPr>
                <w:sz w:val="4"/>
                <w:szCs w:val="4"/>
              </w:rPr>
            </w:r>
          </w:p>
        </w:tc>
        <w:tc>
          <w:tcPr>
            <w:tcW w:w="147" w:type="dxa"/>
            <w:tcBorders/>
            <w:shd w:fill="FFFFFF" w:val="clear"/>
          </w:tcPr>
          <w:p>
            <w:pPr>
              <w:pStyle w:val="TableContents"/>
              <w:spacing w:before="0" w:after="283"/>
              <w:jc w:val="left"/>
              <w:rPr/>
            </w:pPr>
            <w:r>
              <w:rPr/>
              <w:t>•</w:t>
            </w:r>
          </w:p>
        </w:tc>
        <w:tc>
          <w:tcPr>
            <w:tcW w:w="9699" w:type="dxa"/>
            <w:tcBorders/>
            <w:shd w:fill="FFFFFF" w:val="clear"/>
          </w:tcPr>
          <w:p>
            <w:pPr>
              <w:pStyle w:val="TableContents"/>
              <w:spacing w:before="0" w:after="283"/>
              <w:jc w:val="left"/>
              <w:rPr>
                <w:rFonts w:ascii="Arial" w:hAnsi="Arial"/>
              </w:rPr>
            </w:pPr>
            <w:r>
              <w:rPr>
                <w:rFonts w:ascii="Arial" w:hAnsi="Arial"/>
              </w:rPr>
              <w:t>Managing Corporate costs, including costs incurred for asbestos and environmental matters, pension and other post-retirement expenses and our tax expense.</w:t>
            </w:r>
          </w:p>
        </w:tc>
      </w:tr>
    </w:tbl>
    <w:p>
      <w:pPr>
        <w:pStyle w:val="TextBody"/>
        <w:jc w:val="left"/>
        <w:rPr>
          <w:rFonts w:ascii="Arial" w:hAnsi="Arial"/>
          <w:b/>
        </w:rPr>
      </w:pPr>
      <w:r>
        <w:rPr>
          <w:rFonts w:ascii="Arial" w:hAnsi="Arial"/>
          <w:b/>
        </w:rPr>
        <w:t>Review of Business Segments</w:t>
      </w:r>
    </w:p>
    <w:tbl>
      <w:tblPr>
        <w:tblW w:w="5000" w:type="pct"/>
        <w:jc w:val="left"/>
        <w:tblInd w:w="0" w:type="dxa"/>
        <w:tblCellMar>
          <w:top w:w="0" w:type="dxa"/>
          <w:left w:w="0" w:type="dxa"/>
          <w:bottom w:w="0" w:type="dxa"/>
          <w:right w:w="0" w:type="dxa"/>
        </w:tblCellMar>
      </w:tblPr>
      <w:tblGrid>
        <w:gridCol w:w="573"/>
        <w:gridCol w:w="3906"/>
        <w:gridCol w:w="241"/>
        <w:gridCol w:w="177"/>
        <w:gridCol w:w="1356"/>
        <w:gridCol w:w="132"/>
        <w:gridCol w:w="241"/>
        <w:gridCol w:w="177"/>
        <w:gridCol w:w="1356"/>
        <w:gridCol w:w="132"/>
        <w:gridCol w:w="241"/>
        <w:gridCol w:w="177"/>
        <w:gridCol w:w="1356"/>
        <w:gridCol w:w="140"/>
      </w:tblGrid>
      <w:tr>
        <w:trPr/>
        <w:tc>
          <w:tcPr>
            <w:tcW w:w="573" w:type="dxa"/>
            <w:tcBorders/>
            <w:shd w:fill="FFFFFF" w:val="clear"/>
            <w:vAlign w:val="center"/>
          </w:tcPr>
          <w:p>
            <w:pPr>
              <w:pStyle w:val="TableContents"/>
              <w:spacing w:before="0" w:after="283"/>
              <w:rPr/>
            </w:pPr>
            <w:r>
              <w:rPr/>
              <w:t> </w:t>
            </w:r>
          </w:p>
        </w:tc>
        <w:tc>
          <w:tcPr>
            <w:tcW w:w="3906"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66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1" w:type="dxa"/>
            <w:tcBorders/>
            <w:shd w:fill="FFFFFF" w:val="clear"/>
            <w:vAlign w:val="center"/>
          </w:tcPr>
          <w:p>
            <w:pPr>
              <w:pStyle w:val="TableContents"/>
              <w:spacing w:before="0" w:after="283"/>
              <w:rPr/>
            </w:pPr>
            <w:r>
              <w:rPr/>
              <w:t> </w:t>
            </w:r>
          </w:p>
        </w:tc>
        <w:tc>
          <w:tcPr>
            <w:tcW w:w="166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1" w:type="dxa"/>
            <w:tcBorders/>
            <w:shd w:fill="FFFFFF" w:val="clear"/>
            <w:vAlign w:val="center"/>
          </w:tcPr>
          <w:p>
            <w:pPr>
              <w:pStyle w:val="TableContents"/>
              <w:spacing w:before="0" w:after="283"/>
              <w:rPr/>
            </w:pPr>
            <w:r>
              <w:rPr/>
              <w:t> </w:t>
            </w:r>
          </w:p>
        </w:tc>
        <w:tc>
          <w:tcPr>
            <w:tcW w:w="1673"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73" w:type="dxa"/>
            <w:tcBorders/>
            <w:shd w:fill="FFFFFF" w:val="clear"/>
            <w:vAlign w:val="center"/>
          </w:tcPr>
          <w:p>
            <w:pPr>
              <w:pStyle w:val="TableContents"/>
              <w:spacing w:before="0" w:after="283"/>
              <w:rPr/>
            </w:pPr>
            <w:r>
              <w:rPr/>
              <w:t> </w:t>
            </w:r>
          </w:p>
        </w:tc>
        <w:tc>
          <w:tcPr>
            <w:tcW w:w="3906"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5485"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jc w:val="left"/>
              <w:rPr>
                <w:rFonts w:ascii="Arial" w:hAnsi="Arial"/>
              </w:rPr>
            </w:pPr>
            <w:r>
              <w:rPr>
                <w:rFonts w:ascii="Arial" w:hAnsi="Arial"/>
              </w:rPr>
              <w:t>Net Sales</w:t>
            </w:r>
          </w:p>
        </w:tc>
        <w:tc>
          <w:tcPr>
            <w:tcW w:w="241"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jc w:val="left"/>
              <w:rPr>
                <w:rFonts w:ascii="Arial" w:hAnsi="Arial"/>
              </w:rPr>
            </w:pPr>
            <w:r>
              <w:rPr>
                <w:rFonts w:ascii="Arial" w:hAnsi="Arial"/>
              </w:rPr>
              <w:t>Aerospace</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1356" w:type="dxa"/>
            <w:tcBorders/>
            <w:shd w:fill="E5FFFF" w:val="clear"/>
            <w:vAlign w:val="bottom"/>
          </w:tcPr>
          <w:p>
            <w:pPr>
              <w:pStyle w:val="TableContents"/>
              <w:spacing w:before="0" w:after="283"/>
              <w:jc w:val="right"/>
              <w:rPr>
                <w:rFonts w:ascii="Arial" w:hAnsi="Arial"/>
              </w:rPr>
            </w:pPr>
            <w:r>
              <w:rPr>
                <w:rFonts w:ascii="Arial" w:hAnsi="Arial"/>
              </w:rPr>
              <w:t>11,124</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1356" w:type="dxa"/>
            <w:tcBorders/>
            <w:shd w:fill="E5FFFF" w:val="clear"/>
            <w:vAlign w:val="bottom"/>
          </w:tcPr>
          <w:p>
            <w:pPr>
              <w:pStyle w:val="TableContents"/>
              <w:spacing w:before="0" w:after="283"/>
              <w:jc w:val="right"/>
              <w:rPr>
                <w:rFonts w:ascii="Arial" w:hAnsi="Arial"/>
              </w:rPr>
            </w:pPr>
            <w:r>
              <w:rPr>
                <w:rFonts w:ascii="Arial" w:hAnsi="Arial"/>
              </w:rPr>
              <w:t>10,496</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1356" w:type="dxa"/>
            <w:tcBorders/>
            <w:shd w:fill="E5FFFF" w:val="clear"/>
            <w:vAlign w:val="bottom"/>
          </w:tcPr>
          <w:p>
            <w:pPr>
              <w:pStyle w:val="TableContents"/>
              <w:spacing w:before="0" w:after="283"/>
              <w:jc w:val="right"/>
              <w:rPr>
                <w:rFonts w:ascii="Arial" w:hAnsi="Arial"/>
              </w:rPr>
            </w:pPr>
            <w:r>
              <w:rPr>
                <w:rFonts w:ascii="Arial" w:hAnsi="Arial"/>
              </w:rPr>
              <w:t>9,740</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jc w:val="left"/>
              <w:rPr>
                <w:rFonts w:ascii="Arial" w:hAnsi="Arial"/>
              </w:rPr>
            </w:pPr>
            <w:r>
              <w:rPr>
                <w:rFonts w:ascii="Arial" w:hAnsi="Arial"/>
              </w:rPr>
              <w:t>Automation and Control Solutions</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11,020</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9,416</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8,031</w:t>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jc w:val="left"/>
              <w:rPr>
                <w:rFonts w:ascii="Arial" w:hAnsi="Arial"/>
              </w:rPr>
            </w:pPr>
            <w:r>
              <w:rPr>
                <w:rFonts w:ascii="Arial" w:hAnsi="Arial"/>
              </w:rPr>
              <w:t>Specialty Materials</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4,631</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3,234</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3,497</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jc w:val="left"/>
              <w:rPr>
                <w:rFonts w:ascii="Arial" w:hAnsi="Arial"/>
              </w:rPr>
            </w:pPr>
            <w:r>
              <w:rPr>
                <w:rFonts w:ascii="Arial" w:hAnsi="Arial"/>
              </w:rPr>
              <w:t>Transportation Systems</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4,592</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4,505</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4,323</w:t>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jc w:val="left"/>
              <w:rPr>
                <w:rFonts w:ascii="Arial" w:hAnsi="Arial"/>
              </w:rPr>
            </w:pPr>
            <w:r>
              <w:rPr>
                <w:rFonts w:ascii="Arial" w:hAnsi="Arial"/>
              </w:rPr>
              <w:t>Corporate</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pPr>
            <w:r>
              <w:rPr/>
              <w:t>—</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1</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2</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center"/>
          </w:tcPr>
          <w:p>
            <w:pPr>
              <w:pStyle w:val="TableContents"/>
              <w:spacing w:before="0" w:after="283"/>
              <w:rPr/>
            </w:pPr>
            <w:r>
              <w:rPr/>
              <w:t> </w:t>
            </w:r>
          </w:p>
        </w:tc>
        <w:tc>
          <w:tcPr>
            <w:tcW w:w="3906"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HorizontalLine"/>
              <w:pBdr>
                <w:bottom w:val="single" w:sz="6" w:space="0" w:color="000000"/>
              </w:pBdr>
              <w:spacing w:before="0" w:after="283"/>
              <w:rPr/>
            </w:pPr>
            <w:r>
              <w:rPr/>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HorizontalLine"/>
              <w:pBdr>
                <w:bottom w:val="single" w:sz="6" w:space="0" w:color="000000"/>
              </w:pBdr>
              <w:spacing w:before="0" w:after="283"/>
              <w:rPr/>
            </w:pPr>
            <w:r>
              <w:rPr/>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HorizontalLine"/>
              <w:pBdr>
                <w:bottom w:val="single" w:sz="6" w:space="0" w:color="000000"/>
              </w:pBdr>
              <w:spacing w:before="0" w:after="283"/>
              <w:rPr/>
            </w:pPr>
            <w:r>
              <w:rPr/>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rPr>
                <w:sz w:val="4"/>
                <w:szCs w:val="4"/>
              </w:rPr>
            </w:pPr>
            <w:r>
              <w:rPr>
                <w:sz w:val="4"/>
                <w:szCs w:val="4"/>
              </w:rPr>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1356" w:type="dxa"/>
            <w:tcBorders/>
            <w:shd w:fill="E5FFFF" w:val="clear"/>
            <w:vAlign w:val="bottom"/>
          </w:tcPr>
          <w:p>
            <w:pPr>
              <w:pStyle w:val="TableContents"/>
              <w:spacing w:before="0" w:after="283"/>
              <w:jc w:val="right"/>
              <w:rPr>
                <w:rFonts w:ascii="Arial" w:hAnsi="Arial"/>
              </w:rPr>
            </w:pPr>
            <w:r>
              <w:rPr>
                <w:rFonts w:ascii="Arial" w:hAnsi="Arial"/>
              </w:rPr>
              <w:t>31,367</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1356" w:type="dxa"/>
            <w:tcBorders/>
            <w:shd w:fill="E5FFFF" w:val="clear"/>
            <w:vAlign w:val="bottom"/>
          </w:tcPr>
          <w:p>
            <w:pPr>
              <w:pStyle w:val="TableContents"/>
              <w:spacing w:before="0" w:after="283"/>
              <w:jc w:val="right"/>
              <w:rPr>
                <w:rFonts w:ascii="Arial" w:hAnsi="Arial"/>
              </w:rPr>
            </w:pPr>
            <w:r>
              <w:rPr>
                <w:rFonts w:ascii="Arial" w:hAnsi="Arial"/>
              </w:rPr>
              <w:t>27,652</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1356" w:type="dxa"/>
            <w:tcBorders/>
            <w:shd w:fill="E5FFFF" w:val="clear"/>
            <w:vAlign w:val="bottom"/>
          </w:tcPr>
          <w:p>
            <w:pPr>
              <w:pStyle w:val="TableContents"/>
              <w:spacing w:before="0" w:after="283"/>
              <w:jc w:val="right"/>
              <w:rPr>
                <w:rFonts w:ascii="Arial" w:hAnsi="Arial"/>
              </w:rPr>
            </w:pPr>
            <w:r>
              <w:rPr>
                <w:rFonts w:ascii="Arial" w:hAnsi="Arial"/>
              </w:rPr>
              <w:t>25,593</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center"/>
          </w:tcPr>
          <w:p>
            <w:pPr>
              <w:pStyle w:val="TableContents"/>
              <w:spacing w:before="0" w:after="283"/>
              <w:rPr/>
            </w:pPr>
            <w:r>
              <w:rPr/>
              <w:t> </w:t>
            </w:r>
          </w:p>
        </w:tc>
        <w:tc>
          <w:tcPr>
            <w:tcW w:w="3906"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HorizontalLine"/>
              <w:pBdr>
                <w:bottom w:val="single" w:sz="18" w:space="0" w:color="000000"/>
              </w:pBdr>
              <w:spacing w:before="0" w:after="283"/>
              <w:rPr/>
            </w:pPr>
            <w:r>
              <w:rPr/>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HorizontalLine"/>
              <w:pBdr>
                <w:bottom w:val="single" w:sz="18" w:space="0" w:color="000000"/>
              </w:pBdr>
              <w:spacing w:before="0" w:after="283"/>
              <w:rPr/>
            </w:pPr>
            <w:r>
              <w:rPr/>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HorizontalLine"/>
              <w:pBdr>
                <w:bottom w:val="single" w:sz="18" w:space="0" w:color="000000"/>
              </w:pBdr>
              <w:spacing w:before="0" w:after="283"/>
              <w:rPr/>
            </w:pPr>
            <w:r>
              <w:rPr/>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jc w:val="left"/>
              <w:rPr>
                <w:rFonts w:ascii="Arial" w:hAnsi="Arial"/>
              </w:rPr>
            </w:pPr>
            <w:r>
              <w:rPr>
                <w:rFonts w:ascii="Arial" w:hAnsi="Arial"/>
              </w:rPr>
              <w:t>Segment Profit</w:t>
            </w:r>
          </w:p>
        </w:tc>
        <w:tc>
          <w:tcPr>
            <w:tcW w:w="241" w:type="dxa"/>
            <w:tcBorders/>
            <w:shd w:fill="E5FFFF" w:val="clear"/>
            <w:vAlign w:val="center"/>
          </w:tcPr>
          <w:p>
            <w:pPr>
              <w:pStyle w:val="TableContents"/>
              <w:spacing w:before="0" w:after="283"/>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center"/>
          </w:tcPr>
          <w:p>
            <w:pPr>
              <w:pStyle w:val="TableContents"/>
              <w:spacing w:before="0" w:after="283"/>
              <w:rPr/>
            </w:pPr>
            <w:r>
              <w:rPr/>
              <w:t> </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center"/>
          </w:tcPr>
          <w:p>
            <w:pPr>
              <w:pStyle w:val="TableContents"/>
              <w:spacing w:before="0" w:after="283"/>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center"/>
          </w:tcPr>
          <w:p>
            <w:pPr>
              <w:pStyle w:val="TableContents"/>
              <w:spacing w:before="0" w:after="283"/>
              <w:rPr/>
            </w:pPr>
            <w:r>
              <w:rPr/>
              <w:t> </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center"/>
          </w:tcPr>
          <w:p>
            <w:pPr>
              <w:pStyle w:val="TableContents"/>
              <w:spacing w:before="0" w:after="283"/>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center"/>
          </w:tcPr>
          <w:p>
            <w:pPr>
              <w:pStyle w:val="TableContents"/>
              <w:spacing w:before="0" w:after="283"/>
              <w:rPr/>
            </w:pPr>
            <w:r>
              <w:rPr/>
              <w:t> </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jc w:val="left"/>
              <w:rPr>
                <w:rFonts w:ascii="Arial" w:hAnsi="Arial"/>
              </w:rPr>
            </w:pPr>
            <w:r>
              <w:rPr>
                <w:rFonts w:ascii="Arial" w:hAnsi="Arial"/>
              </w:rPr>
              <w:t>Aerospace</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1356" w:type="dxa"/>
            <w:tcBorders/>
            <w:shd w:fill="FFFFFF" w:val="clear"/>
            <w:vAlign w:val="bottom"/>
          </w:tcPr>
          <w:p>
            <w:pPr>
              <w:pStyle w:val="TableContents"/>
              <w:spacing w:before="0" w:after="283"/>
              <w:jc w:val="right"/>
              <w:rPr>
                <w:rFonts w:ascii="Arial" w:hAnsi="Arial"/>
              </w:rPr>
            </w:pPr>
            <w:r>
              <w:rPr>
                <w:rFonts w:ascii="Arial" w:hAnsi="Arial"/>
              </w:rPr>
              <w:t>1,892</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1356" w:type="dxa"/>
            <w:tcBorders/>
            <w:shd w:fill="FFFFFF" w:val="clear"/>
            <w:vAlign w:val="bottom"/>
          </w:tcPr>
          <w:p>
            <w:pPr>
              <w:pStyle w:val="TableContents"/>
              <w:spacing w:before="0" w:after="283"/>
              <w:jc w:val="right"/>
              <w:rPr>
                <w:rFonts w:ascii="Arial" w:hAnsi="Arial"/>
              </w:rPr>
            </w:pPr>
            <w:r>
              <w:rPr>
                <w:rFonts w:ascii="Arial" w:hAnsi="Arial"/>
              </w:rPr>
              <w:t>1,676</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1356" w:type="dxa"/>
            <w:tcBorders/>
            <w:shd w:fill="FFFFFF" w:val="clear"/>
            <w:vAlign w:val="bottom"/>
          </w:tcPr>
          <w:p>
            <w:pPr>
              <w:pStyle w:val="TableContents"/>
              <w:spacing w:before="0" w:after="283"/>
              <w:jc w:val="right"/>
              <w:rPr>
                <w:rFonts w:ascii="Arial" w:hAnsi="Arial"/>
              </w:rPr>
            </w:pPr>
            <w:r>
              <w:rPr>
                <w:rFonts w:ascii="Arial" w:hAnsi="Arial"/>
              </w:rPr>
              <w:t>1,422</w:t>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jc w:val="left"/>
              <w:rPr>
                <w:rFonts w:ascii="Arial" w:hAnsi="Arial"/>
              </w:rPr>
            </w:pPr>
            <w:r>
              <w:rPr>
                <w:rFonts w:ascii="Arial" w:hAnsi="Arial"/>
              </w:rPr>
              <w:t>Automation and Control Solutions</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1,223</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1,065</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894</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jc w:val="left"/>
              <w:rPr>
                <w:rFonts w:ascii="Arial" w:hAnsi="Arial"/>
              </w:rPr>
            </w:pPr>
            <w:r>
              <w:rPr>
                <w:rFonts w:ascii="Arial" w:hAnsi="Arial"/>
              </w:rPr>
              <w:t>Specialty Materials</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568</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257</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184</w:t>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bottom"/>
          </w:tcPr>
          <w:p>
            <w:pPr>
              <w:pStyle w:val="TableContents"/>
              <w:spacing w:before="0" w:after="283"/>
              <w:jc w:val="left"/>
              <w:rPr/>
            </w:pPr>
            <w:r>
              <w:rPr/>
              <w:t>      </w:t>
            </w:r>
          </w:p>
        </w:tc>
        <w:tc>
          <w:tcPr>
            <w:tcW w:w="3906" w:type="dxa"/>
            <w:tcBorders/>
            <w:shd w:fill="E5FFFF" w:val="clear"/>
            <w:vAlign w:val="bottom"/>
          </w:tcPr>
          <w:p>
            <w:pPr>
              <w:pStyle w:val="TableContents"/>
              <w:spacing w:before="0" w:after="283"/>
              <w:jc w:val="left"/>
              <w:rPr>
                <w:rFonts w:ascii="Arial" w:hAnsi="Arial"/>
              </w:rPr>
            </w:pPr>
            <w:r>
              <w:rPr>
                <w:rFonts w:ascii="Arial" w:hAnsi="Arial"/>
              </w:rPr>
              <w:t>Transportation Systems</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574</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557</w:t>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TableContents"/>
              <w:spacing w:before="0" w:after="283"/>
              <w:jc w:val="right"/>
              <w:rPr>
                <w:rFonts w:ascii="Arial" w:hAnsi="Arial"/>
              </w:rPr>
            </w:pPr>
            <w:r>
              <w:rPr>
                <w:rFonts w:ascii="Arial" w:hAnsi="Arial"/>
              </w:rPr>
              <w:t>575</w:t>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jc w:val="left"/>
              <w:rPr>
                <w:rFonts w:ascii="Arial" w:hAnsi="Arial"/>
              </w:rPr>
            </w:pPr>
            <w:r>
              <w:rPr>
                <w:rFonts w:ascii="Arial" w:hAnsi="Arial"/>
              </w:rPr>
              <w:t>Corporate</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(177</w:t>
            </w:r>
          </w:p>
        </w:tc>
        <w:tc>
          <w:tcPr>
            <w:tcW w:w="132" w:type="dxa"/>
            <w:tcBorders/>
            <w:shd w:fill="FFFFFF" w:val="clear"/>
            <w:vAlign w:val="bottom"/>
          </w:tcPr>
          <w:p>
            <w:pPr>
              <w:pStyle w:val="TableContents"/>
              <w:spacing w:before="0" w:after="283"/>
              <w:jc w:val="left"/>
              <w:rPr>
                <w:rFonts w:ascii="Arial" w:hAnsi="Arial"/>
              </w:rPr>
            </w:pPr>
            <w:r>
              <w:rPr>
                <w:rFonts w:ascii="Arial" w:hAnsi="Arial"/>
              </w:rPr>
              <w:t>)</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(173</w:t>
            </w:r>
          </w:p>
        </w:tc>
        <w:tc>
          <w:tcPr>
            <w:tcW w:w="132" w:type="dxa"/>
            <w:tcBorders/>
            <w:shd w:fill="FFFFFF" w:val="clear"/>
            <w:vAlign w:val="bottom"/>
          </w:tcPr>
          <w:p>
            <w:pPr>
              <w:pStyle w:val="TableContents"/>
              <w:spacing w:before="0" w:after="283"/>
              <w:jc w:val="left"/>
              <w:rPr>
                <w:rFonts w:ascii="Arial" w:hAnsi="Arial"/>
              </w:rPr>
            </w:pPr>
            <w:r>
              <w:rPr>
                <w:rFonts w:ascii="Arial" w:hAnsi="Arial"/>
              </w:rPr>
              <w:t>)</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bottom"/>
          </w:tcPr>
          <w:p>
            <w:pPr>
              <w:pStyle w:val="TableContents"/>
              <w:spacing w:before="0" w:after="283"/>
              <w:jc w:val="right"/>
              <w:rPr>
                <w:rFonts w:ascii="Arial" w:hAnsi="Arial"/>
              </w:rPr>
            </w:pPr>
            <w:r>
              <w:rPr>
                <w:rFonts w:ascii="Arial" w:hAnsi="Arial"/>
              </w:rPr>
              <w:t>(158</w:t>
            </w:r>
          </w:p>
        </w:tc>
        <w:tc>
          <w:tcPr>
            <w:tcW w:w="14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73" w:type="dxa"/>
            <w:tcBorders/>
            <w:shd w:fill="E5FFFF" w:val="clear"/>
            <w:vAlign w:val="center"/>
          </w:tcPr>
          <w:p>
            <w:pPr>
              <w:pStyle w:val="TableContents"/>
              <w:spacing w:before="0" w:after="283"/>
              <w:rPr/>
            </w:pPr>
            <w:r>
              <w:rPr/>
              <w:t> </w:t>
            </w:r>
          </w:p>
        </w:tc>
        <w:tc>
          <w:tcPr>
            <w:tcW w:w="3906"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HorizontalLine"/>
              <w:pBdr>
                <w:bottom w:val="single" w:sz="6" w:space="0" w:color="000000"/>
              </w:pBdr>
              <w:spacing w:before="0" w:after="283"/>
              <w:rPr/>
            </w:pPr>
            <w:r>
              <w:rPr/>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HorizontalLine"/>
              <w:pBdr>
                <w:bottom w:val="single" w:sz="6" w:space="0" w:color="000000"/>
              </w:pBdr>
              <w:spacing w:before="0" w:after="283"/>
              <w:rPr/>
            </w:pPr>
            <w:r>
              <w:rPr/>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HorizontalLine"/>
              <w:pBdr>
                <w:bottom w:val="single" w:sz="6" w:space="0" w:color="000000"/>
              </w:pBdr>
              <w:spacing w:before="0" w:after="283"/>
              <w:rPr/>
            </w:pPr>
            <w:r>
              <w:rPr/>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rPr>
                <w:sz w:val="4"/>
                <w:szCs w:val="4"/>
              </w:rPr>
            </w:pPr>
            <w:r>
              <w:rPr>
                <w:sz w:val="4"/>
                <w:szCs w:val="4"/>
              </w:rPr>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1356" w:type="dxa"/>
            <w:tcBorders/>
            <w:shd w:fill="FFFFFF" w:val="clear"/>
            <w:vAlign w:val="bottom"/>
          </w:tcPr>
          <w:p>
            <w:pPr>
              <w:pStyle w:val="TableContents"/>
              <w:spacing w:before="0" w:after="283"/>
              <w:jc w:val="right"/>
              <w:rPr>
                <w:rFonts w:ascii="Arial" w:hAnsi="Arial"/>
              </w:rPr>
            </w:pPr>
            <w:r>
              <w:rPr>
                <w:rFonts w:ascii="Arial" w:hAnsi="Arial"/>
              </w:rPr>
              <w:t>4,080</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1356" w:type="dxa"/>
            <w:tcBorders/>
            <w:shd w:fill="FFFFFF" w:val="clear"/>
            <w:vAlign w:val="bottom"/>
          </w:tcPr>
          <w:p>
            <w:pPr>
              <w:pStyle w:val="TableContents"/>
              <w:spacing w:before="0" w:after="283"/>
              <w:jc w:val="right"/>
              <w:rPr>
                <w:rFonts w:ascii="Arial" w:hAnsi="Arial"/>
              </w:rPr>
            </w:pPr>
            <w:r>
              <w:rPr>
                <w:rFonts w:ascii="Arial" w:hAnsi="Arial"/>
              </w:rPr>
              <w:t>3,382</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1356" w:type="dxa"/>
            <w:tcBorders/>
            <w:shd w:fill="FFFFFF" w:val="clear"/>
            <w:vAlign w:val="bottom"/>
          </w:tcPr>
          <w:p>
            <w:pPr>
              <w:pStyle w:val="TableContents"/>
              <w:spacing w:before="0" w:after="283"/>
              <w:jc w:val="right"/>
              <w:rPr>
                <w:rFonts w:ascii="Arial" w:hAnsi="Arial"/>
              </w:rPr>
            </w:pPr>
            <w:r>
              <w:rPr>
                <w:rFonts w:ascii="Arial" w:hAnsi="Arial"/>
              </w:rPr>
              <w:t>2,917</w:t>
            </w:r>
          </w:p>
        </w:tc>
        <w:tc>
          <w:tcPr>
            <w:tcW w:w="140" w:type="dxa"/>
            <w:tcBorders/>
            <w:shd w:fill="FFFFFF" w:val="clear"/>
            <w:vAlign w:val="center"/>
          </w:tcPr>
          <w:p>
            <w:pPr>
              <w:pStyle w:val="TableContents"/>
              <w:spacing w:before="0" w:after="283"/>
              <w:rPr/>
            </w:pPr>
            <w:r>
              <w:rPr/>
              <w:t> </w:t>
            </w:r>
          </w:p>
        </w:tc>
      </w:tr>
      <w:tr>
        <w:trPr/>
        <w:tc>
          <w:tcPr>
            <w:tcW w:w="573" w:type="dxa"/>
            <w:tcBorders/>
            <w:shd w:fill="E5FFFF" w:val="clear"/>
            <w:vAlign w:val="center"/>
          </w:tcPr>
          <w:p>
            <w:pPr>
              <w:pStyle w:val="TableContents"/>
              <w:spacing w:before="0" w:after="283"/>
              <w:rPr/>
            </w:pPr>
            <w:r>
              <w:rPr/>
              <w:t> </w:t>
            </w:r>
          </w:p>
        </w:tc>
        <w:tc>
          <w:tcPr>
            <w:tcW w:w="3906"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HorizontalLine"/>
              <w:pBdr>
                <w:bottom w:val="single" w:sz="18" w:space="0" w:color="000000"/>
              </w:pBdr>
              <w:spacing w:before="0" w:after="283"/>
              <w:rPr/>
            </w:pPr>
            <w:r>
              <w:rPr/>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HorizontalLine"/>
              <w:pBdr>
                <w:bottom w:val="single" w:sz="18" w:space="0" w:color="000000"/>
              </w:pBdr>
              <w:spacing w:before="0" w:after="283"/>
              <w:rPr/>
            </w:pPr>
            <w:r>
              <w:rPr/>
            </w:r>
          </w:p>
        </w:tc>
        <w:tc>
          <w:tcPr>
            <w:tcW w:w="132" w:type="dxa"/>
            <w:tcBorders/>
            <w:shd w:fill="E5FFFF" w:val="clear"/>
            <w:vAlign w:val="center"/>
          </w:tcPr>
          <w:p>
            <w:pPr>
              <w:pStyle w:val="TableContents"/>
              <w:spacing w:before="0" w:after="283"/>
              <w:rPr/>
            </w:pPr>
            <w:r>
              <w:rPr/>
              <w:t> </w:t>
            </w:r>
          </w:p>
        </w:tc>
        <w:tc>
          <w:tcPr>
            <w:tcW w:w="241"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1356" w:type="dxa"/>
            <w:tcBorders/>
            <w:shd w:fill="E5FFFF" w:val="clear"/>
            <w:vAlign w:val="bottom"/>
          </w:tcPr>
          <w:p>
            <w:pPr>
              <w:pStyle w:val="HorizontalLine"/>
              <w:pBdr>
                <w:bottom w:val="single" w:sz="18" w:space="0" w:color="000000"/>
              </w:pBdr>
              <w:spacing w:before="0" w:after="283"/>
              <w:rPr/>
            </w:pPr>
            <w:r>
              <w:rPr/>
            </w:r>
          </w:p>
        </w:tc>
        <w:tc>
          <w:tcPr>
            <w:tcW w:w="140" w:type="dxa"/>
            <w:tcBorders/>
            <w:shd w:fill="E5FFFF" w:val="clear"/>
            <w:vAlign w:val="center"/>
          </w:tcPr>
          <w:p>
            <w:pPr>
              <w:pStyle w:val="TableContents"/>
              <w:spacing w:before="0" w:after="283"/>
              <w:rPr/>
            </w:pPr>
            <w:r>
              <w:rPr/>
              <w:t> </w:t>
            </w:r>
          </w:p>
        </w:tc>
      </w:tr>
      <w:tr>
        <w:trPr/>
        <w:tc>
          <w:tcPr>
            <w:tcW w:w="573" w:type="dxa"/>
            <w:tcBorders/>
            <w:shd w:fill="FFFFFF" w:val="clear"/>
            <w:vAlign w:val="bottom"/>
          </w:tcPr>
          <w:p>
            <w:pPr>
              <w:pStyle w:val="TableContents"/>
              <w:spacing w:before="0" w:after="283"/>
              <w:jc w:val="left"/>
              <w:rPr/>
            </w:pPr>
            <w:r>
              <w:rPr/>
              <w:t>      </w:t>
            </w:r>
          </w:p>
        </w:tc>
        <w:tc>
          <w:tcPr>
            <w:tcW w:w="3906" w:type="dxa"/>
            <w:tcBorders/>
            <w:shd w:fill="FFFFFF" w:val="clear"/>
            <w:vAlign w:val="bottom"/>
          </w:tcPr>
          <w:p>
            <w:pPr>
              <w:pStyle w:val="TableContents"/>
              <w:spacing w:before="0" w:after="283"/>
              <w:rPr>
                <w:sz w:val="4"/>
                <w:szCs w:val="4"/>
              </w:rPr>
            </w:pPr>
            <w:r>
              <w:rPr>
                <w:sz w:val="4"/>
                <w:szCs w:val="4"/>
              </w:rPr>
            </w:r>
          </w:p>
        </w:tc>
        <w:tc>
          <w:tcPr>
            <w:tcW w:w="241"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center"/>
          </w:tcPr>
          <w:p>
            <w:pPr>
              <w:pStyle w:val="TableContents"/>
              <w:spacing w:before="0" w:after="283"/>
              <w:rPr/>
            </w:pPr>
            <w:r>
              <w:rPr/>
              <w:t> </w:t>
            </w:r>
          </w:p>
        </w:tc>
        <w:tc>
          <w:tcPr>
            <w:tcW w:w="132"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1356"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 reconciliation of segment profit to income from continuing operations before taxes follows:</w:t>
      </w:r>
    </w:p>
    <w:tbl>
      <w:tblPr>
        <w:tblW w:w="5000" w:type="pct"/>
        <w:jc w:val="left"/>
        <w:tblInd w:w="0" w:type="dxa"/>
        <w:tblCellMar>
          <w:top w:w="0" w:type="dxa"/>
          <w:left w:w="0" w:type="dxa"/>
          <w:bottom w:w="0" w:type="dxa"/>
          <w:right w:w="0" w:type="dxa"/>
        </w:tblCellMar>
      </w:tblPr>
      <w:tblGrid>
        <w:gridCol w:w="588"/>
        <w:gridCol w:w="4047"/>
        <w:gridCol w:w="242"/>
        <w:gridCol w:w="179"/>
        <w:gridCol w:w="1299"/>
        <w:gridCol w:w="134"/>
        <w:gridCol w:w="242"/>
        <w:gridCol w:w="179"/>
        <w:gridCol w:w="1299"/>
        <w:gridCol w:w="134"/>
        <w:gridCol w:w="242"/>
        <w:gridCol w:w="179"/>
        <w:gridCol w:w="1298"/>
        <w:gridCol w:w="143"/>
      </w:tblGrid>
      <w:tr>
        <w:trPr/>
        <w:tc>
          <w:tcPr>
            <w:tcW w:w="588" w:type="dxa"/>
            <w:tcBorders/>
            <w:shd w:fill="FFFFFF" w:val="clear"/>
            <w:vAlign w:val="center"/>
          </w:tcPr>
          <w:p>
            <w:pPr>
              <w:pStyle w:val="TableContents"/>
              <w:spacing w:before="0" w:after="283"/>
              <w:rPr/>
            </w:pPr>
            <w:r>
              <w:rPr/>
              <w:t> </w:t>
            </w:r>
          </w:p>
        </w:tc>
        <w:tc>
          <w:tcPr>
            <w:tcW w:w="4047"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61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61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62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88" w:type="dxa"/>
            <w:tcBorders/>
            <w:shd w:fill="FFFFFF" w:val="clear"/>
            <w:vAlign w:val="center"/>
          </w:tcPr>
          <w:p>
            <w:pPr>
              <w:pStyle w:val="TableContents"/>
              <w:spacing w:before="0" w:after="283"/>
              <w:rPr/>
            </w:pPr>
            <w:r>
              <w:rPr/>
              <w:t> </w:t>
            </w:r>
          </w:p>
        </w:tc>
        <w:tc>
          <w:tcPr>
            <w:tcW w:w="4047"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5328"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588" w:type="dxa"/>
            <w:tcBorders/>
            <w:shd w:fill="FFFFFF" w:val="clear"/>
            <w:vAlign w:val="bottom"/>
          </w:tcPr>
          <w:p>
            <w:pPr>
              <w:pStyle w:val="TableContents"/>
              <w:spacing w:before="0" w:after="283"/>
              <w:jc w:val="left"/>
              <w:rPr/>
            </w:pPr>
            <w:r>
              <w:rPr/>
              <w:t>      </w:t>
            </w:r>
          </w:p>
        </w:tc>
        <w:tc>
          <w:tcPr>
            <w:tcW w:w="4047" w:type="dxa"/>
            <w:tcBorders/>
            <w:shd w:fill="FFFFFF" w:val="clear"/>
            <w:vAlign w:val="bottom"/>
          </w:tcPr>
          <w:p>
            <w:pPr>
              <w:pStyle w:val="TableContents"/>
              <w:spacing w:before="0" w:after="283"/>
              <w:jc w:val="left"/>
              <w:rPr>
                <w:rFonts w:ascii="Arial" w:hAnsi="Arial"/>
              </w:rPr>
            </w:pPr>
            <w:r>
              <w:rPr>
                <w:rFonts w:ascii="Arial" w:hAnsi="Arial"/>
              </w:rPr>
              <w:t>Segment profit</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right"/>
              <w:rPr>
                <w:rFonts w:ascii="Arial" w:hAnsi="Arial"/>
              </w:rPr>
            </w:pPr>
            <w:r>
              <w:rPr>
                <w:rFonts w:ascii="Arial" w:hAnsi="Arial"/>
              </w:rPr>
              <w:t>$</w:t>
            </w:r>
          </w:p>
        </w:tc>
        <w:tc>
          <w:tcPr>
            <w:tcW w:w="1299" w:type="dxa"/>
            <w:tcBorders/>
            <w:shd w:fill="FFFFFF" w:val="clear"/>
            <w:vAlign w:val="bottom"/>
          </w:tcPr>
          <w:p>
            <w:pPr>
              <w:pStyle w:val="TableContents"/>
              <w:spacing w:before="0" w:after="283"/>
              <w:jc w:val="right"/>
              <w:rPr>
                <w:rFonts w:ascii="Arial" w:hAnsi="Arial"/>
              </w:rPr>
            </w:pPr>
            <w:r>
              <w:rPr>
                <w:rFonts w:ascii="Arial" w:hAnsi="Arial"/>
              </w:rPr>
              <w:t>4,080</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right"/>
              <w:rPr>
                <w:rFonts w:ascii="Arial" w:hAnsi="Arial"/>
              </w:rPr>
            </w:pPr>
            <w:r>
              <w:rPr>
                <w:rFonts w:ascii="Arial" w:hAnsi="Arial"/>
              </w:rPr>
              <w:t>$</w:t>
            </w:r>
          </w:p>
        </w:tc>
        <w:tc>
          <w:tcPr>
            <w:tcW w:w="1299" w:type="dxa"/>
            <w:tcBorders/>
            <w:shd w:fill="FFFFFF" w:val="clear"/>
            <w:vAlign w:val="bottom"/>
          </w:tcPr>
          <w:p>
            <w:pPr>
              <w:pStyle w:val="TableContents"/>
              <w:spacing w:before="0" w:after="283"/>
              <w:jc w:val="right"/>
              <w:rPr>
                <w:rFonts w:ascii="Arial" w:hAnsi="Arial"/>
              </w:rPr>
            </w:pPr>
            <w:r>
              <w:rPr>
                <w:rFonts w:ascii="Arial" w:hAnsi="Arial"/>
              </w:rPr>
              <w:t>3,382</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right"/>
              <w:rPr>
                <w:rFonts w:ascii="Arial" w:hAnsi="Arial"/>
              </w:rPr>
            </w:pPr>
            <w:r>
              <w:rPr>
                <w:rFonts w:ascii="Arial" w:hAnsi="Arial"/>
              </w:rPr>
              <w:t>$</w:t>
            </w:r>
          </w:p>
        </w:tc>
        <w:tc>
          <w:tcPr>
            <w:tcW w:w="1298" w:type="dxa"/>
            <w:tcBorders/>
            <w:shd w:fill="FFFFFF" w:val="clear"/>
            <w:vAlign w:val="bottom"/>
          </w:tcPr>
          <w:p>
            <w:pPr>
              <w:pStyle w:val="TableContents"/>
              <w:spacing w:before="0" w:after="283"/>
              <w:jc w:val="right"/>
              <w:rPr>
                <w:rFonts w:ascii="Arial" w:hAnsi="Arial"/>
              </w:rPr>
            </w:pPr>
            <w:r>
              <w:rPr>
                <w:rFonts w:ascii="Arial" w:hAnsi="Arial"/>
              </w:rPr>
              <w:t>2,917</w:t>
            </w:r>
          </w:p>
        </w:tc>
        <w:tc>
          <w:tcPr>
            <w:tcW w:w="143" w:type="dxa"/>
            <w:tcBorders/>
            <w:shd w:fill="FFFFFF" w:val="clear"/>
            <w:vAlign w:val="center"/>
          </w:tcPr>
          <w:p>
            <w:pPr>
              <w:pStyle w:val="TableContents"/>
              <w:spacing w:before="0" w:after="283"/>
              <w:rPr/>
            </w:pPr>
            <w:r>
              <w:rPr/>
              <w:t> </w:t>
            </w:r>
          </w:p>
        </w:tc>
      </w:tr>
      <w:tr>
        <w:trPr/>
        <w:tc>
          <w:tcPr>
            <w:tcW w:w="588" w:type="dxa"/>
            <w:tcBorders/>
            <w:shd w:fill="E5FFFF" w:val="clear"/>
            <w:vAlign w:val="bottom"/>
          </w:tcPr>
          <w:p>
            <w:pPr>
              <w:pStyle w:val="TableContents"/>
              <w:spacing w:before="0" w:after="283"/>
              <w:jc w:val="left"/>
              <w:rPr/>
            </w:pPr>
            <w:r>
              <w:rPr/>
              <w:t>      </w:t>
            </w:r>
          </w:p>
        </w:tc>
        <w:tc>
          <w:tcPr>
            <w:tcW w:w="4047" w:type="dxa"/>
            <w:tcBorders/>
            <w:shd w:fill="E5FFFF" w:val="clear"/>
            <w:vAlign w:val="bottom"/>
          </w:tcPr>
          <w:p>
            <w:pPr>
              <w:pStyle w:val="TableContents"/>
              <w:spacing w:before="0" w:after="283"/>
              <w:jc w:val="left"/>
              <w:rPr>
                <w:rFonts w:ascii="Arial" w:hAnsi="Arial"/>
              </w:rPr>
            </w:pPr>
            <w:r>
              <w:rPr>
                <w:rFonts w:ascii="Arial" w:hAnsi="Arial"/>
              </w:rPr>
              <w:t>Other income (expense)</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9" w:type="dxa"/>
            <w:tcBorders/>
            <w:shd w:fill="E5FFFF" w:val="clear"/>
            <w:vAlign w:val="bottom"/>
          </w:tcPr>
          <w:p>
            <w:pPr>
              <w:pStyle w:val="TableContents"/>
              <w:spacing w:before="0" w:after="283"/>
              <w:jc w:val="right"/>
              <w:rPr>
                <w:rFonts w:ascii="Arial" w:hAnsi="Arial"/>
              </w:rPr>
            </w:pPr>
            <w:r>
              <w:rPr>
                <w:rFonts w:ascii="Arial" w:hAnsi="Arial"/>
              </w:rPr>
              <w:t>111</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9" w:type="dxa"/>
            <w:tcBorders/>
            <w:shd w:fill="E5FFFF" w:val="clear"/>
            <w:vAlign w:val="bottom"/>
          </w:tcPr>
          <w:p>
            <w:pPr>
              <w:pStyle w:val="TableContents"/>
              <w:spacing w:before="0" w:after="283"/>
              <w:jc w:val="right"/>
              <w:rPr>
                <w:rFonts w:ascii="Arial" w:hAnsi="Arial"/>
              </w:rPr>
            </w:pPr>
            <w:r>
              <w:rPr>
                <w:rFonts w:ascii="Arial" w:hAnsi="Arial"/>
              </w:rPr>
              <w:t>231</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8" w:type="dxa"/>
            <w:tcBorders/>
            <w:shd w:fill="E5FFFF" w:val="clear"/>
            <w:vAlign w:val="bottom"/>
          </w:tcPr>
          <w:p>
            <w:pPr>
              <w:pStyle w:val="TableContents"/>
              <w:spacing w:before="0" w:after="283"/>
              <w:jc w:val="right"/>
              <w:rPr>
                <w:rFonts w:ascii="Arial" w:hAnsi="Arial"/>
              </w:rPr>
            </w:pPr>
            <w:r>
              <w:rPr>
                <w:rFonts w:ascii="Arial" w:hAnsi="Arial"/>
              </w:rPr>
              <w:t>429</w:t>
            </w:r>
          </w:p>
        </w:tc>
        <w:tc>
          <w:tcPr>
            <w:tcW w:w="143" w:type="dxa"/>
            <w:tcBorders/>
            <w:shd w:fill="E5FFFF" w:val="clear"/>
            <w:vAlign w:val="center"/>
          </w:tcPr>
          <w:p>
            <w:pPr>
              <w:pStyle w:val="TableContents"/>
              <w:spacing w:before="0" w:after="283"/>
              <w:rPr/>
            </w:pPr>
            <w:r>
              <w:rPr/>
              <w:t> </w:t>
            </w:r>
          </w:p>
        </w:tc>
      </w:tr>
      <w:tr>
        <w:trPr/>
        <w:tc>
          <w:tcPr>
            <w:tcW w:w="588" w:type="dxa"/>
            <w:tcBorders/>
            <w:shd w:fill="FFFFFF" w:val="clear"/>
            <w:vAlign w:val="bottom"/>
          </w:tcPr>
          <w:p>
            <w:pPr>
              <w:pStyle w:val="TableContents"/>
              <w:spacing w:before="0" w:after="283"/>
              <w:jc w:val="left"/>
              <w:rPr/>
            </w:pPr>
            <w:r>
              <w:rPr/>
              <w:t>      </w:t>
            </w:r>
          </w:p>
        </w:tc>
        <w:tc>
          <w:tcPr>
            <w:tcW w:w="4047" w:type="dxa"/>
            <w:tcBorders/>
            <w:shd w:fill="FFFFFF" w:val="clear"/>
            <w:vAlign w:val="bottom"/>
          </w:tcPr>
          <w:p>
            <w:pPr>
              <w:pStyle w:val="TableContents"/>
              <w:spacing w:before="0" w:after="283"/>
              <w:jc w:val="left"/>
              <w:rPr>
                <w:rFonts w:ascii="Arial" w:hAnsi="Arial"/>
              </w:rPr>
            </w:pPr>
            <w:r>
              <w:rPr>
                <w:rFonts w:ascii="Arial" w:hAnsi="Arial"/>
              </w:rPr>
              <w:t>Interest and other financial charges</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TableContents"/>
              <w:spacing w:before="0" w:after="283"/>
              <w:jc w:val="right"/>
              <w:rPr>
                <w:rFonts w:ascii="Arial" w:hAnsi="Arial"/>
              </w:rPr>
            </w:pPr>
            <w:r>
              <w:rPr>
                <w:rFonts w:ascii="Arial" w:hAnsi="Arial"/>
              </w:rPr>
              <w:t>(374</w:t>
            </w:r>
          </w:p>
        </w:tc>
        <w:tc>
          <w:tcPr>
            <w:tcW w:w="134"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TableContents"/>
              <w:spacing w:before="0" w:after="283"/>
              <w:jc w:val="right"/>
              <w:rPr>
                <w:rFonts w:ascii="Arial" w:hAnsi="Arial"/>
              </w:rPr>
            </w:pPr>
            <w:r>
              <w:rPr>
                <w:rFonts w:ascii="Arial" w:hAnsi="Arial"/>
              </w:rPr>
              <w:t>(356</w:t>
            </w:r>
          </w:p>
        </w:tc>
        <w:tc>
          <w:tcPr>
            <w:tcW w:w="134"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8" w:type="dxa"/>
            <w:tcBorders/>
            <w:shd w:fill="FFFFFF" w:val="clear"/>
            <w:vAlign w:val="bottom"/>
          </w:tcPr>
          <w:p>
            <w:pPr>
              <w:pStyle w:val="TableContents"/>
              <w:spacing w:before="0" w:after="283"/>
              <w:jc w:val="right"/>
              <w:rPr>
                <w:rFonts w:ascii="Arial" w:hAnsi="Arial"/>
              </w:rPr>
            </w:pPr>
            <w:r>
              <w:rPr>
                <w:rFonts w:ascii="Arial" w:hAnsi="Arial"/>
              </w:rPr>
              <w:t>(331</w:t>
            </w:r>
          </w:p>
        </w:tc>
        <w:tc>
          <w:tcPr>
            <w:tcW w:w="143"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88" w:type="dxa"/>
            <w:tcBorders/>
            <w:shd w:fill="E5FFFF" w:val="clear"/>
            <w:vAlign w:val="bottom"/>
          </w:tcPr>
          <w:p>
            <w:pPr>
              <w:pStyle w:val="TableContents"/>
              <w:spacing w:before="0" w:after="283"/>
              <w:jc w:val="left"/>
              <w:rPr/>
            </w:pPr>
            <w:r>
              <w:rPr/>
              <w:t>      </w:t>
            </w:r>
          </w:p>
        </w:tc>
        <w:tc>
          <w:tcPr>
            <w:tcW w:w="4047" w:type="dxa"/>
            <w:tcBorders/>
            <w:shd w:fill="E5FFFF" w:val="clear"/>
            <w:vAlign w:val="bottom"/>
          </w:tcPr>
          <w:p>
            <w:pPr>
              <w:pStyle w:val="TableContents"/>
              <w:spacing w:before="0" w:after="283"/>
              <w:jc w:val="left"/>
              <w:rPr>
                <w:rFonts w:ascii="Arial" w:hAnsi="Arial"/>
              </w:rPr>
            </w:pPr>
            <w:r>
              <w:rPr>
                <w:rFonts w:ascii="Arial" w:hAnsi="Arial"/>
              </w:rPr>
              <w:t>Stock option expense(1)</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9" w:type="dxa"/>
            <w:tcBorders/>
            <w:shd w:fill="E5FFFF" w:val="clear"/>
            <w:vAlign w:val="bottom"/>
          </w:tcPr>
          <w:p>
            <w:pPr>
              <w:pStyle w:val="TableContents"/>
              <w:spacing w:before="0" w:after="283"/>
              <w:jc w:val="right"/>
              <w:rPr>
                <w:rFonts w:ascii="Arial" w:hAnsi="Arial"/>
              </w:rPr>
            </w:pPr>
            <w:r>
              <w:rPr>
                <w:rFonts w:ascii="Arial" w:hAnsi="Arial"/>
              </w:rPr>
              <w:t>(77</w:t>
            </w:r>
          </w:p>
        </w:tc>
        <w:tc>
          <w:tcPr>
            <w:tcW w:w="134"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9" w:type="dxa"/>
            <w:tcBorders/>
            <w:shd w:fill="E5FFFF" w:val="clear"/>
            <w:vAlign w:val="bottom"/>
          </w:tcPr>
          <w:p>
            <w:pPr>
              <w:pStyle w:val="TableContents"/>
              <w:spacing w:before="0" w:after="283"/>
              <w:jc w:val="right"/>
              <w:rPr/>
            </w:pPr>
            <w:r>
              <w:rPr/>
              <w:t>—</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8" w:type="dxa"/>
            <w:tcBorders/>
            <w:shd w:fill="E5FFFF" w:val="clear"/>
            <w:vAlign w:val="bottom"/>
          </w:tcPr>
          <w:p>
            <w:pPr>
              <w:pStyle w:val="TableContents"/>
              <w:spacing w:before="0" w:after="283"/>
              <w:jc w:val="right"/>
              <w:rPr/>
            </w:pPr>
            <w:r>
              <w:rPr/>
              <w:t>—</w:t>
            </w:r>
          </w:p>
        </w:tc>
        <w:tc>
          <w:tcPr>
            <w:tcW w:w="143" w:type="dxa"/>
            <w:tcBorders/>
            <w:shd w:fill="E5FFFF" w:val="clear"/>
            <w:vAlign w:val="center"/>
          </w:tcPr>
          <w:p>
            <w:pPr>
              <w:pStyle w:val="TableContents"/>
              <w:spacing w:before="0" w:after="283"/>
              <w:rPr/>
            </w:pPr>
            <w:r>
              <w:rPr/>
              <w:t> </w:t>
            </w:r>
          </w:p>
        </w:tc>
      </w:tr>
      <w:tr>
        <w:trPr/>
        <w:tc>
          <w:tcPr>
            <w:tcW w:w="588" w:type="dxa"/>
            <w:tcBorders/>
            <w:shd w:fill="FFFFFF" w:val="clear"/>
            <w:vAlign w:val="bottom"/>
          </w:tcPr>
          <w:p>
            <w:pPr>
              <w:pStyle w:val="TableContents"/>
              <w:spacing w:before="0" w:after="283"/>
              <w:jc w:val="left"/>
              <w:rPr/>
            </w:pPr>
            <w:r>
              <w:rPr/>
              <w:t>      </w:t>
            </w:r>
          </w:p>
        </w:tc>
        <w:tc>
          <w:tcPr>
            <w:tcW w:w="4047" w:type="dxa"/>
            <w:tcBorders/>
            <w:shd w:fill="FFFFFF" w:val="clear"/>
            <w:vAlign w:val="bottom"/>
          </w:tcPr>
          <w:p>
            <w:pPr>
              <w:pStyle w:val="TableContents"/>
              <w:spacing w:before="0" w:after="283"/>
              <w:jc w:val="left"/>
              <w:rPr>
                <w:rFonts w:ascii="Arial" w:hAnsi="Arial"/>
              </w:rPr>
            </w:pPr>
            <w:r>
              <w:rPr>
                <w:rFonts w:ascii="Arial" w:hAnsi="Arial"/>
              </w:rPr>
              <w:t>Pension and other postretirement benefits (expense)(1)</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TableContents"/>
              <w:spacing w:before="0" w:after="283"/>
              <w:jc w:val="right"/>
              <w:rPr>
                <w:rFonts w:ascii="Arial" w:hAnsi="Arial"/>
              </w:rPr>
            </w:pPr>
            <w:r>
              <w:rPr>
                <w:rFonts w:ascii="Arial" w:hAnsi="Arial"/>
              </w:rPr>
              <w:t>(459</w:t>
            </w:r>
          </w:p>
        </w:tc>
        <w:tc>
          <w:tcPr>
            <w:tcW w:w="134"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TableContents"/>
              <w:spacing w:before="0" w:after="283"/>
              <w:jc w:val="right"/>
              <w:rPr>
                <w:rFonts w:ascii="Arial" w:hAnsi="Arial"/>
              </w:rPr>
            </w:pPr>
            <w:r>
              <w:rPr>
                <w:rFonts w:ascii="Arial" w:hAnsi="Arial"/>
              </w:rPr>
              <w:t>(561</w:t>
            </w:r>
          </w:p>
        </w:tc>
        <w:tc>
          <w:tcPr>
            <w:tcW w:w="134"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8" w:type="dxa"/>
            <w:tcBorders/>
            <w:shd w:fill="FFFFFF" w:val="clear"/>
            <w:vAlign w:val="bottom"/>
          </w:tcPr>
          <w:p>
            <w:pPr>
              <w:pStyle w:val="TableContents"/>
              <w:spacing w:before="0" w:after="283"/>
              <w:jc w:val="right"/>
              <w:rPr>
                <w:rFonts w:ascii="Arial" w:hAnsi="Arial"/>
              </w:rPr>
            </w:pPr>
            <w:r>
              <w:rPr>
                <w:rFonts w:ascii="Arial" w:hAnsi="Arial"/>
              </w:rPr>
              <w:t>(628</w:t>
            </w:r>
          </w:p>
        </w:tc>
        <w:tc>
          <w:tcPr>
            <w:tcW w:w="143"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88" w:type="dxa"/>
            <w:tcBorders/>
            <w:shd w:fill="E5FFFF" w:val="clear"/>
            <w:vAlign w:val="bottom"/>
          </w:tcPr>
          <w:p>
            <w:pPr>
              <w:pStyle w:val="TableContents"/>
              <w:spacing w:before="0" w:after="283"/>
              <w:jc w:val="left"/>
              <w:rPr/>
            </w:pPr>
            <w:r>
              <w:rPr/>
              <w:t>      </w:t>
            </w:r>
          </w:p>
        </w:tc>
        <w:tc>
          <w:tcPr>
            <w:tcW w:w="4047" w:type="dxa"/>
            <w:tcBorders/>
            <w:shd w:fill="E5FFFF" w:val="clear"/>
            <w:vAlign w:val="bottom"/>
          </w:tcPr>
          <w:p>
            <w:pPr>
              <w:pStyle w:val="TableContents"/>
              <w:spacing w:before="0" w:after="283"/>
              <w:jc w:val="left"/>
              <w:rPr>
                <w:rFonts w:ascii="Arial" w:hAnsi="Arial"/>
              </w:rPr>
            </w:pPr>
            <w:r>
              <w:rPr>
                <w:rFonts w:ascii="Arial" w:hAnsi="Arial"/>
              </w:rPr>
              <w:t>Repositioning and other charges(1)</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9" w:type="dxa"/>
            <w:tcBorders/>
            <w:shd w:fill="E5FFFF" w:val="clear"/>
            <w:vAlign w:val="bottom"/>
          </w:tcPr>
          <w:p>
            <w:pPr>
              <w:pStyle w:val="TableContents"/>
              <w:spacing w:before="0" w:after="283"/>
              <w:jc w:val="right"/>
              <w:rPr>
                <w:rFonts w:ascii="Arial" w:hAnsi="Arial"/>
              </w:rPr>
            </w:pPr>
            <w:r>
              <w:rPr>
                <w:rFonts w:ascii="Arial" w:hAnsi="Arial"/>
              </w:rPr>
              <w:t>(483</w:t>
            </w:r>
          </w:p>
        </w:tc>
        <w:tc>
          <w:tcPr>
            <w:tcW w:w="134"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9" w:type="dxa"/>
            <w:tcBorders/>
            <w:shd w:fill="E5FFFF" w:val="clear"/>
            <w:vAlign w:val="bottom"/>
          </w:tcPr>
          <w:p>
            <w:pPr>
              <w:pStyle w:val="TableContents"/>
              <w:spacing w:before="0" w:after="283"/>
              <w:jc w:val="right"/>
              <w:rPr>
                <w:rFonts w:ascii="Arial" w:hAnsi="Arial"/>
              </w:rPr>
            </w:pPr>
            <w:r>
              <w:rPr>
                <w:rFonts w:ascii="Arial" w:hAnsi="Arial"/>
              </w:rPr>
              <w:t>(400</w:t>
            </w:r>
          </w:p>
        </w:tc>
        <w:tc>
          <w:tcPr>
            <w:tcW w:w="134"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1298" w:type="dxa"/>
            <w:tcBorders/>
            <w:shd w:fill="E5FFFF" w:val="clear"/>
            <w:vAlign w:val="bottom"/>
          </w:tcPr>
          <w:p>
            <w:pPr>
              <w:pStyle w:val="TableContents"/>
              <w:spacing w:before="0" w:after="283"/>
              <w:jc w:val="right"/>
              <w:rPr>
                <w:rFonts w:ascii="Arial" w:hAnsi="Arial"/>
              </w:rPr>
            </w:pPr>
            <w:r>
              <w:rPr>
                <w:rFonts w:ascii="Arial" w:hAnsi="Arial"/>
              </w:rPr>
              <w:t>(764</w:t>
            </w:r>
          </w:p>
        </w:tc>
        <w:tc>
          <w:tcPr>
            <w:tcW w:w="143"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88" w:type="dxa"/>
            <w:tcBorders/>
            <w:shd w:fill="FFFFFF" w:val="clear"/>
            <w:vAlign w:val="center"/>
          </w:tcPr>
          <w:p>
            <w:pPr>
              <w:pStyle w:val="TableContents"/>
              <w:spacing w:before="0" w:after="283"/>
              <w:rPr/>
            </w:pPr>
            <w:r>
              <w:rPr/>
              <w:t> </w:t>
            </w:r>
          </w:p>
        </w:tc>
        <w:tc>
          <w:tcPr>
            <w:tcW w:w="4047"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HorizontalLine"/>
              <w:pBdr>
                <w:bottom w:val="single" w:sz="6"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HorizontalLine"/>
              <w:pBdr>
                <w:bottom w:val="single" w:sz="6"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8" w:type="dxa"/>
            <w:tcBorders/>
            <w:shd w:fill="FFFFFF" w:val="clear"/>
            <w:vAlign w:val="bottom"/>
          </w:tcPr>
          <w:p>
            <w:pPr>
              <w:pStyle w:val="HorizontalLine"/>
              <w:pBdr>
                <w:bottom w:val="single" w:sz="6" w:space="0" w:color="000000"/>
              </w:pBdr>
              <w:spacing w:before="0" w:after="283"/>
              <w:rPr/>
            </w:pPr>
            <w:r>
              <w:rPr/>
            </w:r>
          </w:p>
        </w:tc>
        <w:tc>
          <w:tcPr>
            <w:tcW w:w="143" w:type="dxa"/>
            <w:tcBorders/>
            <w:shd w:fill="FFFFFF" w:val="clear"/>
            <w:vAlign w:val="center"/>
          </w:tcPr>
          <w:p>
            <w:pPr>
              <w:pStyle w:val="TableContents"/>
              <w:spacing w:before="0" w:after="283"/>
              <w:rPr/>
            </w:pPr>
            <w:r>
              <w:rPr/>
              <w:t> </w:t>
            </w:r>
          </w:p>
        </w:tc>
      </w:tr>
      <w:tr>
        <w:trPr/>
        <w:tc>
          <w:tcPr>
            <w:tcW w:w="588" w:type="dxa"/>
            <w:tcBorders/>
            <w:shd w:fill="E5FFFF" w:val="clear"/>
            <w:vAlign w:val="bottom"/>
          </w:tcPr>
          <w:p>
            <w:pPr>
              <w:pStyle w:val="TableContents"/>
              <w:spacing w:before="0" w:after="283"/>
              <w:jc w:val="left"/>
              <w:rPr/>
            </w:pPr>
            <w:r>
              <w:rPr/>
              <w:t>      </w:t>
            </w:r>
          </w:p>
        </w:tc>
        <w:tc>
          <w:tcPr>
            <w:tcW w:w="4047" w:type="dxa"/>
            <w:tcBorders/>
            <w:shd w:fill="E5FFFF" w:val="clear"/>
            <w:vAlign w:val="bottom"/>
          </w:tcPr>
          <w:p>
            <w:pPr>
              <w:pStyle w:val="TableContents"/>
              <w:spacing w:before="0" w:after="283"/>
              <w:jc w:val="left"/>
              <w:rPr>
                <w:rFonts w:ascii="Arial" w:hAnsi="Arial"/>
              </w:rPr>
            </w:pPr>
            <w:r>
              <w:rPr>
                <w:rFonts w:ascii="Arial" w:hAnsi="Arial"/>
              </w:rPr>
              <w:t>Income from continuing operations before taxes</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bottom"/>
          </w:tcPr>
          <w:p>
            <w:pPr>
              <w:pStyle w:val="TableContents"/>
              <w:spacing w:before="0" w:after="283"/>
              <w:jc w:val="right"/>
              <w:rPr>
                <w:rFonts w:ascii="Arial" w:hAnsi="Arial"/>
              </w:rPr>
            </w:pPr>
            <w:r>
              <w:rPr>
                <w:rFonts w:ascii="Arial" w:hAnsi="Arial"/>
              </w:rPr>
              <w:t>$</w:t>
            </w:r>
          </w:p>
        </w:tc>
        <w:tc>
          <w:tcPr>
            <w:tcW w:w="1299" w:type="dxa"/>
            <w:tcBorders/>
            <w:shd w:fill="E5FFFF" w:val="clear"/>
            <w:vAlign w:val="bottom"/>
          </w:tcPr>
          <w:p>
            <w:pPr>
              <w:pStyle w:val="TableContents"/>
              <w:spacing w:before="0" w:after="283"/>
              <w:jc w:val="right"/>
              <w:rPr>
                <w:rFonts w:ascii="Arial" w:hAnsi="Arial"/>
              </w:rPr>
            </w:pPr>
            <w:r>
              <w:rPr>
                <w:rFonts w:ascii="Arial" w:hAnsi="Arial"/>
              </w:rPr>
              <w:t>2,798</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bottom"/>
          </w:tcPr>
          <w:p>
            <w:pPr>
              <w:pStyle w:val="TableContents"/>
              <w:spacing w:before="0" w:after="283"/>
              <w:jc w:val="right"/>
              <w:rPr>
                <w:rFonts w:ascii="Arial" w:hAnsi="Arial"/>
              </w:rPr>
            </w:pPr>
            <w:r>
              <w:rPr>
                <w:rFonts w:ascii="Arial" w:hAnsi="Arial"/>
              </w:rPr>
              <w:t>$</w:t>
            </w:r>
          </w:p>
        </w:tc>
        <w:tc>
          <w:tcPr>
            <w:tcW w:w="1299" w:type="dxa"/>
            <w:tcBorders/>
            <w:shd w:fill="E5FFFF" w:val="clear"/>
            <w:vAlign w:val="bottom"/>
          </w:tcPr>
          <w:p>
            <w:pPr>
              <w:pStyle w:val="TableContents"/>
              <w:spacing w:before="0" w:after="283"/>
              <w:jc w:val="right"/>
              <w:rPr>
                <w:rFonts w:ascii="Arial" w:hAnsi="Arial"/>
              </w:rPr>
            </w:pPr>
            <w:r>
              <w:rPr>
                <w:rFonts w:ascii="Arial" w:hAnsi="Arial"/>
              </w:rPr>
              <w:t>2,296</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9" w:type="dxa"/>
            <w:tcBorders/>
            <w:shd w:fill="E5FFFF" w:val="clear"/>
            <w:vAlign w:val="bottom"/>
          </w:tcPr>
          <w:p>
            <w:pPr>
              <w:pStyle w:val="TableContents"/>
              <w:spacing w:before="0" w:after="283"/>
              <w:jc w:val="right"/>
              <w:rPr>
                <w:rFonts w:ascii="Arial" w:hAnsi="Arial"/>
              </w:rPr>
            </w:pPr>
            <w:r>
              <w:rPr>
                <w:rFonts w:ascii="Arial" w:hAnsi="Arial"/>
              </w:rPr>
              <w:t>$</w:t>
            </w:r>
          </w:p>
        </w:tc>
        <w:tc>
          <w:tcPr>
            <w:tcW w:w="1298" w:type="dxa"/>
            <w:tcBorders/>
            <w:shd w:fill="E5FFFF" w:val="clear"/>
            <w:vAlign w:val="bottom"/>
          </w:tcPr>
          <w:p>
            <w:pPr>
              <w:pStyle w:val="TableContents"/>
              <w:spacing w:before="0" w:after="283"/>
              <w:jc w:val="right"/>
              <w:rPr>
                <w:rFonts w:ascii="Arial" w:hAnsi="Arial"/>
              </w:rPr>
            </w:pPr>
            <w:r>
              <w:rPr>
                <w:rFonts w:ascii="Arial" w:hAnsi="Arial"/>
              </w:rPr>
              <w:t>1,623</w:t>
            </w:r>
          </w:p>
        </w:tc>
        <w:tc>
          <w:tcPr>
            <w:tcW w:w="143" w:type="dxa"/>
            <w:tcBorders/>
            <w:shd w:fill="E5FFFF" w:val="clear"/>
            <w:vAlign w:val="center"/>
          </w:tcPr>
          <w:p>
            <w:pPr>
              <w:pStyle w:val="TableContents"/>
              <w:spacing w:before="0" w:after="283"/>
              <w:rPr/>
            </w:pPr>
            <w:r>
              <w:rPr/>
              <w:t> </w:t>
            </w:r>
          </w:p>
        </w:tc>
      </w:tr>
      <w:tr>
        <w:trPr/>
        <w:tc>
          <w:tcPr>
            <w:tcW w:w="588" w:type="dxa"/>
            <w:tcBorders/>
            <w:shd w:fill="FFFFFF" w:val="clear"/>
            <w:vAlign w:val="center"/>
          </w:tcPr>
          <w:p>
            <w:pPr>
              <w:pStyle w:val="TableContents"/>
              <w:spacing w:before="0" w:after="283"/>
              <w:rPr/>
            </w:pPr>
            <w:r>
              <w:rPr/>
              <w:t> </w:t>
            </w:r>
          </w:p>
        </w:tc>
        <w:tc>
          <w:tcPr>
            <w:tcW w:w="4047"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HorizontalLine"/>
              <w:pBdr>
                <w:bottom w:val="single" w:sz="18"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bottom"/>
          </w:tcPr>
          <w:p>
            <w:pPr>
              <w:pStyle w:val="HorizontalLine"/>
              <w:pBdr>
                <w:bottom w:val="single" w:sz="18"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1298" w:type="dxa"/>
            <w:tcBorders/>
            <w:shd w:fill="FFFFFF" w:val="clear"/>
            <w:vAlign w:val="bottom"/>
          </w:tcPr>
          <w:p>
            <w:pPr>
              <w:pStyle w:val="HorizontalLine"/>
              <w:pBdr>
                <w:bottom w:val="single" w:sz="18" w:space="0" w:color="000000"/>
              </w:pBdr>
              <w:spacing w:before="0" w:after="283"/>
              <w:rPr/>
            </w:pPr>
            <w:r>
              <w:rPr/>
            </w:r>
          </w:p>
        </w:tc>
        <w:tc>
          <w:tcPr>
            <w:tcW w:w="143" w:type="dxa"/>
            <w:tcBorders/>
            <w:shd w:fill="FFFFFF" w:val="clear"/>
            <w:vAlign w:val="center"/>
          </w:tcPr>
          <w:p>
            <w:pPr>
              <w:pStyle w:val="TableContents"/>
              <w:spacing w:before="0" w:after="283"/>
              <w:rPr/>
            </w:pPr>
            <w:r>
              <w:rPr/>
              <w:t> </w:t>
            </w:r>
          </w:p>
        </w:tc>
      </w:tr>
      <w:tr>
        <w:trPr/>
        <w:tc>
          <w:tcPr>
            <w:tcW w:w="588" w:type="dxa"/>
            <w:tcBorders/>
            <w:shd w:fill="FFFFFF" w:val="clear"/>
            <w:vAlign w:val="bottom"/>
          </w:tcPr>
          <w:p>
            <w:pPr>
              <w:pStyle w:val="TableContents"/>
              <w:spacing w:before="0" w:after="283"/>
              <w:jc w:val="left"/>
              <w:rPr/>
            </w:pPr>
            <w:r>
              <w:rPr/>
              <w:t>      </w:t>
            </w:r>
          </w:p>
        </w:tc>
        <w:tc>
          <w:tcPr>
            <w:tcW w:w="4047"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1299"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1298"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93"/>
        <w:gridCol w:w="180"/>
        <w:gridCol w:w="9732"/>
      </w:tblGrid>
      <w:tr>
        <w:trPr/>
        <w:tc>
          <w:tcPr>
            <w:tcW w:w="293"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32" w:type="dxa"/>
            <w:tcBorders/>
            <w:shd w:fill="FFFFFF" w:val="clear"/>
            <w:vAlign w:val="center"/>
          </w:tcPr>
          <w:p>
            <w:pPr>
              <w:pStyle w:val="TableContents"/>
              <w:spacing w:before="0" w:after="283"/>
              <w:rPr/>
            </w:pPr>
            <w:r>
              <w:rPr/>
              <w:t> </w:t>
            </w:r>
          </w:p>
        </w:tc>
      </w:tr>
      <w:tr>
        <w:trPr/>
        <w:tc>
          <w:tcPr>
            <w:tcW w:w="293"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32" w:type="dxa"/>
            <w:tcBorders/>
            <w:shd w:fill="FFFFFF" w:val="clear"/>
            <w:vAlign w:val="bottom"/>
          </w:tcPr>
          <w:p>
            <w:pPr>
              <w:pStyle w:val="TableContents"/>
              <w:spacing w:before="0" w:after="283"/>
              <w:jc w:val="left"/>
              <w:rPr>
                <w:rFonts w:ascii="Arial" w:hAnsi="Arial"/>
              </w:rPr>
            </w:pPr>
            <w:r>
              <w:rPr>
                <w:rFonts w:ascii="Arial" w:hAnsi="Arial"/>
              </w:rPr>
              <w:t>Amounts included in cost of products and services sold and selling, general and administrative expenses.</w:t>
            </w:r>
          </w:p>
        </w:tc>
      </w:tr>
    </w:tbl>
    <w:p>
      <w:pPr>
        <w:pStyle w:val="TextBody"/>
        <w:jc w:val="left"/>
        <w:rPr>
          <w:rFonts w:ascii="Arial" w:hAnsi="Arial"/>
          <w:b/>
        </w:rPr>
      </w:pPr>
      <w:r>
        <w:rPr>
          <w:rFonts w:ascii="Arial" w:hAnsi="Arial"/>
          <w:b/>
        </w:rPr>
        <w:t>Aerospace</w:t>
      </w:r>
    </w:p>
    <w:p>
      <w:pPr>
        <w:pStyle w:val="TextBody"/>
        <w:jc w:val="left"/>
        <w:rPr/>
      </w:pPr>
      <w:r>
        <w:rPr/>
        <w:t>      </w:t>
      </w:r>
      <w:r>
        <w:rPr>
          <w:rFonts w:ascii="Arial" w:hAnsi="Arial"/>
          <w:b/>
        </w:rPr>
        <w:t>Overview</w:t>
      </w:r>
    </w:p>
    <w:p>
      <w:pPr>
        <w:pStyle w:val="TextBody"/>
        <w:jc w:val="left"/>
        <w:rPr/>
      </w:pPr>
      <w:r>
        <w:rPr/>
        <w:t>      </w:t>
      </w:r>
      <w:r>
        <w:rPr>
          <w:rFonts w:ascii="Arial" w:hAnsi="Arial"/>
        </w:rPr>
        <w:t>Aerospace is a leading global supplier of aircraft engines, avionics, and related products and services for aircraft manufacturers, airlines, aircraft operators, military services, and defense and space contractors. Our Aerospace products and services include auxiliary power units, propulsion engines, environmental control systems, engine controls, flight safety, communications, navigation, radar and surveillance systems, aircraft lighting, management and technical services, advanced systems and instruments, aircraft wheels and brakes and repair and overhaul services. Aerospace sells its products to original equipment (OE) manufacturers in the air transport, regional, business and general aviation aircraft segments, and provides spare parts and repair and maintenance services for the aftermarket (principally to aircraft operators). The United States Government is also a major customer for our defense and space products.</w:t>
      </w:r>
    </w:p>
    <w:p>
      <w:pPr>
        <w:pStyle w:val="TextBody"/>
        <w:jc w:val="center"/>
        <w:rPr>
          <w:rFonts w:ascii="Arial" w:hAnsi="Arial"/>
        </w:rPr>
      </w:pPr>
      <w:r>
        <w:rPr>
          <w:rFonts w:ascii="Arial" w:hAnsi="Arial"/>
        </w:rPr>
        <w:t>24</w:t>
      </w:r>
    </w:p>
    <w:p>
      <w:pPr>
        <w:pStyle w:val="HorizontalLine"/>
        <w:pBdr>
          <w:bottom w:val="single" w:sz="20" w:space="0" w:color="000000"/>
        </w:pBdr>
        <w:rPr/>
      </w:pPr>
      <w:r>
        <w:rPr/>
      </w:r>
      <w:r>
        <w:br w:type="page"/>
      </w:r>
    </w:p>
    <w:tbl>
      <w:tblPr>
        <w:tblW w:w="3882" w:type="dxa"/>
        <w:jc w:val="left"/>
        <w:tblInd w:w="0" w:type="dxa"/>
        <w:tblCellMar>
          <w:top w:w="28" w:type="dxa"/>
          <w:left w:w="28" w:type="dxa"/>
          <w:bottom w:w="28" w:type="dxa"/>
          <w:right w:w="28" w:type="dxa"/>
        </w:tblCellMar>
      </w:tblPr>
      <w:tblGrid>
        <w:gridCol w:w="461"/>
        <w:gridCol w:w="3421"/>
      </w:tblGrid>
      <w:tr>
        <w:trPr/>
        <w:tc>
          <w:tcPr>
            <w:tcW w:w="461" w:type="dxa"/>
            <w:tcBorders/>
            <w:shd w:fill="auto" w:val="clear"/>
            <w:vAlign w:val="center"/>
          </w:tcPr>
          <w:p>
            <w:pPr>
              <w:pStyle w:val="TableContents"/>
              <w:pageBreakBefore/>
              <w:spacing w:before="0" w:after="283"/>
              <w:rPr/>
            </w:pPr>
            <w:r>
              <w:rPr/>
              <w:t>      </w:t>
            </w:r>
          </w:p>
        </w:tc>
        <w:tc>
          <w:tcPr>
            <w:tcW w:w="3421" w:type="dxa"/>
            <w:tcBorders/>
            <w:shd w:fill="auto" w:val="clear"/>
            <w:vAlign w:val="center"/>
          </w:tcPr>
          <w:p>
            <w:pPr>
              <w:pStyle w:val="TableContents"/>
              <w:spacing w:before="0" w:after="283"/>
              <w:rPr>
                <w:rFonts w:ascii="Arial" w:hAnsi="Arial"/>
                <w:b/>
              </w:rPr>
            </w:pPr>
            <w:r>
              <w:rPr>
                <w:rFonts w:ascii="Arial" w:hAnsi="Arial"/>
                <w:b/>
              </w:rPr>
              <w:t>Economic and Other Factors</w:t>
            </w:r>
          </w:p>
        </w:tc>
      </w:tr>
    </w:tbl>
    <w:p>
      <w:pPr>
        <w:pStyle w:val="TextBody"/>
        <w:jc w:val="left"/>
        <w:rPr/>
      </w:pPr>
      <w:r>
        <w:rPr/>
        <w:t>      </w:t>
      </w:r>
      <w:r>
        <w:rPr>
          <w:rFonts w:ascii="Arial" w:hAnsi="Arial"/>
        </w:rPr>
        <w:t>Aerospace operating results are principally driven by:</w:t>
      </w:r>
    </w:p>
    <w:tbl>
      <w:tblPr>
        <w:tblW w:w="5000" w:type="pct"/>
        <w:jc w:val="left"/>
        <w:tblInd w:w="0" w:type="dxa"/>
        <w:tblCellMar>
          <w:top w:w="0" w:type="dxa"/>
          <w:left w:w="0" w:type="dxa"/>
          <w:bottom w:w="0" w:type="dxa"/>
          <w:right w:w="0" w:type="dxa"/>
        </w:tblCellMar>
      </w:tblPr>
      <w:tblGrid>
        <w:gridCol w:w="359"/>
        <w:gridCol w:w="144"/>
        <w:gridCol w:w="9702"/>
      </w:tblGrid>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Global demand for air travel as reflected in new aircraft production, as well as the demand for spare parts and maintenance and repair services for aircraft currently in use;</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Aircraft production by commercial air transport, regional jet, business and general aviation OE manufacturers, as well as global flying hours and airline profitability;</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The level and mix of U.S. Government appropriations for defense and space programs and military activity;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Pricing, volatility in pricing and availability of raw materials.</w:t>
            </w:r>
          </w:p>
        </w:tc>
      </w:tr>
    </w:tbl>
    <w:p>
      <w:pPr>
        <w:pStyle w:val="TextBody"/>
        <w:jc w:val="left"/>
        <w:rPr/>
      </w:pPr>
      <w:r>
        <w:rPr/>
        <w:t>      </w:t>
      </w:r>
      <w:r>
        <w:rPr>
          <w:rFonts w:ascii="Arial" w:hAnsi="Arial"/>
          <w:b/>
        </w:rPr>
        <w:t>Results of Operations</w:t>
      </w:r>
    </w:p>
    <w:tbl>
      <w:tblPr>
        <w:tblW w:w="5000" w:type="pct"/>
        <w:jc w:val="left"/>
        <w:tblInd w:w="0" w:type="dxa"/>
        <w:tblCellMar>
          <w:top w:w="0" w:type="dxa"/>
          <w:left w:w="0" w:type="dxa"/>
          <w:bottom w:w="0" w:type="dxa"/>
          <w:right w:w="0" w:type="dxa"/>
        </w:tblCellMar>
      </w:tblPr>
      <w:tblGrid>
        <w:gridCol w:w="447"/>
        <w:gridCol w:w="4689"/>
        <w:gridCol w:w="299"/>
        <w:gridCol w:w="193"/>
        <w:gridCol w:w="939"/>
        <w:gridCol w:w="286"/>
        <w:gridCol w:w="447"/>
        <w:gridCol w:w="193"/>
        <w:gridCol w:w="939"/>
        <w:gridCol w:w="286"/>
        <w:gridCol w:w="448"/>
        <w:gridCol w:w="193"/>
        <w:gridCol w:w="771"/>
        <w:gridCol w:w="75"/>
      </w:tblGrid>
      <w:tr>
        <w:trPr/>
        <w:tc>
          <w:tcPr>
            <w:tcW w:w="447" w:type="dxa"/>
            <w:tcBorders/>
            <w:shd w:fill="FFFFFF" w:val="clear"/>
            <w:vAlign w:val="center"/>
          </w:tcPr>
          <w:p>
            <w:pPr>
              <w:pStyle w:val="TableContents"/>
              <w:spacing w:before="0" w:after="283"/>
              <w:rPr/>
            </w:pPr>
            <w:r>
              <w:rPr/>
              <w:t> </w:t>
            </w:r>
          </w:p>
        </w:tc>
        <w:tc>
          <w:tcPr>
            <w:tcW w:w="4689"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41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47" w:type="dxa"/>
            <w:tcBorders/>
            <w:shd w:fill="FFFFFF" w:val="clear"/>
            <w:vAlign w:val="center"/>
          </w:tcPr>
          <w:p>
            <w:pPr>
              <w:pStyle w:val="TableContents"/>
              <w:spacing w:before="0" w:after="283"/>
              <w:rPr/>
            </w:pPr>
            <w:r>
              <w:rPr/>
              <w:t> </w:t>
            </w:r>
          </w:p>
        </w:tc>
        <w:tc>
          <w:tcPr>
            <w:tcW w:w="1418"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48" w:type="dxa"/>
            <w:tcBorders/>
            <w:shd w:fill="FFFFFF" w:val="clear"/>
            <w:vAlign w:val="center"/>
          </w:tcPr>
          <w:p>
            <w:pPr>
              <w:pStyle w:val="TableContents"/>
              <w:spacing w:before="0" w:after="283"/>
              <w:rPr/>
            </w:pPr>
            <w:r>
              <w:rPr/>
              <w:t> </w:t>
            </w:r>
          </w:p>
        </w:tc>
        <w:tc>
          <w:tcPr>
            <w:tcW w:w="1039"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47" w:type="dxa"/>
            <w:tcBorders/>
            <w:shd w:fill="FFFFFF" w:val="clear"/>
            <w:vAlign w:val="center"/>
          </w:tcPr>
          <w:p>
            <w:pPr>
              <w:pStyle w:val="TableContents"/>
              <w:spacing w:before="0" w:after="283"/>
              <w:rPr/>
            </w:pPr>
            <w:r>
              <w:rPr/>
              <w:t> </w:t>
            </w:r>
          </w:p>
        </w:tc>
        <w:tc>
          <w:tcPr>
            <w:tcW w:w="4689"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4770"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47" w:type="dxa"/>
            <w:tcBorders/>
            <w:shd w:fill="E5FFFF" w:val="clear"/>
            <w:vAlign w:val="bottom"/>
          </w:tcPr>
          <w:p>
            <w:pPr>
              <w:pStyle w:val="TableContents"/>
              <w:spacing w:before="0" w:after="283"/>
              <w:jc w:val="left"/>
              <w:rPr/>
            </w:pPr>
            <w:r>
              <w:rPr/>
              <w:t>      </w:t>
            </w:r>
          </w:p>
        </w:tc>
        <w:tc>
          <w:tcPr>
            <w:tcW w:w="4689" w:type="dxa"/>
            <w:tcBorders/>
            <w:shd w:fill="E5FFFF" w:val="clear"/>
            <w:vAlign w:val="bottom"/>
          </w:tcPr>
          <w:p>
            <w:pPr>
              <w:pStyle w:val="TableContents"/>
              <w:spacing w:before="0" w:after="283"/>
              <w:jc w:val="left"/>
              <w:rPr>
                <w:rFonts w:ascii="Arial" w:hAnsi="Arial"/>
              </w:rPr>
            </w:pPr>
            <w:r>
              <w:rPr>
                <w:rFonts w:ascii="Arial" w:hAnsi="Arial"/>
              </w:rPr>
              <w:t>Net sales</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939" w:type="dxa"/>
            <w:tcBorders/>
            <w:shd w:fill="E5FFFF" w:val="clear"/>
            <w:vAlign w:val="bottom"/>
          </w:tcPr>
          <w:p>
            <w:pPr>
              <w:pStyle w:val="TableContents"/>
              <w:spacing w:before="0" w:after="283"/>
              <w:jc w:val="right"/>
              <w:rPr>
                <w:rFonts w:ascii="Arial" w:hAnsi="Arial"/>
              </w:rPr>
            </w:pPr>
            <w:r>
              <w:rPr>
                <w:rFonts w:ascii="Arial" w:hAnsi="Arial"/>
              </w:rPr>
              <w:t>11,124</w:t>
            </w:r>
          </w:p>
        </w:tc>
        <w:tc>
          <w:tcPr>
            <w:tcW w:w="286" w:type="dxa"/>
            <w:tcBorders/>
            <w:shd w:fill="E5FFFF" w:val="clear"/>
            <w:vAlign w:val="center"/>
          </w:tcPr>
          <w:p>
            <w:pPr>
              <w:pStyle w:val="TableContents"/>
              <w:spacing w:before="0" w:after="283"/>
              <w:rPr/>
            </w:pPr>
            <w:r>
              <w:rPr/>
              <w:t> </w:t>
            </w:r>
          </w:p>
        </w:tc>
        <w:tc>
          <w:tcPr>
            <w:tcW w:w="447"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939" w:type="dxa"/>
            <w:tcBorders/>
            <w:shd w:fill="E5FFFF" w:val="clear"/>
            <w:vAlign w:val="bottom"/>
          </w:tcPr>
          <w:p>
            <w:pPr>
              <w:pStyle w:val="TableContents"/>
              <w:spacing w:before="0" w:after="283"/>
              <w:jc w:val="right"/>
              <w:rPr>
                <w:rFonts w:ascii="Arial" w:hAnsi="Arial"/>
              </w:rPr>
            </w:pPr>
            <w:r>
              <w:rPr>
                <w:rFonts w:ascii="Arial" w:hAnsi="Arial"/>
              </w:rPr>
              <w:t>10,496</w:t>
            </w:r>
          </w:p>
        </w:tc>
        <w:tc>
          <w:tcPr>
            <w:tcW w:w="286" w:type="dxa"/>
            <w:tcBorders/>
            <w:shd w:fill="E5FFFF" w:val="clear"/>
            <w:vAlign w:val="center"/>
          </w:tcPr>
          <w:p>
            <w:pPr>
              <w:pStyle w:val="TableContents"/>
              <w:spacing w:before="0" w:after="283"/>
              <w:rPr/>
            </w:pPr>
            <w:r>
              <w:rPr/>
              <w:t> </w:t>
            </w:r>
          </w:p>
        </w:tc>
        <w:tc>
          <w:tcPr>
            <w:tcW w:w="448"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771" w:type="dxa"/>
            <w:tcBorders/>
            <w:shd w:fill="E5FFFF" w:val="clear"/>
            <w:vAlign w:val="bottom"/>
          </w:tcPr>
          <w:p>
            <w:pPr>
              <w:pStyle w:val="TableContents"/>
              <w:spacing w:before="0" w:after="283"/>
              <w:jc w:val="right"/>
              <w:rPr>
                <w:rFonts w:ascii="Arial" w:hAnsi="Arial"/>
              </w:rPr>
            </w:pPr>
            <w:r>
              <w:rPr>
                <w:rFonts w:ascii="Arial" w:hAnsi="Arial"/>
              </w:rPr>
              <w:t>9,740</w:t>
            </w:r>
          </w:p>
        </w:tc>
        <w:tc>
          <w:tcPr>
            <w:tcW w:w="75" w:type="dxa"/>
            <w:tcBorders/>
            <w:shd w:fill="E5FFFF" w:val="clear"/>
            <w:vAlign w:val="center"/>
          </w:tcPr>
          <w:p>
            <w:pPr>
              <w:pStyle w:val="TableContents"/>
              <w:spacing w:before="0" w:after="283"/>
              <w:rPr/>
            </w:pPr>
            <w:r>
              <w:rPr/>
              <w:t> </w:t>
            </w:r>
          </w:p>
        </w:tc>
      </w:tr>
      <w:tr>
        <w:trPr/>
        <w:tc>
          <w:tcPr>
            <w:tcW w:w="447" w:type="dxa"/>
            <w:tcBorders/>
            <w:shd w:fill="FFFFFF" w:val="clear"/>
            <w:vAlign w:val="bottom"/>
          </w:tcPr>
          <w:p>
            <w:pPr>
              <w:pStyle w:val="TableContents"/>
              <w:spacing w:before="0" w:after="283"/>
              <w:jc w:val="left"/>
              <w:rPr/>
            </w:pPr>
            <w:r>
              <w:rPr/>
              <w:t>      </w:t>
            </w:r>
          </w:p>
        </w:tc>
        <w:tc>
          <w:tcPr>
            <w:tcW w:w="4689"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9" w:type="dxa"/>
            <w:tcBorders/>
            <w:shd w:fill="FFFFFF" w:val="clear"/>
            <w:vAlign w:val="bottom"/>
          </w:tcPr>
          <w:p>
            <w:pPr>
              <w:pStyle w:val="TableContents"/>
              <w:spacing w:before="0" w:after="283"/>
              <w:jc w:val="right"/>
              <w:rPr>
                <w:rFonts w:ascii="Arial" w:hAnsi="Arial"/>
              </w:rPr>
            </w:pPr>
            <w:r>
              <w:rPr>
                <w:rFonts w:ascii="Arial" w:hAnsi="Arial"/>
              </w:rPr>
              <w:t>6</w:t>
            </w:r>
          </w:p>
        </w:tc>
        <w:tc>
          <w:tcPr>
            <w:tcW w:w="286" w:type="dxa"/>
            <w:tcBorders/>
            <w:shd w:fill="FFFFFF" w:val="clear"/>
            <w:vAlign w:val="bottom"/>
          </w:tcPr>
          <w:p>
            <w:pPr>
              <w:pStyle w:val="TableContents"/>
              <w:spacing w:before="0" w:after="283"/>
              <w:jc w:val="left"/>
              <w:rPr>
                <w:rFonts w:ascii="Arial" w:hAnsi="Arial"/>
              </w:rPr>
            </w:pPr>
            <w:r>
              <w:rPr>
                <w:rFonts w:ascii="Arial" w:hAnsi="Arial"/>
              </w:rPr>
              <w:t>%</w:t>
            </w:r>
          </w:p>
        </w:tc>
        <w:tc>
          <w:tcPr>
            <w:tcW w:w="447"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9" w:type="dxa"/>
            <w:tcBorders/>
            <w:shd w:fill="FFFFFF" w:val="clear"/>
            <w:vAlign w:val="bottom"/>
          </w:tcPr>
          <w:p>
            <w:pPr>
              <w:pStyle w:val="TableContents"/>
              <w:spacing w:before="0" w:after="283"/>
              <w:jc w:val="right"/>
              <w:rPr>
                <w:rFonts w:ascii="Arial" w:hAnsi="Arial"/>
              </w:rPr>
            </w:pPr>
            <w:r>
              <w:rPr>
                <w:rFonts w:ascii="Arial" w:hAnsi="Arial"/>
              </w:rPr>
              <w:t>8</w:t>
            </w:r>
          </w:p>
        </w:tc>
        <w:tc>
          <w:tcPr>
            <w:tcW w:w="286" w:type="dxa"/>
            <w:tcBorders/>
            <w:shd w:fill="FFFFFF" w:val="clear"/>
            <w:vAlign w:val="bottom"/>
          </w:tcPr>
          <w:p>
            <w:pPr>
              <w:pStyle w:val="TableContents"/>
              <w:spacing w:before="0" w:after="283"/>
              <w:jc w:val="left"/>
              <w:rPr>
                <w:rFonts w:ascii="Arial" w:hAnsi="Arial"/>
              </w:rPr>
            </w:pPr>
            <w:r>
              <w:rPr>
                <w:rFonts w:ascii="Arial" w:hAnsi="Arial"/>
              </w:rPr>
              <w:t>%</w:t>
            </w:r>
          </w:p>
        </w:tc>
        <w:tc>
          <w:tcPr>
            <w:tcW w:w="448"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447" w:type="dxa"/>
            <w:tcBorders/>
            <w:shd w:fill="E5FFFF" w:val="clear"/>
            <w:vAlign w:val="bottom"/>
          </w:tcPr>
          <w:p>
            <w:pPr>
              <w:pStyle w:val="TableContents"/>
              <w:spacing w:before="0" w:after="283"/>
              <w:jc w:val="left"/>
              <w:rPr/>
            </w:pPr>
            <w:r>
              <w:rPr/>
              <w:t>      </w:t>
            </w:r>
          </w:p>
        </w:tc>
        <w:tc>
          <w:tcPr>
            <w:tcW w:w="4689" w:type="dxa"/>
            <w:tcBorders/>
            <w:shd w:fill="E5FFFF" w:val="clear"/>
            <w:vAlign w:val="bottom"/>
          </w:tcPr>
          <w:p>
            <w:pPr>
              <w:pStyle w:val="TableContents"/>
              <w:spacing w:before="0" w:after="283"/>
              <w:jc w:val="left"/>
              <w:rPr>
                <w:rFonts w:ascii="Arial" w:hAnsi="Arial"/>
              </w:rPr>
            </w:pPr>
            <w:r>
              <w:rPr>
                <w:rFonts w:ascii="Arial" w:hAnsi="Arial"/>
              </w:rPr>
              <w:t>Segment profit</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939" w:type="dxa"/>
            <w:tcBorders/>
            <w:shd w:fill="E5FFFF" w:val="clear"/>
            <w:vAlign w:val="bottom"/>
          </w:tcPr>
          <w:p>
            <w:pPr>
              <w:pStyle w:val="TableContents"/>
              <w:spacing w:before="0" w:after="283"/>
              <w:jc w:val="right"/>
              <w:rPr>
                <w:rFonts w:ascii="Arial" w:hAnsi="Arial"/>
              </w:rPr>
            </w:pPr>
            <w:r>
              <w:rPr>
                <w:rFonts w:ascii="Arial" w:hAnsi="Arial"/>
              </w:rPr>
              <w:t>1,892</w:t>
            </w:r>
          </w:p>
        </w:tc>
        <w:tc>
          <w:tcPr>
            <w:tcW w:w="286" w:type="dxa"/>
            <w:tcBorders/>
            <w:shd w:fill="E5FFFF" w:val="clear"/>
            <w:vAlign w:val="center"/>
          </w:tcPr>
          <w:p>
            <w:pPr>
              <w:pStyle w:val="TableContents"/>
              <w:spacing w:before="0" w:after="283"/>
              <w:rPr/>
            </w:pPr>
            <w:r>
              <w:rPr/>
              <w:t> </w:t>
            </w:r>
          </w:p>
        </w:tc>
        <w:tc>
          <w:tcPr>
            <w:tcW w:w="447"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939" w:type="dxa"/>
            <w:tcBorders/>
            <w:shd w:fill="E5FFFF" w:val="clear"/>
            <w:vAlign w:val="bottom"/>
          </w:tcPr>
          <w:p>
            <w:pPr>
              <w:pStyle w:val="TableContents"/>
              <w:spacing w:before="0" w:after="283"/>
              <w:jc w:val="right"/>
              <w:rPr>
                <w:rFonts w:ascii="Arial" w:hAnsi="Arial"/>
              </w:rPr>
            </w:pPr>
            <w:r>
              <w:rPr>
                <w:rFonts w:ascii="Arial" w:hAnsi="Arial"/>
              </w:rPr>
              <w:t>1,676</w:t>
            </w:r>
          </w:p>
        </w:tc>
        <w:tc>
          <w:tcPr>
            <w:tcW w:w="286" w:type="dxa"/>
            <w:tcBorders/>
            <w:shd w:fill="E5FFFF" w:val="clear"/>
            <w:vAlign w:val="center"/>
          </w:tcPr>
          <w:p>
            <w:pPr>
              <w:pStyle w:val="TableContents"/>
              <w:spacing w:before="0" w:after="283"/>
              <w:rPr/>
            </w:pPr>
            <w:r>
              <w:rPr/>
              <w:t> </w:t>
            </w:r>
          </w:p>
        </w:tc>
        <w:tc>
          <w:tcPr>
            <w:tcW w:w="448"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771" w:type="dxa"/>
            <w:tcBorders/>
            <w:shd w:fill="E5FFFF" w:val="clear"/>
            <w:vAlign w:val="bottom"/>
          </w:tcPr>
          <w:p>
            <w:pPr>
              <w:pStyle w:val="TableContents"/>
              <w:spacing w:before="0" w:after="283"/>
              <w:jc w:val="right"/>
              <w:rPr>
                <w:rFonts w:ascii="Arial" w:hAnsi="Arial"/>
              </w:rPr>
            </w:pPr>
            <w:r>
              <w:rPr>
                <w:rFonts w:ascii="Arial" w:hAnsi="Arial"/>
              </w:rPr>
              <w:t>1,422</w:t>
            </w:r>
          </w:p>
        </w:tc>
        <w:tc>
          <w:tcPr>
            <w:tcW w:w="75" w:type="dxa"/>
            <w:tcBorders/>
            <w:shd w:fill="E5FFFF" w:val="clear"/>
            <w:vAlign w:val="center"/>
          </w:tcPr>
          <w:p>
            <w:pPr>
              <w:pStyle w:val="TableContents"/>
              <w:spacing w:before="0" w:after="283"/>
              <w:rPr/>
            </w:pPr>
            <w:r>
              <w:rPr/>
              <w:t> </w:t>
            </w:r>
          </w:p>
        </w:tc>
      </w:tr>
      <w:tr>
        <w:trPr/>
        <w:tc>
          <w:tcPr>
            <w:tcW w:w="447" w:type="dxa"/>
            <w:tcBorders/>
            <w:shd w:fill="FFFFFF" w:val="clear"/>
            <w:vAlign w:val="bottom"/>
          </w:tcPr>
          <w:p>
            <w:pPr>
              <w:pStyle w:val="TableContents"/>
              <w:spacing w:before="0" w:after="283"/>
              <w:jc w:val="left"/>
              <w:rPr/>
            </w:pPr>
            <w:r>
              <w:rPr/>
              <w:t>      </w:t>
            </w:r>
          </w:p>
        </w:tc>
        <w:tc>
          <w:tcPr>
            <w:tcW w:w="4689"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9" w:type="dxa"/>
            <w:tcBorders/>
            <w:shd w:fill="FFFFFF" w:val="clear"/>
            <w:vAlign w:val="bottom"/>
          </w:tcPr>
          <w:p>
            <w:pPr>
              <w:pStyle w:val="TableContents"/>
              <w:spacing w:before="0" w:after="283"/>
              <w:jc w:val="right"/>
              <w:rPr>
                <w:rFonts w:ascii="Arial" w:hAnsi="Arial"/>
              </w:rPr>
            </w:pPr>
            <w:r>
              <w:rPr>
                <w:rFonts w:ascii="Arial" w:hAnsi="Arial"/>
              </w:rPr>
              <w:t>13</w:t>
            </w:r>
          </w:p>
        </w:tc>
        <w:tc>
          <w:tcPr>
            <w:tcW w:w="286" w:type="dxa"/>
            <w:tcBorders/>
            <w:shd w:fill="FFFFFF" w:val="clear"/>
            <w:vAlign w:val="bottom"/>
          </w:tcPr>
          <w:p>
            <w:pPr>
              <w:pStyle w:val="TableContents"/>
              <w:spacing w:before="0" w:after="283"/>
              <w:jc w:val="left"/>
              <w:rPr>
                <w:rFonts w:ascii="Arial" w:hAnsi="Arial"/>
              </w:rPr>
            </w:pPr>
            <w:r>
              <w:rPr>
                <w:rFonts w:ascii="Arial" w:hAnsi="Arial"/>
              </w:rPr>
              <w:t>%</w:t>
            </w:r>
          </w:p>
        </w:tc>
        <w:tc>
          <w:tcPr>
            <w:tcW w:w="447"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9" w:type="dxa"/>
            <w:tcBorders/>
            <w:shd w:fill="FFFFFF" w:val="clear"/>
            <w:vAlign w:val="bottom"/>
          </w:tcPr>
          <w:p>
            <w:pPr>
              <w:pStyle w:val="TableContents"/>
              <w:spacing w:before="0" w:after="283"/>
              <w:jc w:val="right"/>
              <w:rPr>
                <w:rFonts w:ascii="Arial" w:hAnsi="Arial"/>
              </w:rPr>
            </w:pPr>
            <w:r>
              <w:rPr>
                <w:rFonts w:ascii="Arial" w:hAnsi="Arial"/>
              </w:rPr>
              <w:t>18</w:t>
            </w:r>
          </w:p>
        </w:tc>
        <w:tc>
          <w:tcPr>
            <w:tcW w:w="286" w:type="dxa"/>
            <w:tcBorders/>
            <w:shd w:fill="FFFFFF" w:val="clear"/>
            <w:vAlign w:val="bottom"/>
          </w:tcPr>
          <w:p>
            <w:pPr>
              <w:pStyle w:val="TableContents"/>
              <w:spacing w:before="0" w:after="283"/>
              <w:jc w:val="left"/>
              <w:rPr>
                <w:rFonts w:ascii="Arial" w:hAnsi="Arial"/>
              </w:rPr>
            </w:pPr>
            <w:r>
              <w:rPr>
                <w:rFonts w:ascii="Arial" w:hAnsi="Arial"/>
              </w:rPr>
              <w:t>%</w:t>
            </w:r>
          </w:p>
        </w:tc>
        <w:tc>
          <w:tcPr>
            <w:tcW w:w="448"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447" w:type="dxa"/>
            <w:tcBorders/>
            <w:shd w:fill="FFFFFF" w:val="clear"/>
            <w:vAlign w:val="bottom"/>
          </w:tcPr>
          <w:p>
            <w:pPr>
              <w:pStyle w:val="TableContents"/>
              <w:spacing w:before="0" w:after="283"/>
              <w:jc w:val="left"/>
              <w:rPr/>
            </w:pPr>
            <w:r>
              <w:rPr/>
              <w:t>      </w:t>
            </w:r>
          </w:p>
        </w:tc>
        <w:tc>
          <w:tcPr>
            <w:tcW w:w="4689" w:type="dxa"/>
            <w:tcBorders/>
            <w:shd w:fill="FFFFFF" w:val="clear"/>
            <w:vAlign w:val="bottom"/>
          </w:tcPr>
          <w:p>
            <w:pPr>
              <w:pStyle w:val="TableContents"/>
              <w:spacing w:before="0" w:after="283"/>
              <w:rPr>
                <w:sz w:val="4"/>
                <w:szCs w:val="4"/>
              </w:rPr>
            </w:pPr>
            <w:r>
              <w:rPr>
                <w:sz w:val="4"/>
                <w:szCs w:val="4"/>
              </w:rPr>
            </w:r>
          </w:p>
        </w:tc>
        <w:tc>
          <w:tcPr>
            <w:tcW w:w="299"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939"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rPr/>
            </w:pPr>
            <w:r>
              <w:rPr/>
              <w:t> </w:t>
            </w:r>
          </w:p>
        </w:tc>
        <w:tc>
          <w:tcPr>
            <w:tcW w:w="447"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939" w:type="dxa"/>
            <w:tcBorders/>
            <w:shd w:fill="FFFFFF" w:val="clear"/>
            <w:vAlign w:val="center"/>
          </w:tcPr>
          <w:p>
            <w:pPr>
              <w:pStyle w:val="TableContents"/>
              <w:spacing w:before="0" w:after="283"/>
              <w:rPr/>
            </w:pPr>
            <w:r>
              <w:rPr/>
              <w:t> </w:t>
            </w:r>
          </w:p>
        </w:tc>
        <w:tc>
          <w:tcPr>
            <w:tcW w:w="286" w:type="dxa"/>
            <w:tcBorders/>
            <w:shd w:fill="FFFFFF" w:val="clear"/>
            <w:vAlign w:val="center"/>
          </w:tcPr>
          <w:p>
            <w:pPr>
              <w:pStyle w:val="TableContents"/>
              <w:spacing w:before="0" w:after="283"/>
              <w:rPr/>
            </w:pPr>
            <w:r>
              <w:rPr/>
              <w:t> </w:t>
            </w:r>
          </w:p>
        </w:tc>
        <w:tc>
          <w:tcPr>
            <w:tcW w:w="448"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771"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Aerospace sales increased by 6 percent and 8 percent in 2006 and 2005, respectively, due primarily to strong growth in new aircraft deliveries and increased global flying hours. Aerospace sales by major customer end-markets were as follows:</w:t>
      </w:r>
    </w:p>
    <w:tbl>
      <w:tblPr>
        <w:tblW w:w="5000" w:type="pct"/>
        <w:jc w:val="left"/>
        <w:tblInd w:w="0" w:type="dxa"/>
        <w:tblCellMar>
          <w:top w:w="0" w:type="dxa"/>
          <w:left w:w="0" w:type="dxa"/>
          <w:bottom w:w="0" w:type="dxa"/>
          <w:right w:w="0" w:type="dxa"/>
        </w:tblCellMar>
      </w:tblPr>
      <w:tblGrid>
        <w:gridCol w:w="359"/>
        <w:gridCol w:w="4831"/>
        <w:gridCol w:w="240"/>
        <w:gridCol w:w="60"/>
        <w:gridCol w:w="425"/>
        <w:gridCol w:w="230"/>
        <w:gridCol w:w="240"/>
        <w:gridCol w:w="60"/>
        <w:gridCol w:w="425"/>
        <w:gridCol w:w="230"/>
        <w:gridCol w:w="240"/>
        <w:gridCol w:w="60"/>
        <w:gridCol w:w="425"/>
        <w:gridCol w:w="230"/>
        <w:gridCol w:w="240"/>
        <w:gridCol w:w="85"/>
        <w:gridCol w:w="415"/>
        <w:gridCol w:w="330"/>
        <w:gridCol w:w="247"/>
        <w:gridCol w:w="85"/>
        <w:gridCol w:w="415"/>
        <w:gridCol w:w="333"/>
      </w:tblGrid>
      <w:tr>
        <w:trPr/>
        <w:tc>
          <w:tcPr>
            <w:tcW w:w="359" w:type="dxa"/>
            <w:tcBorders/>
            <w:shd w:fill="FFFFFF" w:val="clear"/>
            <w:vAlign w:val="center"/>
          </w:tcPr>
          <w:p>
            <w:pPr>
              <w:pStyle w:val="TableContents"/>
              <w:spacing w:before="0" w:after="283"/>
              <w:rPr/>
            </w:pPr>
            <w:r>
              <w:rPr/>
              <w:t> </w:t>
            </w:r>
          </w:p>
        </w:tc>
        <w:tc>
          <w:tcPr>
            <w:tcW w:w="483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625" w:type="dxa"/>
            <w:gridSpan w:val="11"/>
            <w:tcBorders/>
            <w:shd w:fill="FFFFFF" w:val="clear"/>
            <w:vAlign w:val="bottom"/>
          </w:tcPr>
          <w:p>
            <w:pPr>
              <w:pStyle w:val="TableContents"/>
              <w:spacing w:before="0" w:after="0"/>
              <w:jc w:val="center"/>
              <w:rPr>
                <w:rFonts w:ascii="Arial" w:hAnsi="Arial"/>
                <w:b/>
              </w:rPr>
            </w:pPr>
            <w:r>
              <w:rPr>
                <w:rFonts w:ascii="Arial" w:hAnsi="Arial"/>
                <w:b/>
              </w:rPr>
              <w:t>% of Aerospace</w:t>
              <w:br/>
              <w:t>Sales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910" w:type="dxa"/>
            <w:gridSpan w:val="7"/>
            <w:tcBorders/>
            <w:shd w:fill="FFFFFF" w:val="clear"/>
            <w:vAlign w:val="bottom"/>
          </w:tcPr>
          <w:p>
            <w:pPr>
              <w:pStyle w:val="TableContents"/>
              <w:spacing w:before="0" w:after="0"/>
              <w:jc w:val="center"/>
              <w:rPr>
                <w:rFonts w:ascii="Arial" w:hAnsi="Arial"/>
                <w:b/>
              </w:rPr>
            </w:pPr>
            <w:r>
              <w:rPr>
                <w:rFonts w:ascii="Arial" w:hAnsi="Arial"/>
                <w:b/>
              </w:rPr>
              <w:t>% Change in</w:t>
              <w:br/>
              <w:t>Sales</w:t>
            </w:r>
          </w:p>
          <w:p>
            <w:pPr>
              <w:pStyle w:val="HorizontalLine"/>
              <w:pBdr>
                <w:bottom w:val="single" w:sz="6" w:space="0" w:color="000000"/>
              </w:pBdr>
              <w:spacing w:before="0" w:after="283"/>
              <w:rPr/>
            </w:pPr>
            <w:r>
              <w:rPr/>
            </w:r>
          </w:p>
        </w:tc>
      </w:tr>
      <w:tr>
        <w:trPr/>
        <w:tc>
          <w:tcPr>
            <w:tcW w:w="359" w:type="dxa"/>
            <w:tcBorders/>
            <w:shd w:fill="FFFFFF" w:val="clear"/>
            <w:vAlign w:val="bottom"/>
          </w:tcPr>
          <w:p>
            <w:pPr>
              <w:pStyle w:val="TableContents"/>
              <w:spacing w:before="0" w:after="283"/>
              <w:jc w:val="left"/>
              <w:rPr/>
            </w:pPr>
            <w:r>
              <w:rPr/>
              <w:t>      </w:t>
            </w:r>
          </w:p>
        </w:tc>
        <w:tc>
          <w:tcPr>
            <w:tcW w:w="4831" w:type="dxa"/>
            <w:tcBorders/>
            <w:shd w:fill="FFFFFF" w:val="clear"/>
            <w:vAlign w:val="bottom"/>
          </w:tcPr>
          <w:p>
            <w:pPr>
              <w:pStyle w:val="TableContents"/>
              <w:spacing w:before="0" w:after="0"/>
              <w:jc w:val="left"/>
              <w:rPr>
                <w:rFonts w:ascii="Arial" w:hAnsi="Arial"/>
                <w:b/>
              </w:rPr>
            </w:pPr>
            <w:r>
              <w:rPr>
                <w:rFonts w:ascii="Arial" w:hAnsi="Arial"/>
                <w:b/>
              </w:rPr>
              <w:t>Customer End-Markets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71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71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715"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30" w:type="dxa"/>
            <w:gridSpan w:val="3"/>
            <w:tcBorders/>
            <w:shd w:fill="FFFFFF" w:val="clear"/>
            <w:vAlign w:val="bottom"/>
          </w:tcPr>
          <w:p>
            <w:pPr>
              <w:pStyle w:val="TableContents"/>
              <w:spacing w:before="0" w:after="0"/>
              <w:jc w:val="center"/>
              <w:rPr>
                <w:rFonts w:ascii="Arial" w:hAnsi="Arial"/>
                <w:b/>
              </w:rPr>
            </w:pPr>
            <w:r>
              <w:rPr>
                <w:rFonts w:ascii="Arial" w:hAnsi="Arial"/>
                <w:b/>
              </w:rPr>
              <w:t>2006</w:t>
              <w:br/>
              <w:t>Versus</w:t>
              <w:br/>
              <w:t>2005</w:t>
            </w:r>
          </w:p>
          <w:p>
            <w:pPr>
              <w:pStyle w:val="HorizontalLine"/>
              <w:pBdr>
                <w:bottom w:val="single" w:sz="6" w:space="0" w:color="000000"/>
              </w:pBdr>
              <w:spacing w:before="0" w:after="283"/>
              <w:rPr/>
            </w:pPr>
            <w:r>
              <w:rPr/>
            </w:r>
          </w:p>
        </w:tc>
        <w:tc>
          <w:tcPr>
            <w:tcW w:w="247" w:type="dxa"/>
            <w:tcBorders/>
            <w:shd w:fill="FFFFFF" w:val="clear"/>
            <w:vAlign w:val="center"/>
          </w:tcPr>
          <w:p>
            <w:pPr>
              <w:pStyle w:val="TableContents"/>
              <w:spacing w:before="0" w:after="283"/>
              <w:rPr/>
            </w:pPr>
            <w:r>
              <w:rPr/>
              <w:t> </w:t>
            </w:r>
          </w:p>
        </w:tc>
        <w:tc>
          <w:tcPr>
            <w:tcW w:w="833" w:type="dxa"/>
            <w:gridSpan w:val="3"/>
            <w:tcBorders/>
            <w:shd w:fill="FFFFFF" w:val="clear"/>
            <w:vAlign w:val="bottom"/>
          </w:tcPr>
          <w:p>
            <w:pPr>
              <w:pStyle w:val="TableContents"/>
              <w:spacing w:before="0" w:after="0"/>
              <w:jc w:val="center"/>
              <w:rPr>
                <w:rFonts w:ascii="Arial" w:hAnsi="Arial"/>
                <w:b/>
              </w:rPr>
            </w:pPr>
            <w:r>
              <w:rPr>
                <w:rFonts w:ascii="Arial" w:hAnsi="Arial"/>
                <w:b/>
              </w:rPr>
              <w:t>2005</w:t>
              <w:br/>
              <w:t>Versus</w:t>
              <w:br/>
              <w:t>2004</w:t>
            </w:r>
          </w:p>
          <w:p>
            <w:pPr>
              <w:pStyle w:val="HorizontalLine"/>
              <w:pBdr>
                <w:bottom w:val="single" w:sz="6" w:space="0" w:color="000000"/>
              </w:pBdr>
              <w:spacing w:before="0" w:after="283"/>
              <w:rPr/>
            </w:pPr>
            <w:r>
              <w:rPr/>
            </w:r>
          </w:p>
        </w:tc>
      </w:tr>
      <w:tr>
        <w:trPr/>
        <w:tc>
          <w:tcPr>
            <w:tcW w:w="359" w:type="dxa"/>
            <w:tcBorders/>
            <w:shd w:fill="E5FFFF" w:val="clear"/>
            <w:vAlign w:val="bottom"/>
          </w:tcPr>
          <w:p>
            <w:pPr>
              <w:pStyle w:val="TableContents"/>
              <w:spacing w:before="0" w:after="283"/>
              <w:jc w:val="left"/>
              <w:rPr/>
            </w:pPr>
            <w:r>
              <w:rPr/>
              <w:t>      </w:t>
            </w:r>
          </w:p>
        </w:tc>
        <w:tc>
          <w:tcPr>
            <w:tcW w:w="4831" w:type="dxa"/>
            <w:tcBorders/>
            <w:shd w:fill="E5FFFF" w:val="clear"/>
            <w:vAlign w:val="bottom"/>
          </w:tcPr>
          <w:p>
            <w:pPr>
              <w:pStyle w:val="TableContents"/>
              <w:spacing w:before="0" w:after="283"/>
              <w:jc w:val="left"/>
              <w:rPr>
                <w:rFonts w:ascii="Arial" w:hAnsi="Arial"/>
                <w:b/>
              </w:rPr>
            </w:pPr>
            <w:r>
              <w:rPr>
                <w:rFonts w:ascii="Arial" w:hAnsi="Arial"/>
                <w:b/>
              </w:rPr>
              <w:t>Commercial:</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center"/>
          </w:tcPr>
          <w:p>
            <w:pPr>
              <w:pStyle w:val="TableContents"/>
              <w:spacing w:before="0" w:after="283"/>
              <w:rPr/>
            </w:pPr>
            <w:r>
              <w:rPr/>
              <w:t> </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center"/>
          </w:tcPr>
          <w:p>
            <w:pPr>
              <w:pStyle w:val="TableContents"/>
              <w:spacing w:before="0" w:after="283"/>
              <w:rPr/>
            </w:pPr>
            <w:r>
              <w:rPr/>
              <w:t> </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center"/>
          </w:tcPr>
          <w:p>
            <w:pPr>
              <w:pStyle w:val="TableContents"/>
              <w:spacing w:before="0" w:after="283"/>
              <w:rPr/>
            </w:pPr>
            <w:r>
              <w:rPr/>
              <w:t> </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center"/>
          </w:tcPr>
          <w:p>
            <w:pPr>
              <w:pStyle w:val="TableContents"/>
              <w:spacing w:before="0" w:after="283"/>
              <w:rPr/>
            </w:pPr>
            <w:r>
              <w:rPr/>
              <w:t> </w:t>
            </w:r>
          </w:p>
        </w:tc>
        <w:tc>
          <w:tcPr>
            <w:tcW w:w="330" w:type="dxa"/>
            <w:tcBorders/>
            <w:shd w:fill="E5FFFF" w:val="clear"/>
            <w:vAlign w:val="center"/>
          </w:tcPr>
          <w:p>
            <w:pPr>
              <w:pStyle w:val="TableContents"/>
              <w:spacing w:before="0" w:after="283"/>
              <w:rPr/>
            </w:pPr>
            <w:r>
              <w:rPr/>
              <w:t> </w:t>
            </w:r>
          </w:p>
        </w:tc>
        <w:tc>
          <w:tcPr>
            <w:tcW w:w="247" w:type="dxa"/>
            <w:tcBorders/>
            <w:shd w:fill="E5FFFF" w:val="clear"/>
            <w:vAlign w:val="center"/>
          </w:tcPr>
          <w:p>
            <w:pPr>
              <w:pStyle w:val="TableContents"/>
              <w:spacing w:before="0" w:after="283"/>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center"/>
          </w:tcPr>
          <w:p>
            <w:pPr>
              <w:pStyle w:val="TableContents"/>
              <w:spacing w:before="0" w:after="283"/>
              <w:rPr/>
            </w:pPr>
            <w:r>
              <w:rPr/>
              <w:t> </w:t>
            </w:r>
          </w:p>
        </w:tc>
        <w:tc>
          <w:tcPr>
            <w:tcW w:w="333"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4831" w:type="dxa"/>
            <w:tcBorders/>
            <w:shd w:fill="FFFFFF" w:val="clear"/>
            <w:vAlign w:val="bottom"/>
          </w:tcPr>
          <w:p>
            <w:pPr>
              <w:pStyle w:val="TableContents"/>
              <w:spacing w:before="0" w:after="283"/>
              <w:jc w:val="left"/>
              <w:rPr>
                <w:rFonts w:ascii="Arial" w:hAnsi="Arial"/>
              </w:rPr>
            </w:pPr>
            <w:r>
              <w:rPr>
                <w:rFonts w:ascii="Arial" w:hAnsi="Arial"/>
              </w:rPr>
              <w:t>Air transport and regional original equipment</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16</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15</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15</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14</w:t>
            </w:r>
          </w:p>
        </w:tc>
        <w:tc>
          <w:tcPr>
            <w:tcW w:w="330" w:type="dxa"/>
            <w:tcBorders/>
            <w:shd w:fill="FFFFFF" w:val="clear"/>
            <w:vAlign w:val="bottom"/>
          </w:tcPr>
          <w:p>
            <w:pPr>
              <w:pStyle w:val="TableContents"/>
              <w:spacing w:before="0" w:after="283"/>
              <w:jc w:val="left"/>
              <w:rPr>
                <w:rFonts w:ascii="Arial" w:hAnsi="Arial"/>
              </w:rPr>
            </w:pPr>
            <w:r>
              <w:rPr>
                <w:rFonts w:ascii="Arial" w:hAnsi="Arial"/>
              </w:rPr>
              <w:t>%</w:t>
            </w:r>
          </w:p>
        </w:tc>
        <w:tc>
          <w:tcPr>
            <w:tcW w:w="247"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9</w:t>
            </w:r>
          </w:p>
        </w:tc>
        <w:tc>
          <w:tcPr>
            <w:tcW w:w="333"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E5FFFF" w:val="clear"/>
            <w:vAlign w:val="bottom"/>
          </w:tcPr>
          <w:p>
            <w:pPr>
              <w:pStyle w:val="TableContents"/>
              <w:spacing w:before="0" w:after="283"/>
              <w:jc w:val="left"/>
              <w:rPr/>
            </w:pPr>
            <w:r>
              <w:rPr/>
              <w:t>      </w:t>
            </w:r>
          </w:p>
        </w:tc>
        <w:tc>
          <w:tcPr>
            <w:tcW w:w="4831" w:type="dxa"/>
            <w:tcBorders/>
            <w:shd w:fill="E5FFFF" w:val="clear"/>
            <w:vAlign w:val="bottom"/>
          </w:tcPr>
          <w:p>
            <w:pPr>
              <w:pStyle w:val="TableContents"/>
              <w:spacing w:before="0" w:after="283"/>
              <w:jc w:val="left"/>
              <w:rPr>
                <w:rFonts w:ascii="Arial" w:hAnsi="Arial"/>
              </w:rPr>
            </w:pPr>
            <w:r>
              <w:rPr>
                <w:rFonts w:ascii="Arial" w:hAnsi="Arial"/>
              </w:rPr>
              <w:t>Air transport and regional aftermarket</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Arial" w:hAnsi="Arial"/>
              </w:rPr>
            </w:pPr>
            <w:r>
              <w:rPr>
                <w:rFonts w:ascii="Arial" w:hAnsi="Arial"/>
              </w:rPr>
              <w:t>22</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Arial" w:hAnsi="Arial"/>
              </w:rPr>
            </w:pPr>
            <w:r>
              <w:rPr>
                <w:rFonts w:ascii="Arial" w:hAnsi="Arial"/>
              </w:rPr>
              <w:t>23</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Arial" w:hAnsi="Arial"/>
              </w:rPr>
            </w:pPr>
            <w:r>
              <w:rPr>
                <w:rFonts w:ascii="Arial" w:hAnsi="Arial"/>
              </w:rPr>
              <w:t>24</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TableContents"/>
              <w:spacing w:before="0" w:after="283"/>
              <w:jc w:val="right"/>
              <w:rPr>
                <w:rFonts w:ascii="Arial" w:hAnsi="Arial"/>
              </w:rPr>
            </w:pPr>
            <w:r>
              <w:rPr>
                <w:rFonts w:ascii="Arial" w:hAnsi="Arial"/>
              </w:rPr>
              <w:t>4</w:t>
            </w:r>
          </w:p>
        </w:tc>
        <w:tc>
          <w:tcPr>
            <w:tcW w:w="330"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TableContents"/>
              <w:spacing w:before="0" w:after="283"/>
              <w:jc w:val="right"/>
              <w:rPr>
                <w:rFonts w:ascii="Arial" w:hAnsi="Arial"/>
              </w:rPr>
            </w:pPr>
            <w:r>
              <w:rPr>
                <w:rFonts w:ascii="Arial" w:hAnsi="Arial"/>
              </w:rPr>
              <w:t>3</w:t>
            </w:r>
          </w:p>
        </w:tc>
        <w:tc>
          <w:tcPr>
            <w:tcW w:w="333"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4831" w:type="dxa"/>
            <w:tcBorders/>
            <w:shd w:fill="FFFFFF" w:val="clear"/>
            <w:vAlign w:val="bottom"/>
          </w:tcPr>
          <w:p>
            <w:pPr>
              <w:pStyle w:val="TableContents"/>
              <w:spacing w:before="0" w:after="283"/>
              <w:jc w:val="left"/>
              <w:rPr>
                <w:rFonts w:ascii="Arial" w:hAnsi="Arial"/>
              </w:rPr>
            </w:pPr>
            <w:r>
              <w:rPr>
                <w:rFonts w:ascii="Arial" w:hAnsi="Arial"/>
              </w:rPr>
              <w:t>Business and general aviation original equipment</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12</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11</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8</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16</w:t>
            </w:r>
          </w:p>
        </w:tc>
        <w:tc>
          <w:tcPr>
            <w:tcW w:w="330"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42</w:t>
            </w:r>
          </w:p>
        </w:tc>
        <w:tc>
          <w:tcPr>
            <w:tcW w:w="333"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4831" w:type="dxa"/>
            <w:tcBorders/>
            <w:shd w:fill="E5FFFF" w:val="clear"/>
            <w:vAlign w:val="bottom"/>
          </w:tcPr>
          <w:p>
            <w:pPr>
              <w:pStyle w:val="TableContents"/>
              <w:spacing w:before="0" w:after="283"/>
              <w:jc w:val="left"/>
              <w:rPr>
                <w:rFonts w:ascii="Arial" w:hAnsi="Arial"/>
              </w:rPr>
            </w:pPr>
            <w:r>
              <w:rPr>
                <w:rFonts w:ascii="Arial" w:hAnsi="Arial"/>
              </w:rPr>
              <w:t>Business and general aviation aftermarket</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Arial" w:hAnsi="Arial"/>
              </w:rPr>
            </w:pPr>
            <w:r>
              <w:rPr>
                <w:rFonts w:ascii="Arial" w:hAnsi="Arial"/>
              </w:rPr>
              <w:t>10</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Arial" w:hAnsi="Arial"/>
              </w:rPr>
            </w:pPr>
            <w:r>
              <w:rPr>
                <w:rFonts w:ascii="Arial" w:hAnsi="Arial"/>
              </w:rPr>
              <w:t>10</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Arial" w:hAnsi="Arial"/>
              </w:rPr>
            </w:pPr>
            <w:r>
              <w:rPr>
                <w:rFonts w:ascii="Arial" w:hAnsi="Arial"/>
              </w:rPr>
              <w:t>10</w:t>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TableContents"/>
              <w:spacing w:before="0" w:after="283"/>
              <w:jc w:val="right"/>
              <w:rPr>
                <w:rFonts w:ascii="Arial" w:hAnsi="Arial"/>
              </w:rPr>
            </w:pPr>
            <w:r>
              <w:rPr>
                <w:rFonts w:ascii="Arial" w:hAnsi="Arial"/>
              </w:rPr>
              <w:t>1</w:t>
            </w:r>
          </w:p>
        </w:tc>
        <w:tc>
          <w:tcPr>
            <w:tcW w:w="330"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TableContents"/>
              <w:spacing w:before="0" w:after="283"/>
              <w:jc w:val="right"/>
              <w:rPr>
                <w:rFonts w:ascii="Arial" w:hAnsi="Arial"/>
              </w:rPr>
            </w:pPr>
            <w:r>
              <w:rPr>
                <w:rFonts w:ascii="Arial" w:hAnsi="Arial"/>
              </w:rPr>
              <w:t>10</w:t>
            </w:r>
          </w:p>
        </w:tc>
        <w:tc>
          <w:tcPr>
            <w:tcW w:w="333"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4831" w:type="dxa"/>
            <w:tcBorders/>
            <w:shd w:fill="FFFFFF" w:val="clear"/>
            <w:vAlign w:val="bottom"/>
          </w:tcPr>
          <w:p>
            <w:pPr>
              <w:pStyle w:val="TableContents"/>
              <w:spacing w:before="0" w:after="283"/>
              <w:jc w:val="left"/>
              <w:rPr>
                <w:rFonts w:ascii="Arial" w:hAnsi="Arial"/>
                <w:b/>
              </w:rPr>
            </w:pPr>
            <w:r>
              <w:rPr>
                <w:rFonts w:ascii="Arial" w:hAnsi="Arial"/>
                <w:b/>
              </w:rPr>
              <w:t>Defense and Space</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40</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41</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43</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3</w:t>
            </w:r>
          </w:p>
        </w:tc>
        <w:tc>
          <w:tcPr>
            <w:tcW w:w="330"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2</w:t>
            </w:r>
          </w:p>
        </w:tc>
        <w:tc>
          <w:tcPr>
            <w:tcW w:w="333" w:type="dxa"/>
            <w:tcBorders/>
            <w:shd w:fill="FFFFFF" w:val="clear"/>
            <w:vAlign w:val="center"/>
          </w:tcPr>
          <w:p>
            <w:pPr>
              <w:pStyle w:val="TableContents"/>
              <w:spacing w:before="0" w:after="283"/>
              <w:rPr/>
            </w:pPr>
            <w:r>
              <w:rPr/>
              <w:t> </w:t>
            </w:r>
          </w:p>
        </w:tc>
      </w:tr>
      <w:tr>
        <w:trPr/>
        <w:tc>
          <w:tcPr>
            <w:tcW w:w="359" w:type="dxa"/>
            <w:tcBorders/>
            <w:shd w:fill="E5FFFF" w:val="clear"/>
            <w:vAlign w:val="center"/>
          </w:tcPr>
          <w:p>
            <w:pPr>
              <w:pStyle w:val="TableContents"/>
              <w:spacing w:before="0" w:after="283"/>
              <w:rPr/>
            </w:pPr>
            <w:r>
              <w:rPr/>
              <w:t> </w:t>
            </w:r>
          </w:p>
        </w:tc>
        <w:tc>
          <w:tcPr>
            <w:tcW w:w="483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HorizontalLine"/>
              <w:pBdr>
                <w:bottom w:val="single" w:sz="6" w:space="0" w:color="000000"/>
              </w:pBdr>
              <w:spacing w:before="0" w:after="283"/>
              <w:rPr/>
            </w:pPr>
            <w:r>
              <w:rPr/>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HorizontalLine"/>
              <w:pBdr>
                <w:bottom w:val="single" w:sz="6" w:space="0" w:color="000000"/>
              </w:pBdr>
              <w:spacing w:before="0" w:after="283"/>
              <w:rPr/>
            </w:pPr>
            <w:r>
              <w:rPr/>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HorizontalLine"/>
              <w:pBdr>
                <w:bottom w:val="single" w:sz="6" w:space="0" w:color="000000"/>
              </w:pBdr>
              <w:spacing w:before="0" w:after="283"/>
              <w:rPr/>
            </w:pPr>
            <w:r>
              <w:rPr/>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HorizontalLine"/>
              <w:pBdr>
                <w:bottom w:val="single" w:sz="6" w:space="0" w:color="000000"/>
              </w:pBdr>
              <w:spacing w:before="0" w:after="283"/>
              <w:rPr/>
            </w:pPr>
            <w:r>
              <w:rPr/>
            </w:r>
          </w:p>
        </w:tc>
        <w:tc>
          <w:tcPr>
            <w:tcW w:w="330"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HorizontalLine"/>
              <w:pBdr>
                <w:bottom w:val="single" w:sz="6" w:space="0" w:color="000000"/>
              </w:pBdr>
              <w:spacing w:before="0" w:after="283"/>
              <w:rPr/>
            </w:pPr>
            <w:r>
              <w:rPr/>
            </w:r>
          </w:p>
        </w:tc>
        <w:tc>
          <w:tcPr>
            <w:tcW w:w="333"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4831" w:type="dxa"/>
            <w:tcBorders/>
            <w:shd w:fill="FFFFFF" w:val="clear"/>
            <w:vAlign w:val="bottom"/>
          </w:tcPr>
          <w:p>
            <w:pPr>
              <w:pStyle w:val="TableContents"/>
              <w:spacing w:before="0" w:after="283"/>
              <w:jc w:val="left"/>
              <w:rPr>
                <w:rFonts w:ascii="Arial" w:hAnsi="Arial"/>
              </w:rPr>
            </w:pPr>
            <w:r>
              <w:rPr>
                <w:rFonts w:ascii="Arial" w:hAnsi="Arial"/>
              </w:rPr>
              <w:t>Total</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100</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100</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bottom"/>
          </w:tcPr>
          <w:p>
            <w:pPr>
              <w:pStyle w:val="TableContents"/>
              <w:spacing w:before="0" w:after="283"/>
              <w:jc w:val="right"/>
              <w:rPr>
                <w:rFonts w:ascii="Arial" w:hAnsi="Arial"/>
              </w:rPr>
            </w:pPr>
            <w:r>
              <w:rPr>
                <w:rFonts w:ascii="Arial" w:hAnsi="Arial"/>
              </w:rPr>
              <w:t>100</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6</w:t>
            </w:r>
          </w:p>
        </w:tc>
        <w:tc>
          <w:tcPr>
            <w:tcW w:w="330" w:type="dxa"/>
            <w:tcBorders/>
            <w:shd w:fill="FFFFFF" w:val="clear"/>
            <w:vAlign w:val="bottom"/>
          </w:tcPr>
          <w:p>
            <w:pPr>
              <w:pStyle w:val="TableContents"/>
              <w:spacing w:before="0" w:after="283"/>
              <w:jc w:val="left"/>
              <w:rPr>
                <w:rFonts w:ascii="Arial" w:hAnsi="Arial"/>
              </w:rPr>
            </w:pPr>
            <w:r>
              <w:rPr>
                <w:rFonts w:ascii="Arial" w:hAnsi="Arial"/>
              </w:rPr>
              <w:t>%</w:t>
            </w:r>
          </w:p>
        </w:tc>
        <w:tc>
          <w:tcPr>
            <w:tcW w:w="247" w:type="dxa"/>
            <w:tcBorders/>
            <w:shd w:fill="FFFFFF" w:val="clear"/>
            <w:vAlign w:val="bottom"/>
          </w:tcPr>
          <w:p>
            <w:pPr>
              <w:pStyle w:val="TableContents"/>
              <w:spacing w:before="0" w:after="283"/>
              <w:jc w:val="right"/>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bottom"/>
          </w:tcPr>
          <w:p>
            <w:pPr>
              <w:pStyle w:val="TableContents"/>
              <w:spacing w:before="0" w:after="283"/>
              <w:jc w:val="right"/>
              <w:rPr>
                <w:rFonts w:ascii="Arial" w:hAnsi="Arial"/>
              </w:rPr>
            </w:pPr>
            <w:r>
              <w:rPr>
                <w:rFonts w:ascii="Arial" w:hAnsi="Arial"/>
              </w:rPr>
              <w:t>8</w:t>
            </w:r>
          </w:p>
        </w:tc>
        <w:tc>
          <w:tcPr>
            <w:tcW w:w="333"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E5FFFF" w:val="clear"/>
            <w:vAlign w:val="center"/>
          </w:tcPr>
          <w:p>
            <w:pPr>
              <w:pStyle w:val="TableContents"/>
              <w:spacing w:before="0" w:after="283"/>
              <w:rPr/>
            </w:pPr>
            <w:r>
              <w:rPr/>
              <w:t> </w:t>
            </w:r>
          </w:p>
        </w:tc>
        <w:tc>
          <w:tcPr>
            <w:tcW w:w="483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HorizontalLine"/>
              <w:pBdr>
                <w:bottom w:val="single" w:sz="18" w:space="0" w:color="000000"/>
              </w:pBdr>
              <w:spacing w:before="0" w:after="283"/>
              <w:rPr/>
            </w:pPr>
            <w:r>
              <w:rPr/>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HorizontalLine"/>
              <w:pBdr>
                <w:bottom w:val="single" w:sz="18" w:space="0" w:color="000000"/>
              </w:pBdr>
              <w:spacing w:before="0" w:after="283"/>
              <w:rPr/>
            </w:pPr>
            <w:r>
              <w:rPr/>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425" w:type="dxa"/>
            <w:tcBorders/>
            <w:shd w:fill="E5FFFF" w:val="clear"/>
            <w:vAlign w:val="bottom"/>
          </w:tcPr>
          <w:p>
            <w:pPr>
              <w:pStyle w:val="HorizontalLine"/>
              <w:pBdr>
                <w:bottom w:val="single" w:sz="18" w:space="0" w:color="000000"/>
              </w:pBdr>
              <w:spacing w:before="0" w:after="283"/>
              <w:rPr/>
            </w:pPr>
            <w:r>
              <w:rPr/>
            </w:r>
          </w:p>
        </w:tc>
        <w:tc>
          <w:tcPr>
            <w:tcW w:w="23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HorizontalLine"/>
              <w:pBdr>
                <w:bottom w:val="single" w:sz="18" w:space="0" w:color="000000"/>
              </w:pBdr>
              <w:spacing w:before="0" w:after="283"/>
              <w:rPr/>
            </w:pPr>
            <w:r>
              <w:rPr/>
            </w:r>
          </w:p>
        </w:tc>
        <w:tc>
          <w:tcPr>
            <w:tcW w:w="330"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85" w:type="dxa"/>
            <w:tcBorders/>
            <w:shd w:fill="E5FFFF" w:val="clear"/>
            <w:vAlign w:val="center"/>
          </w:tcPr>
          <w:p>
            <w:pPr>
              <w:pStyle w:val="TableContents"/>
              <w:spacing w:before="0" w:after="283"/>
              <w:rPr/>
            </w:pPr>
            <w:r>
              <w:rPr/>
              <w:t> </w:t>
            </w:r>
          </w:p>
        </w:tc>
        <w:tc>
          <w:tcPr>
            <w:tcW w:w="415" w:type="dxa"/>
            <w:tcBorders/>
            <w:shd w:fill="E5FFFF" w:val="clear"/>
            <w:vAlign w:val="bottom"/>
          </w:tcPr>
          <w:p>
            <w:pPr>
              <w:pStyle w:val="HorizontalLine"/>
              <w:pBdr>
                <w:bottom w:val="single" w:sz="18" w:space="0" w:color="000000"/>
              </w:pBdr>
              <w:spacing w:before="0" w:after="283"/>
              <w:rPr/>
            </w:pPr>
            <w:r>
              <w:rPr/>
            </w:r>
          </w:p>
        </w:tc>
        <w:tc>
          <w:tcPr>
            <w:tcW w:w="333"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4831"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center"/>
          </w:tcPr>
          <w:p>
            <w:pPr>
              <w:pStyle w:val="TableContents"/>
              <w:spacing w:before="0" w:after="283"/>
              <w:rPr/>
            </w:pPr>
            <w:r>
              <w:rPr/>
              <w:t> </w:t>
            </w:r>
          </w:p>
        </w:tc>
        <w:tc>
          <w:tcPr>
            <w:tcW w:w="330"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c>
          <w:tcPr>
            <w:tcW w:w="415" w:type="dxa"/>
            <w:tcBorders/>
            <w:shd w:fill="FFFFFF" w:val="clear"/>
            <w:vAlign w:val="center"/>
          </w:tcPr>
          <w:p>
            <w:pPr>
              <w:pStyle w:val="TableContents"/>
              <w:spacing w:before="0" w:after="283"/>
              <w:rPr/>
            </w:pPr>
            <w:r>
              <w:rPr/>
              <w:t> </w:t>
            </w:r>
          </w:p>
        </w:tc>
        <w:tc>
          <w:tcPr>
            <w:tcW w:w="333"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Details regarding the net increase in sales by customer end-markets for both 2006 and 2005 are as follows:</w:t>
      </w:r>
    </w:p>
    <w:tbl>
      <w:tblPr>
        <w:tblW w:w="5000" w:type="pct"/>
        <w:jc w:val="left"/>
        <w:tblInd w:w="0" w:type="dxa"/>
        <w:tblCellMar>
          <w:top w:w="0" w:type="dxa"/>
          <w:left w:w="0" w:type="dxa"/>
          <w:bottom w:w="0" w:type="dxa"/>
          <w:right w:w="0" w:type="dxa"/>
        </w:tblCellMar>
      </w:tblPr>
      <w:tblGrid>
        <w:gridCol w:w="359"/>
        <w:gridCol w:w="118"/>
        <w:gridCol w:w="9728"/>
      </w:tblGrid>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Air transport and regional original equipment (OE) sales increased by 14 percent in 2006 and 9 percent in 2005 primarily driven by increased deliveries to air transport customers primarily due to higher aircraft production rates.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Air transport and regional aftermarket sales increased by 4 percent in 2006 as a result of increased sales of spare parts and maintenance activity relating to a more than 5 percent increase in global flying hours which more than offset the anticipated decline in the sales of upgrades and retrofits of avionics equipment to meet certain mandated regulatory standards. In 2005, sales increased by 3 percent due primarily to a 7 percent increase in flying hours which was partially offset by a decrease in the level of FAA-mandated safety avionics equipment upgrades and retrofits and the impact of the phase-out of regional aircraft with turboprop engines.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Business and general aviation OE sales increased by 16 percent in 2006 and by 42 percent in 2005 due primarily to the continued demand in the business jet end market as evidenced by an increase in new business jet deliveries and high demand in the fractional ownership market. These sales primarily relate to sales of Primus Epic integrated avionics systems, and the TFE 731 and HTF 7000 engines, which generated sales commencing in 2005.</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Business and general aviation aftermarket sales increased by 1 percent in 2006, due to increased sales of spare parts and increased maintenance activity resulting in part from higher</w:t>
            </w:r>
          </w:p>
        </w:tc>
      </w:tr>
    </w:tbl>
    <w:p>
      <w:pPr>
        <w:pStyle w:val="TextBody"/>
        <w:jc w:val="center"/>
        <w:rPr>
          <w:rFonts w:ascii="Arial" w:hAnsi="Arial"/>
        </w:rPr>
      </w:pPr>
      <w:r>
        <w:rPr>
          <w:rFonts w:ascii="Arial" w:hAnsi="Arial"/>
        </w:rPr>
        <w:t>25</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359"/>
        <w:gridCol w:w="120"/>
        <w:gridCol w:w="9726"/>
      </w:tblGrid>
      <w:tr>
        <w:trPr/>
        <w:tc>
          <w:tcPr>
            <w:tcW w:w="359" w:type="dxa"/>
            <w:tcBorders/>
            <w:shd w:fill="FFFFFF" w:val="clear"/>
          </w:tcPr>
          <w:p>
            <w:pPr>
              <w:pStyle w:val="TableContents"/>
              <w:pageBreakBefore/>
              <w:spacing w:before="0" w:after="283"/>
              <w:rPr>
                <w:sz w:val="4"/>
                <w:szCs w:val="4"/>
              </w:rPr>
            </w:pPr>
            <w:r>
              <w:rPr>
                <w:sz w:val="4"/>
                <w:szCs w:val="4"/>
              </w:rPr>
            </w:r>
          </w:p>
        </w:tc>
        <w:tc>
          <w:tcPr>
            <w:tcW w:w="120" w:type="dxa"/>
            <w:tcBorders/>
            <w:shd w:fill="FFFFFF" w:val="clear"/>
          </w:tcPr>
          <w:p>
            <w:pPr>
              <w:pStyle w:val="TableContents"/>
              <w:spacing w:before="0" w:after="283"/>
              <w:jc w:val="left"/>
              <w:rPr/>
            </w:pPr>
            <w:r>
              <w:rPr/>
              <w:t> </w:t>
            </w:r>
          </w:p>
        </w:tc>
        <w:tc>
          <w:tcPr>
            <w:tcW w:w="9726" w:type="dxa"/>
            <w:tcBorders/>
            <w:shd w:fill="FFFFFF" w:val="clear"/>
          </w:tcPr>
          <w:p>
            <w:pPr>
              <w:pStyle w:val="TableContents"/>
              <w:spacing w:before="0" w:after="283"/>
              <w:jc w:val="left"/>
              <w:rPr>
                <w:rFonts w:ascii="Arial" w:hAnsi="Arial"/>
              </w:rPr>
            </w:pPr>
            <w:r>
              <w:rPr>
                <w:rFonts w:ascii="Arial" w:hAnsi="Arial"/>
              </w:rPr>
              <w:t>engine utilization, partially offset lower sales of mandated upgrades and retrofits of avionics equipment required in the prior year to meet certain mandated regulatory standards. In 2005, sales increased by 10 percent due to these mandates, and as a result of increased engine utilization for corporate aircraft.</w:t>
            </w:r>
          </w:p>
        </w:tc>
      </w:tr>
      <w:tr>
        <w:trPr/>
        <w:tc>
          <w:tcPr>
            <w:tcW w:w="359" w:type="dxa"/>
            <w:tcBorders/>
            <w:shd w:fill="FFFFFF" w:val="clear"/>
          </w:tcPr>
          <w:p>
            <w:pPr>
              <w:pStyle w:val="TableContents"/>
              <w:spacing w:before="0" w:after="283"/>
              <w:rPr>
                <w:sz w:val="4"/>
                <w:szCs w:val="4"/>
              </w:rPr>
            </w:pPr>
            <w:r>
              <w:rPr>
                <w:sz w:val="4"/>
                <w:szCs w:val="4"/>
              </w:rPr>
            </w:r>
          </w:p>
        </w:tc>
        <w:tc>
          <w:tcPr>
            <w:tcW w:w="120" w:type="dxa"/>
            <w:tcBorders/>
            <w:shd w:fill="FFFFFF" w:val="clear"/>
          </w:tcPr>
          <w:p>
            <w:pPr>
              <w:pStyle w:val="TableContents"/>
              <w:spacing w:before="0" w:after="283"/>
              <w:jc w:val="left"/>
              <w:rPr/>
            </w:pPr>
            <w:r>
              <w:rPr/>
              <w:t> </w:t>
            </w:r>
          </w:p>
        </w:tc>
        <w:tc>
          <w:tcPr>
            <w:tcW w:w="9726" w:type="dxa"/>
            <w:tcBorders/>
            <w:shd w:fill="FFFFFF" w:val="clear"/>
          </w:tcPr>
          <w:p>
            <w:pPr>
              <w:pStyle w:val="TableContents"/>
              <w:spacing w:before="0" w:after="283"/>
              <w:jc w:val="left"/>
              <w:rPr/>
            </w:pPr>
            <w:r>
              <w:rPr/>
              <w:t> </w:t>
            </w:r>
          </w:p>
        </w:tc>
      </w:tr>
      <w:tr>
        <w:trPr/>
        <w:tc>
          <w:tcPr>
            <w:tcW w:w="359" w:type="dxa"/>
            <w:tcBorders/>
            <w:shd w:fill="FFFFFF" w:val="clear"/>
          </w:tcPr>
          <w:p>
            <w:pPr>
              <w:pStyle w:val="TableContents"/>
              <w:spacing w:before="0" w:after="283"/>
              <w:rPr>
                <w:sz w:val="4"/>
                <w:szCs w:val="4"/>
              </w:rPr>
            </w:pPr>
            <w:r>
              <w:rPr>
                <w:sz w:val="4"/>
                <w:szCs w:val="4"/>
              </w:rPr>
            </w:r>
          </w:p>
        </w:tc>
        <w:tc>
          <w:tcPr>
            <w:tcW w:w="120" w:type="dxa"/>
            <w:tcBorders/>
            <w:shd w:fill="FFFFFF" w:val="clear"/>
          </w:tcPr>
          <w:p>
            <w:pPr>
              <w:pStyle w:val="TableContents"/>
              <w:spacing w:before="0" w:after="283"/>
              <w:jc w:val="left"/>
              <w:rPr/>
            </w:pPr>
            <w:r>
              <w:rPr/>
              <w:t>•</w:t>
            </w:r>
          </w:p>
        </w:tc>
        <w:tc>
          <w:tcPr>
            <w:tcW w:w="9726" w:type="dxa"/>
            <w:tcBorders/>
            <w:shd w:fill="FFFFFF" w:val="clear"/>
          </w:tcPr>
          <w:p>
            <w:pPr>
              <w:pStyle w:val="TableContents"/>
              <w:spacing w:before="0" w:after="283"/>
              <w:jc w:val="left"/>
              <w:rPr>
                <w:rFonts w:ascii="Arial" w:hAnsi="Arial"/>
              </w:rPr>
            </w:pPr>
            <w:r>
              <w:rPr>
                <w:rFonts w:ascii="Arial" w:hAnsi="Arial"/>
              </w:rPr>
              <w:t>Defense and space sales increased by 3 percent in 2006 primarily due to higher sales of surface systems and sales of spare parts for helicopters that offset lower volume of space sales due to delays in project funding. In 2005, defense and space sales increased by 2 percent, primarily driven by platform upgrades for war-related activities, growth in precision munitions and increased spending on restricted space programs. These factors lower replenishment demand for spare parts from the US military in both 2005 and 2006.</w:t>
            </w:r>
          </w:p>
        </w:tc>
      </w:tr>
    </w:tbl>
    <w:p>
      <w:pPr>
        <w:pStyle w:val="TextBody"/>
        <w:jc w:val="left"/>
        <w:rPr/>
      </w:pPr>
      <w:r>
        <w:rPr/>
        <w:t>      </w:t>
      </w:r>
      <w:r>
        <w:rPr>
          <w:rFonts w:ascii="Arial" w:hAnsi="Arial"/>
        </w:rPr>
        <w:t>Aerospace segment profit increased by 13 percent in 2006 compared with 2005 due primarily to sales volume growth, increased prices and productivity savings (including benefits from prior restructuring actions) that were partially offset by inflation and the impact of stronger OE sales that typically have lower margins than aftermarket sales. Segment profit increased by 18 percent in 2005 compared to 2004 due primarily to volume growth and the effect of productivity actions, partially offset by an increase in spending for information technology systems.</w:t>
      </w:r>
    </w:p>
    <w:p>
      <w:pPr>
        <w:pStyle w:val="TextBody"/>
        <w:jc w:val="left"/>
        <w:rPr/>
      </w:pPr>
      <w:r>
        <w:rPr/>
        <w:t>      </w:t>
      </w:r>
      <w:r>
        <w:rPr>
          <w:rFonts w:ascii="Arial" w:hAnsi="Arial"/>
          <w:b/>
        </w:rPr>
        <w:t>2007 Areas of Focus</w:t>
      </w:r>
    </w:p>
    <w:p>
      <w:pPr>
        <w:pStyle w:val="TextBody"/>
        <w:jc w:val="left"/>
        <w:rPr/>
      </w:pPr>
      <w:r>
        <w:rPr/>
        <w:t>      </w:t>
      </w:r>
      <w:r>
        <w:rPr>
          <w:rFonts w:ascii="Arial" w:hAnsi="Arial"/>
        </w:rPr>
        <w:t>Aerospace's primary areas of focus for 2007 include:</w:t>
      </w:r>
    </w:p>
    <w:tbl>
      <w:tblPr>
        <w:tblW w:w="5000" w:type="pct"/>
        <w:jc w:val="left"/>
        <w:tblInd w:w="0" w:type="dxa"/>
        <w:tblCellMar>
          <w:top w:w="0" w:type="dxa"/>
          <w:left w:w="0" w:type="dxa"/>
          <w:bottom w:w="0" w:type="dxa"/>
          <w:right w:w="0" w:type="dxa"/>
        </w:tblCellMar>
      </w:tblPr>
      <w:tblGrid>
        <w:gridCol w:w="359"/>
        <w:gridCol w:w="144"/>
        <w:gridCol w:w="9702"/>
      </w:tblGrid>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Continuing to grow the sales and profitability of the commercial aerospace aftermarket in the highly competitive and cost focused airline industry;</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Securing Honeywell product content on new aircraft platforms;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Continuing to design equipment that enhances the safety, performance and durability of aerospace and defense equipment, while reducing weight and operating costs;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4" w:type="dxa"/>
            <w:tcBorders/>
            <w:shd w:fill="FFFFFF" w:val="clear"/>
          </w:tcPr>
          <w:p>
            <w:pPr>
              <w:pStyle w:val="TableContents"/>
              <w:spacing w:before="0" w:after="283"/>
              <w:jc w:val="left"/>
              <w:rPr/>
            </w:pPr>
            <w:r>
              <w:rPr/>
              <w:t>•</w:t>
            </w:r>
          </w:p>
        </w:tc>
        <w:tc>
          <w:tcPr>
            <w:tcW w:w="9702" w:type="dxa"/>
            <w:tcBorders/>
            <w:shd w:fill="FFFFFF" w:val="clear"/>
          </w:tcPr>
          <w:p>
            <w:pPr>
              <w:pStyle w:val="TableContents"/>
              <w:spacing w:before="0" w:after="283"/>
              <w:jc w:val="left"/>
              <w:rPr>
                <w:rFonts w:ascii="Arial" w:hAnsi="Arial"/>
              </w:rPr>
            </w:pPr>
            <w:r>
              <w:rPr>
                <w:rFonts w:ascii="Arial" w:hAnsi="Arial"/>
              </w:rPr>
              <w:t>Developing differentiated, affordable products and services for the defense and space end-market.</w:t>
            </w:r>
          </w:p>
        </w:tc>
      </w:tr>
    </w:tbl>
    <w:p>
      <w:pPr>
        <w:pStyle w:val="TextBody"/>
        <w:jc w:val="left"/>
        <w:rPr>
          <w:rFonts w:ascii="Arial" w:hAnsi="Arial"/>
          <w:b/>
        </w:rPr>
      </w:pPr>
      <w:r>
        <w:rPr>
          <w:rFonts w:ascii="Arial" w:hAnsi="Arial"/>
          <w:b/>
        </w:rPr>
        <w:t>Automation and Control Solutions (ACS)</w:t>
      </w:r>
    </w:p>
    <w:p>
      <w:pPr>
        <w:pStyle w:val="TextBody"/>
        <w:jc w:val="left"/>
        <w:rPr/>
      </w:pPr>
      <w:r>
        <w:rPr/>
        <w:t>      </w:t>
      </w:r>
      <w:r>
        <w:rPr>
          <w:rFonts w:ascii="Arial" w:hAnsi="Arial"/>
          <w:b/>
        </w:rPr>
        <w:t>Overview</w:t>
      </w:r>
    </w:p>
    <w:p>
      <w:pPr>
        <w:pStyle w:val="TextBody"/>
        <w:jc w:val="left"/>
        <w:rPr/>
      </w:pPr>
      <w:r>
        <w:rPr/>
        <w:t>      </w:t>
      </w:r>
      <w:r>
        <w:rPr>
          <w:rFonts w:ascii="Arial" w:hAnsi="Arial"/>
        </w:rPr>
        <w:t>ACS provides innovative solutions that make homes, buildings, industrial sites, airport facilities and infrastructure more efficient, safe and comfortable. Our ACS products and services include controls for heating, cooling, indoor air quality, ventilation, humidification and home automation; advanced software applications for home/building control and optimization; sensors, switches, control systems and instruments for measuring pressure, air flow, temperature and electrical current; security, fire and gas detection; access control; video surveillance; remote patient monitoring systems; installation, maintenance and upgrades of systems that keep buildings safe, comfortable and productive; and automation and control solutions for industrial plants, including advanced software and automation systems that integrate, control and monitor complex processes in many types of industrial settings.</w:t>
      </w:r>
    </w:p>
    <w:p>
      <w:pPr>
        <w:pStyle w:val="TextBody"/>
        <w:jc w:val="left"/>
        <w:rPr/>
      </w:pPr>
      <w:r>
        <w:rPr/>
        <w:t>      </w:t>
      </w:r>
      <w:r>
        <w:rPr>
          <w:rFonts w:ascii="Arial" w:hAnsi="Arial"/>
          <w:b/>
        </w:rPr>
        <w:t>Economic and Other Factors</w:t>
      </w:r>
    </w:p>
    <w:p>
      <w:pPr>
        <w:pStyle w:val="TextBody"/>
        <w:jc w:val="left"/>
        <w:rPr/>
      </w:pPr>
      <w:r>
        <w:rPr/>
        <w:t>      </w:t>
      </w:r>
      <w:r>
        <w:rPr>
          <w:rFonts w:ascii="Arial" w:hAnsi="Arial"/>
        </w:rPr>
        <w:t>ACS's operating results are principally driven by:</w:t>
      </w:r>
    </w:p>
    <w:tbl>
      <w:tblPr>
        <w:tblW w:w="5000" w:type="pct"/>
        <w:jc w:val="left"/>
        <w:tblInd w:w="0" w:type="dxa"/>
        <w:tblCellMar>
          <w:top w:w="0" w:type="dxa"/>
          <w:left w:w="0" w:type="dxa"/>
          <w:bottom w:w="0" w:type="dxa"/>
          <w:right w:w="0" w:type="dxa"/>
        </w:tblCellMar>
      </w:tblPr>
      <w:tblGrid>
        <w:gridCol w:w="408"/>
        <w:gridCol w:w="204"/>
        <w:gridCol w:w="9593"/>
      </w:tblGrid>
      <w:tr>
        <w:trPr/>
        <w:tc>
          <w:tcPr>
            <w:tcW w:w="408" w:type="dxa"/>
            <w:tcBorders/>
            <w:shd w:fill="FFFFFF" w:val="clear"/>
          </w:tcPr>
          <w:p>
            <w:pPr>
              <w:pStyle w:val="TableContents"/>
              <w:spacing w:before="0" w:after="283"/>
              <w:rPr>
                <w:sz w:val="4"/>
                <w:szCs w:val="4"/>
              </w:rPr>
            </w:pPr>
            <w:r>
              <w:rPr>
                <w:sz w:val="4"/>
                <w:szCs w:val="4"/>
              </w:rPr>
            </w:r>
          </w:p>
        </w:tc>
        <w:tc>
          <w:tcPr>
            <w:tcW w:w="204" w:type="dxa"/>
            <w:tcBorders/>
            <w:shd w:fill="FFFFFF" w:val="clear"/>
          </w:tcPr>
          <w:p>
            <w:pPr>
              <w:pStyle w:val="TableContents"/>
              <w:spacing w:before="0" w:after="283"/>
              <w:jc w:val="left"/>
              <w:rPr/>
            </w:pPr>
            <w:r>
              <w:rPr/>
              <w:t>•</w:t>
            </w:r>
          </w:p>
        </w:tc>
        <w:tc>
          <w:tcPr>
            <w:tcW w:w="9593" w:type="dxa"/>
            <w:tcBorders/>
            <w:shd w:fill="FFFFFF" w:val="clear"/>
          </w:tcPr>
          <w:p>
            <w:pPr>
              <w:pStyle w:val="TableContents"/>
              <w:spacing w:before="0" w:after="283"/>
              <w:jc w:val="left"/>
              <w:rPr>
                <w:rFonts w:ascii="Arial" w:hAnsi="Arial"/>
              </w:rPr>
            </w:pPr>
            <w:r>
              <w:rPr>
                <w:rFonts w:ascii="Arial" w:hAnsi="Arial"/>
              </w:rPr>
              <w:t>The growth of global commercial construction (including retrofits and upgrades);</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sz w:val="4"/>
                <w:szCs w:val="4"/>
              </w:rPr>
            </w:pPr>
            <w:r>
              <w:rPr>
                <w:sz w:val="4"/>
                <w:szCs w:val="4"/>
              </w:rPr>
            </w:r>
          </w:p>
        </w:tc>
        <w:tc>
          <w:tcPr>
            <w:tcW w:w="204" w:type="dxa"/>
            <w:tcBorders/>
            <w:shd w:fill="FFFFFF" w:val="clear"/>
          </w:tcPr>
          <w:p>
            <w:pPr>
              <w:pStyle w:val="TableContents"/>
              <w:spacing w:before="0" w:after="283"/>
              <w:jc w:val="left"/>
              <w:rPr/>
            </w:pPr>
            <w:r>
              <w:rPr/>
              <w:t>•</w:t>
            </w:r>
          </w:p>
        </w:tc>
        <w:tc>
          <w:tcPr>
            <w:tcW w:w="9593" w:type="dxa"/>
            <w:tcBorders/>
            <w:shd w:fill="FFFFFF" w:val="clear"/>
          </w:tcPr>
          <w:p>
            <w:pPr>
              <w:pStyle w:val="TableContents"/>
              <w:spacing w:before="0" w:after="283"/>
              <w:jc w:val="left"/>
              <w:rPr>
                <w:rFonts w:ascii="Arial" w:hAnsi="Arial"/>
              </w:rPr>
            </w:pPr>
            <w:r>
              <w:rPr>
                <w:rFonts w:ascii="Arial" w:hAnsi="Arial"/>
              </w:rPr>
              <w:t>Demand for residential retrofits and upgrades;</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sz w:val="4"/>
                <w:szCs w:val="4"/>
              </w:rPr>
            </w:pPr>
            <w:r>
              <w:rPr>
                <w:sz w:val="4"/>
                <w:szCs w:val="4"/>
              </w:rPr>
            </w:r>
          </w:p>
        </w:tc>
        <w:tc>
          <w:tcPr>
            <w:tcW w:w="204" w:type="dxa"/>
            <w:tcBorders/>
            <w:shd w:fill="FFFFFF" w:val="clear"/>
          </w:tcPr>
          <w:p>
            <w:pPr>
              <w:pStyle w:val="TableContents"/>
              <w:spacing w:before="0" w:after="283"/>
              <w:jc w:val="left"/>
              <w:rPr/>
            </w:pPr>
            <w:r>
              <w:rPr/>
              <w:t>•</w:t>
            </w:r>
          </w:p>
        </w:tc>
        <w:tc>
          <w:tcPr>
            <w:tcW w:w="9593" w:type="dxa"/>
            <w:tcBorders/>
            <w:shd w:fill="FFFFFF" w:val="clear"/>
          </w:tcPr>
          <w:p>
            <w:pPr>
              <w:pStyle w:val="TableContents"/>
              <w:spacing w:before="0" w:after="283"/>
              <w:jc w:val="left"/>
              <w:rPr>
                <w:rFonts w:ascii="Arial" w:hAnsi="Arial"/>
              </w:rPr>
            </w:pPr>
            <w:r>
              <w:rPr>
                <w:rFonts w:ascii="Arial" w:hAnsi="Arial"/>
              </w:rPr>
              <w:t>Industrial production;</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sz w:val="4"/>
                <w:szCs w:val="4"/>
              </w:rPr>
            </w:pPr>
            <w:r>
              <w:rPr>
                <w:sz w:val="4"/>
                <w:szCs w:val="4"/>
              </w:rPr>
            </w:r>
          </w:p>
        </w:tc>
        <w:tc>
          <w:tcPr>
            <w:tcW w:w="204" w:type="dxa"/>
            <w:tcBorders/>
            <w:shd w:fill="FFFFFF" w:val="clear"/>
          </w:tcPr>
          <w:p>
            <w:pPr>
              <w:pStyle w:val="TableContents"/>
              <w:spacing w:before="0" w:after="283"/>
              <w:jc w:val="left"/>
              <w:rPr/>
            </w:pPr>
            <w:r>
              <w:rPr/>
              <w:t>•</w:t>
            </w:r>
          </w:p>
        </w:tc>
        <w:tc>
          <w:tcPr>
            <w:tcW w:w="9593" w:type="dxa"/>
            <w:tcBorders/>
            <w:shd w:fill="FFFFFF" w:val="clear"/>
          </w:tcPr>
          <w:p>
            <w:pPr>
              <w:pStyle w:val="TableContents"/>
              <w:spacing w:before="0" w:after="283"/>
              <w:jc w:val="left"/>
              <w:rPr>
                <w:rFonts w:ascii="Arial" w:hAnsi="Arial"/>
              </w:rPr>
            </w:pPr>
            <w:r>
              <w:rPr>
                <w:rFonts w:ascii="Arial" w:hAnsi="Arial"/>
              </w:rPr>
              <w:t>U.S. and European economic conditions;</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sz w:val="4"/>
                <w:szCs w:val="4"/>
              </w:rPr>
            </w:pPr>
            <w:r>
              <w:rPr>
                <w:sz w:val="4"/>
                <w:szCs w:val="4"/>
              </w:rPr>
            </w:r>
          </w:p>
        </w:tc>
        <w:tc>
          <w:tcPr>
            <w:tcW w:w="204" w:type="dxa"/>
            <w:tcBorders/>
            <w:shd w:fill="FFFFFF" w:val="clear"/>
          </w:tcPr>
          <w:p>
            <w:pPr>
              <w:pStyle w:val="TableContents"/>
              <w:spacing w:before="0" w:after="283"/>
              <w:jc w:val="left"/>
              <w:rPr/>
            </w:pPr>
            <w:r>
              <w:rPr/>
              <w:t>•</w:t>
            </w:r>
          </w:p>
        </w:tc>
        <w:tc>
          <w:tcPr>
            <w:tcW w:w="9593" w:type="dxa"/>
            <w:tcBorders/>
            <w:shd w:fill="FFFFFF" w:val="clear"/>
          </w:tcPr>
          <w:p>
            <w:pPr>
              <w:pStyle w:val="TableContents"/>
              <w:spacing w:before="0" w:after="283"/>
              <w:jc w:val="left"/>
              <w:rPr>
                <w:rFonts w:ascii="Arial" w:hAnsi="Arial"/>
              </w:rPr>
            </w:pPr>
            <w:r>
              <w:rPr>
                <w:rFonts w:ascii="Arial" w:hAnsi="Arial"/>
              </w:rPr>
              <w:t>The strength of capital spending on process and building automation; and</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sz w:val="4"/>
                <w:szCs w:val="4"/>
              </w:rPr>
            </w:pPr>
            <w:r>
              <w:rPr>
                <w:sz w:val="4"/>
                <w:szCs w:val="4"/>
              </w:rPr>
            </w:r>
          </w:p>
        </w:tc>
        <w:tc>
          <w:tcPr>
            <w:tcW w:w="204" w:type="dxa"/>
            <w:tcBorders/>
            <w:shd w:fill="FFFFFF" w:val="clear"/>
          </w:tcPr>
          <w:p>
            <w:pPr>
              <w:pStyle w:val="TableContents"/>
              <w:spacing w:before="0" w:after="283"/>
              <w:jc w:val="left"/>
              <w:rPr/>
            </w:pPr>
            <w:r>
              <w:rPr/>
              <w:t>•</w:t>
            </w:r>
          </w:p>
        </w:tc>
        <w:tc>
          <w:tcPr>
            <w:tcW w:w="9593" w:type="dxa"/>
            <w:tcBorders/>
            <w:shd w:fill="FFFFFF" w:val="clear"/>
          </w:tcPr>
          <w:p>
            <w:pPr>
              <w:pStyle w:val="TableContents"/>
              <w:spacing w:before="0" w:after="283"/>
              <w:jc w:val="left"/>
              <w:rPr>
                <w:rFonts w:ascii="Arial" w:hAnsi="Arial"/>
              </w:rPr>
            </w:pPr>
            <w:r>
              <w:rPr>
                <w:rFonts w:ascii="Arial" w:hAnsi="Arial"/>
              </w:rPr>
              <w:t>Changes to fire, security, health care and safety concerns and regulations.</w:t>
            </w:r>
          </w:p>
        </w:tc>
      </w:tr>
    </w:tbl>
    <w:p>
      <w:pPr>
        <w:pStyle w:val="TextBody"/>
        <w:jc w:val="center"/>
        <w:rPr>
          <w:rFonts w:ascii="Arial" w:hAnsi="Arial"/>
        </w:rPr>
      </w:pPr>
      <w:r>
        <w:rPr>
          <w:rFonts w:ascii="Arial" w:hAnsi="Arial"/>
        </w:rPr>
        <w:t>26</w:t>
      </w:r>
    </w:p>
    <w:p>
      <w:pPr>
        <w:pStyle w:val="HorizontalLine"/>
        <w:pBdr>
          <w:bottom w:val="single" w:sz="20" w:space="0" w:color="000000"/>
        </w:pBdr>
        <w:rPr/>
      </w:pPr>
      <w:r>
        <w:rPr/>
      </w:r>
      <w:r>
        <w:br w:type="page"/>
      </w:r>
    </w:p>
    <w:p>
      <w:pPr>
        <w:pStyle w:val="TextBody"/>
        <w:jc w:val="left"/>
        <w:rPr/>
      </w:pPr>
      <w:r>
        <w:rPr/>
        <w:t>      </w:t>
      </w:r>
      <w:r>
        <w:rPr>
          <w:rFonts w:ascii="Arial" w:hAnsi="Arial"/>
          <w:b/>
        </w:rPr>
        <w:t>Results of Operations</w:t>
      </w:r>
    </w:p>
    <w:tbl>
      <w:tblPr>
        <w:tblW w:w="5000" w:type="pct"/>
        <w:jc w:val="left"/>
        <w:tblInd w:w="0" w:type="dxa"/>
        <w:tblCellMar>
          <w:top w:w="0" w:type="dxa"/>
          <w:left w:w="0" w:type="dxa"/>
          <w:bottom w:w="0" w:type="dxa"/>
          <w:right w:w="0" w:type="dxa"/>
        </w:tblCellMar>
      </w:tblPr>
      <w:tblGrid>
        <w:gridCol w:w="5150"/>
        <w:gridCol w:w="328"/>
        <w:gridCol w:w="212"/>
        <w:gridCol w:w="1031"/>
        <w:gridCol w:w="314"/>
        <w:gridCol w:w="328"/>
        <w:gridCol w:w="212"/>
        <w:gridCol w:w="847"/>
        <w:gridCol w:w="314"/>
        <w:gridCol w:w="328"/>
        <w:gridCol w:w="212"/>
        <w:gridCol w:w="847"/>
        <w:gridCol w:w="82"/>
      </w:tblGrid>
      <w:tr>
        <w:trPr/>
        <w:tc>
          <w:tcPr>
            <w:tcW w:w="5150" w:type="dxa"/>
            <w:tcBorders/>
            <w:shd w:fill="FFFFFF" w:val="clear"/>
            <w:vAlign w:val="center"/>
          </w:tcPr>
          <w:p>
            <w:pPr>
              <w:pStyle w:val="TableContents"/>
              <w:spacing w:before="0" w:after="283"/>
              <w:rPr/>
            </w:pPr>
            <w:r>
              <w:rPr/>
              <w:t> </w:t>
            </w:r>
          </w:p>
        </w:tc>
        <w:tc>
          <w:tcPr>
            <w:tcW w:w="328" w:type="dxa"/>
            <w:tcBorders/>
            <w:shd w:fill="FFFFFF" w:val="clear"/>
            <w:vAlign w:val="center"/>
          </w:tcPr>
          <w:p>
            <w:pPr>
              <w:pStyle w:val="TableContents"/>
              <w:spacing w:before="0" w:after="283"/>
              <w:rPr/>
            </w:pPr>
            <w:r>
              <w:rPr/>
              <w:t> </w:t>
            </w:r>
          </w:p>
        </w:tc>
        <w:tc>
          <w:tcPr>
            <w:tcW w:w="1557"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28" w:type="dxa"/>
            <w:tcBorders/>
            <w:shd w:fill="FFFFFF" w:val="clear"/>
            <w:vAlign w:val="center"/>
          </w:tcPr>
          <w:p>
            <w:pPr>
              <w:pStyle w:val="TableContents"/>
              <w:spacing w:before="0" w:after="283"/>
              <w:rPr/>
            </w:pPr>
            <w:r>
              <w:rPr/>
              <w:t> </w:t>
            </w:r>
          </w:p>
        </w:tc>
        <w:tc>
          <w:tcPr>
            <w:tcW w:w="137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28" w:type="dxa"/>
            <w:tcBorders/>
            <w:shd w:fill="FFFFFF" w:val="clear"/>
            <w:vAlign w:val="center"/>
          </w:tcPr>
          <w:p>
            <w:pPr>
              <w:pStyle w:val="TableContents"/>
              <w:spacing w:before="0" w:after="283"/>
              <w:rPr/>
            </w:pPr>
            <w:r>
              <w:rPr/>
              <w:t> </w:t>
            </w:r>
          </w:p>
        </w:tc>
        <w:tc>
          <w:tcPr>
            <w:tcW w:w="114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150" w:type="dxa"/>
            <w:tcBorders/>
            <w:shd w:fill="FFFFFF" w:val="clear"/>
            <w:vAlign w:val="center"/>
          </w:tcPr>
          <w:p>
            <w:pPr>
              <w:pStyle w:val="TableContents"/>
              <w:spacing w:before="0" w:after="283"/>
              <w:rPr/>
            </w:pPr>
            <w:r>
              <w:rPr/>
              <w:t> </w:t>
            </w:r>
          </w:p>
        </w:tc>
        <w:tc>
          <w:tcPr>
            <w:tcW w:w="328" w:type="dxa"/>
            <w:tcBorders/>
            <w:shd w:fill="FFFFFF" w:val="clear"/>
            <w:vAlign w:val="center"/>
          </w:tcPr>
          <w:p>
            <w:pPr>
              <w:pStyle w:val="TableContents"/>
              <w:spacing w:before="0" w:after="283"/>
              <w:rPr/>
            </w:pPr>
            <w:r>
              <w:rPr/>
              <w:t> </w:t>
            </w:r>
          </w:p>
        </w:tc>
        <w:tc>
          <w:tcPr>
            <w:tcW w:w="4727"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5150" w:type="dxa"/>
            <w:tcBorders/>
            <w:shd w:fill="E5FFFF" w:val="clear"/>
            <w:vAlign w:val="bottom"/>
          </w:tcPr>
          <w:p>
            <w:pPr>
              <w:pStyle w:val="TableContents"/>
              <w:spacing w:before="0" w:after="283"/>
              <w:jc w:val="left"/>
              <w:rPr>
                <w:rFonts w:ascii="Arial" w:hAnsi="Arial"/>
              </w:rPr>
            </w:pPr>
            <w:r>
              <w:rPr>
                <w:rFonts w:ascii="Arial" w:hAnsi="Arial"/>
              </w:rPr>
              <w:t>Net sales</w:t>
            </w:r>
          </w:p>
        </w:tc>
        <w:tc>
          <w:tcPr>
            <w:tcW w:w="328" w:type="dxa"/>
            <w:tcBorders/>
            <w:shd w:fill="E5FFFF" w:val="clear"/>
            <w:vAlign w:val="bottom"/>
          </w:tcPr>
          <w:p>
            <w:pPr>
              <w:pStyle w:val="TableContents"/>
              <w:spacing w:before="0" w:after="283"/>
              <w:jc w:val="right"/>
              <w:rPr/>
            </w:pPr>
            <w:r>
              <w:rPr/>
              <w:t>    </w:t>
            </w:r>
          </w:p>
        </w:tc>
        <w:tc>
          <w:tcPr>
            <w:tcW w:w="212" w:type="dxa"/>
            <w:tcBorders/>
            <w:shd w:fill="E5FFFF" w:val="clear"/>
            <w:vAlign w:val="bottom"/>
          </w:tcPr>
          <w:p>
            <w:pPr>
              <w:pStyle w:val="TableContents"/>
              <w:spacing w:before="0" w:after="283"/>
              <w:jc w:val="right"/>
              <w:rPr>
                <w:rFonts w:ascii="Arial" w:hAnsi="Arial"/>
              </w:rPr>
            </w:pPr>
            <w:r>
              <w:rPr>
                <w:rFonts w:ascii="Arial" w:hAnsi="Arial"/>
              </w:rPr>
              <w:t>$</w:t>
            </w:r>
          </w:p>
        </w:tc>
        <w:tc>
          <w:tcPr>
            <w:tcW w:w="1031" w:type="dxa"/>
            <w:tcBorders/>
            <w:shd w:fill="E5FFFF" w:val="clear"/>
            <w:vAlign w:val="bottom"/>
          </w:tcPr>
          <w:p>
            <w:pPr>
              <w:pStyle w:val="TableContents"/>
              <w:spacing w:before="0" w:after="283"/>
              <w:jc w:val="right"/>
              <w:rPr>
                <w:rFonts w:ascii="Arial" w:hAnsi="Arial"/>
              </w:rPr>
            </w:pPr>
            <w:r>
              <w:rPr>
                <w:rFonts w:ascii="Arial" w:hAnsi="Arial"/>
              </w:rPr>
              <w:t>11,020</w:t>
            </w:r>
          </w:p>
        </w:tc>
        <w:tc>
          <w:tcPr>
            <w:tcW w:w="314" w:type="dxa"/>
            <w:tcBorders/>
            <w:shd w:fill="E5FFFF" w:val="clear"/>
            <w:vAlign w:val="center"/>
          </w:tcPr>
          <w:p>
            <w:pPr>
              <w:pStyle w:val="TableContents"/>
              <w:spacing w:before="0" w:after="283"/>
              <w:rPr/>
            </w:pPr>
            <w:r>
              <w:rPr/>
              <w:t> </w:t>
            </w:r>
          </w:p>
        </w:tc>
        <w:tc>
          <w:tcPr>
            <w:tcW w:w="328" w:type="dxa"/>
            <w:tcBorders/>
            <w:shd w:fill="E5FFFF" w:val="clear"/>
            <w:vAlign w:val="bottom"/>
          </w:tcPr>
          <w:p>
            <w:pPr>
              <w:pStyle w:val="TableContents"/>
              <w:spacing w:before="0" w:after="283"/>
              <w:jc w:val="right"/>
              <w:rPr/>
            </w:pPr>
            <w:r>
              <w:rPr/>
              <w:t>    </w:t>
            </w:r>
          </w:p>
        </w:tc>
        <w:tc>
          <w:tcPr>
            <w:tcW w:w="212" w:type="dxa"/>
            <w:tcBorders/>
            <w:shd w:fill="E5FFFF" w:val="clear"/>
            <w:vAlign w:val="bottom"/>
          </w:tcPr>
          <w:p>
            <w:pPr>
              <w:pStyle w:val="TableContents"/>
              <w:spacing w:before="0" w:after="283"/>
              <w:jc w:val="right"/>
              <w:rPr>
                <w:rFonts w:ascii="Arial" w:hAnsi="Arial"/>
              </w:rPr>
            </w:pPr>
            <w:r>
              <w:rPr>
                <w:rFonts w:ascii="Arial" w:hAnsi="Arial"/>
              </w:rPr>
              <w:t>$</w:t>
            </w:r>
          </w:p>
        </w:tc>
        <w:tc>
          <w:tcPr>
            <w:tcW w:w="847" w:type="dxa"/>
            <w:tcBorders/>
            <w:shd w:fill="E5FFFF" w:val="clear"/>
            <w:vAlign w:val="bottom"/>
          </w:tcPr>
          <w:p>
            <w:pPr>
              <w:pStyle w:val="TableContents"/>
              <w:spacing w:before="0" w:after="283"/>
              <w:jc w:val="right"/>
              <w:rPr>
                <w:rFonts w:ascii="Arial" w:hAnsi="Arial"/>
              </w:rPr>
            </w:pPr>
            <w:r>
              <w:rPr>
                <w:rFonts w:ascii="Arial" w:hAnsi="Arial"/>
              </w:rPr>
              <w:t>9,416</w:t>
            </w:r>
          </w:p>
        </w:tc>
        <w:tc>
          <w:tcPr>
            <w:tcW w:w="314" w:type="dxa"/>
            <w:tcBorders/>
            <w:shd w:fill="E5FFFF" w:val="clear"/>
            <w:vAlign w:val="center"/>
          </w:tcPr>
          <w:p>
            <w:pPr>
              <w:pStyle w:val="TableContents"/>
              <w:spacing w:before="0" w:after="283"/>
              <w:rPr/>
            </w:pPr>
            <w:r>
              <w:rPr/>
              <w:t> </w:t>
            </w:r>
          </w:p>
        </w:tc>
        <w:tc>
          <w:tcPr>
            <w:tcW w:w="328" w:type="dxa"/>
            <w:tcBorders/>
            <w:shd w:fill="E5FFFF" w:val="clear"/>
            <w:vAlign w:val="bottom"/>
          </w:tcPr>
          <w:p>
            <w:pPr>
              <w:pStyle w:val="TableContents"/>
              <w:spacing w:before="0" w:after="283"/>
              <w:jc w:val="right"/>
              <w:rPr/>
            </w:pPr>
            <w:r>
              <w:rPr/>
              <w:t>    </w:t>
            </w:r>
          </w:p>
        </w:tc>
        <w:tc>
          <w:tcPr>
            <w:tcW w:w="212" w:type="dxa"/>
            <w:tcBorders/>
            <w:shd w:fill="E5FFFF" w:val="clear"/>
            <w:vAlign w:val="bottom"/>
          </w:tcPr>
          <w:p>
            <w:pPr>
              <w:pStyle w:val="TableContents"/>
              <w:spacing w:before="0" w:after="283"/>
              <w:jc w:val="right"/>
              <w:rPr>
                <w:rFonts w:ascii="Arial" w:hAnsi="Arial"/>
              </w:rPr>
            </w:pPr>
            <w:r>
              <w:rPr>
                <w:rFonts w:ascii="Arial" w:hAnsi="Arial"/>
              </w:rPr>
              <w:t>$</w:t>
            </w:r>
          </w:p>
        </w:tc>
        <w:tc>
          <w:tcPr>
            <w:tcW w:w="847" w:type="dxa"/>
            <w:tcBorders/>
            <w:shd w:fill="E5FFFF" w:val="clear"/>
            <w:vAlign w:val="bottom"/>
          </w:tcPr>
          <w:p>
            <w:pPr>
              <w:pStyle w:val="TableContents"/>
              <w:spacing w:before="0" w:after="283"/>
              <w:jc w:val="right"/>
              <w:rPr>
                <w:rFonts w:ascii="Arial" w:hAnsi="Arial"/>
              </w:rPr>
            </w:pPr>
            <w:r>
              <w:rPr>
                <w:rFonts w:ascii="Arial" w:hAnsi="Arial"/>
              </w:rPr>
              <w:t>8,031</w:t>
            </w:r>
          </w:p>
        </w:tc>
        <w:tc>
          <w:tcPr>
            <w:tcW w:w="82" w:type="dxa"/>
            <w:tcBorders/>
            <w:shd w:fill="E5FFFF" w:val="clear"/>
            <w:vAlign w:val="center"/>
          </w:tcPr>
          <w:p>
            <w:pPr>
              <w:pStyle w:val="TableContents"/>
              <w:spacing w:before="0" w:after="283"/>
              <w:rPr/>
            </w:pPr>
            <w:r>
              <w:rPr/>
              <w:t> </w:t>
            </w:r>
          </w:p>
        </w:tc>
      </w:tr>
      <w:tr>
        <w:trPr/>
        <w:tc>
          <w:tcPr>
            <w:tcW w:w="5150"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328"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1031" w:type="dxa"/>
            <w:tcBorders/>
            <w:shd w:fill="FFFFFF" w:val="clear"/>
            <w:vAlign w:val="bottom"/>
          </w:tcPr>
          <w:p>
            <w:pPr>
              <w:pStyle w:val="TableContents"/>
              <w:spacing w:before="0" w:after="283"/>
              <w:jc w:val="right"/>
              <w:rPr>
                <w:rFonts w:ascii="Arial" w:hAnsi="Arial"/>
              </w:rPr>
            </w:pPr>
            <w:r>
              <w:rPr>
                <w:rFonts w:ascii="Arial" w:hAnsi="Arial"/>
              </w:rPr>
              <w:t>17</w:t>
            </w:r>
          </w:p>
        </w:tc>
        <w:tc>
          <w:tcPr>
            <w:tcW w:w="314" w:type="dxa"/>
            <w:tcBorders/>
            <w:shd w:fill="FFFFFF" w:val="clear"/>
            <w:vAlign w:val="bottom"/>
          </w:tcPr>
          <w:p>
            <w:pPr>
              <w:pStyle w:val="TableContents"/>
              <w:spacing w:before="0" w:after="283"/>
              <w:jc w:val="left"/>
              <w:rPr>
                <w:rFonts w:ascii="Arial" w:hAnsi="Arial"/>
              </w:rPr>
            </w:pPr>
            <w:r>
              <w:rPr>
                <w:rFonts w:ascii="Arial" w:hAnsi="Arial"/>
              </w:rPr>
              <w:t>%</w:t>
            </w:r>
          </w:p>
        </w:tc>
        <w:tc>
          <w:tcPr>
            <w:tcW w:w="328"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847" w:type="dxa"/>
            <w:tcBorders/>
            <w:shd w:fill="FFFFFF" w:val="clear"/>
            <w:vAlign w:val="bottom"/>
          </w:tcPr>
          <w:p>
            <w:pPr>
              <w:pStyle w:val="TableContents"/>
              <w:spacing w:before="0" w:after="283"/>
              <w:jc w:val="right"/>
              <w:rPr>
                <w:rFonts w:ascii="Arial" w:hAnsi="Arial"/>
              </w:rPr>
            </w:pPr>
            <w:r>
              <w:rPr>
                <w:rFonts w:ascii="Arial" w:hAnsi="Arial"/>
              </w:rPr>
              <w:t>17</w:t>
            </w:r>
          </w:p>
        </w:tc>
        <w:tc>
          <w:tcPr>
            <w:tcW w:w="314" w:type="dxa"/>
            <w:tcBorders/>
            <w:shd w:fill="FFFFFF" w:val="clear"/>
            <w:vAlign w:val="bottom"/>
          </w:tcPr>
          <w:p>
            <w:pPr>
              <w:pStyle w:val="TableContents"/>
              <w:spacing w:before="0" w:after="283"/>
              <w:jc w:val="left"/>
              <w:rPr>
                <w:rFonts w:ascii="Arial" w:hAnsi="Arial"/>
              </w:rPr>
            </w:pPr>
            <w:r>
              <w:rPr>
                <w:rFonts w:ascii="Arial" w:hAnsi="Arial"/>
              </w:rPr>
              <w:t>%</w:t>
            </w:r>
          </w:p>
        </w:tc>
        <w:tc>
          <w:tcPr>
            <w:tcW w:w="328"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847"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5150" w:type="dxa"/>
            <w:tcBorders/>
            <w:shd w:fill="E5FFFF" w:val="clear"/>
            <w:vAlign w:val="bottom"/>
          </w:tcPr>
          <w:p>
            <w:pPr>
              <w:pStyle w:val="TableContents"/>
              <w:spacing w:before="0" w:after="283"/>
              <w:jc w:val="left"/>
              <w:rPr>
                <w:rFonts w:ascii="Arial" w:hAnsi="Arial"/>
              </w:rPr>
            </w:pPr>
            <w:r>
              <w:rPr>
                <w:rFonts w:ascii="Arial" w:hAnsi="Arial"/>
              </w:rPr>
              <w:t>Segment profit</w:t>
            </w:r>
          </w:p>
        </w:tc>
        <w:tc>
          <w:tcPr>
            <w:tcW w:w="328" w:type="dxa"/>
            <w:tcBorders/>
            <w:shd w:fill="E5FFFF" w:val="clear"/>
            <w:vAlign w:val="bottom"/>
          </w:tcPr>
          <w:p>
            <w:pPr>
              <w:pStyle w:val="TableContents"/>
              <w:spacing w:before="0" w:after="283"/>
              <w:jc w:val="right"/>
              <w:rPr/>
            </w:pPr>
            <w:r>
              <w:rPr/>
              <w:t>    </w:t>
            </w:r>
          </w:p>
        </w:tc>
        <w:tc>
          <w:tcPr>
            <w:tcW w:w="212" w:type="dxa"/>
            <w:tcBorders/>
            <w:shd w:fill="E5FFFF" w:val="clear"/>
            <w:vAlign w:val="bottom"/>
          </w:tcPr>
          <w:p>
            <w:pPr>
              <w:pStyle w:val="TableContents"/>
              <w:spacing w:before="0" w:after="283"/>
              <w:jc w:val="right"/>
              <w:rPr>
                <w:rFonts w:ascii="Arial" w:hAnsi="Arial"/>
              </w:rPr>
            </w:pPr>
            <w:r>
              <w:rPr>
                <w:rFonts w:ascii="Arial" w:hAnsi="Arial"/>
              </w:rPr>
              <w:t>$</w:t>
            </w:r>
          </w:p>
        </w:tc>
        <w:tc>
          <w:tcPr>
            <w:tcW w:w="1031" w:type="dxa"/>
            <w:tcBorders/>
            <w:shd w:fill="E5FFFF" w:val="clear"/>
            <w:vAlign w:val="bottom"/>
          </w:tcPr>
          <w:p>
            <w:pPr>
              <w:pStyle w:val="TableContents"/>
              <w:spacing w:before="0" w:after="283"/>
              <w:jc w:val="right"/>
              <w:rPr>
                <w:rFonts w:ascii="Arial" w:hAnsi="Arial"/>
              </w:rPr>
            </w:pPr>
            <w:r>
              <w:rPr>
                <w:rFonts w:ascii="Arial" w:hAnsi="Arial"/>
              </w:rPr>
              <w:t>1,223</w:t>
            </w:r>
          </w:p>
        </w:tc>
        <w:tc>
          <w:tcPr>
            <w:tcW w:w="314" w:type="dxa"/>
            <w:tcBorders/>
            <w:shd w:fill="E5FFFF" w:val="clear"/>
            <w:vAlign w:val="center"/>
          </w:tcPr>
          <w:p>
            <w:pPr>
              <w:pStyle w:val="TableContents"/>
              <w:spacing w:before="0" w:after="283"/>
              <w:rPr/>
            </w:pPr>
            <w:r>
              <w:rPr/>
              <w:t> </w:t>
            </w:r>
          </w:p>
        </w:tc>
        <w:tc>
          <w:tcPr>
            <w:tcW w:w="328" w:type="dxa"/>
            <w:tcBorders/>
            <w:shd w:fill="E5FFFF" w:val="clear"/>
            <w:vAlign w:val="bottom"/>
          </w:tcPr>
          <w:p>
            <w:pPr>
              <w:pStyle w:val="TableContents"/>
              <w:spacing w:before="0" w:after="283"/>
              <w:jc w:val="right"/>
              <w:rPr/>
            </w:pPr>
            <w:r>
              <w:rPr/>
              <w:t>    </w:t>
            </w:r>
          </w:p>
        </w:tc>
        <w:tc>
          <w:tcPr>
            <w:tcW w:w="212" w:type="dxa"/>
            <w:tcBorders/>
            <w:shd w:fill="E5FFFF" w:val="clear"/>
            <w:vAlign w:val="bottom"/>
          </w:tcPr>
          <w:p>
            <w:pPr>
              <w:pStyle w:val="TableContents"/>
              <w:spacing w:before="0" w:after="283"/>
              <w:jc w:val="right"/>
              <w:rPr>
                <w:rFonts w:ascii="Arial" w:hAnsi="Arial"/>
              </w:rPr>
            </w:pPr>
            <w:r>
              <w:rPr>
                <w:rFonts w:ascii="Arial" w:hAnsi="Arial"/>
              </w:rPr>
              <w:t>$</w:t>
            </w:r>
          </w:p>
        </w:tc>
        <w:tc>
          <w:tcPr>
            <w:tcW w:w="847" w:type="dxa"/>
            <w:tcBorders/>
            <w:shd w:fill="E5FFFF" w:val="clear"/>
            <w:vAlign w:val="bottom"/>
          </w:tcPr>
          <w:p>
            <w:pPr>
              <w:pStyle w:val="TableContents"/>
              <w:spacing w:before="0" w:after="283"/>
              <w:jc w:val="right"/>
              <w:rPr>
                <w:rFonts w:ascii="Arial" w:hAnsi="Arial"/>
              </w:rPr>
            </w:pPr>
            <w:r>
              <w:rPr>
                <w:rFonts w:ascii="Arial" w:hAnsi="Arial"/>
              </w:rPr>
              <w:t>1,065</w:t>
            </w:r>
          </w:p>
        </w:tc>
        <w:tc>
          <w:tcPr>
            <w:tcW w:w="314" w:type="dxa"/>
            <w:tcBorders/>
            <w:shd w:fill="E5FFFF" w:val="clear"/>
            <w:vAlign w:val="center"/>
          </w:tcPr>
          <w:p>
            <w:pPr>
              <w:pStyle w:val="TableContents"/>
              <w:spacing w:before="0" w:after="283"/>
              <w:rPr/>
            </w:pPr>
            <w:r>
              <w:rPr/>
              <w:t> </w:t>
            </w:r>
          </w:p>
        </w:tc>
        <w:tc>
          <w:tcPr>
            <w:tcW w:w="328" w:type="dxa"/>
            <w:tcBorders/>
            <w:shd w:fill="E5FFFF" w:val="clear"/>
            <w:vAlign w:val="bottom"/>
          </w:tcPr>
          <w:p>
            <w:pPr>
              <w:pStyle w:val="TableContents"/>
              <w:spacing w:before="0" w:after="283"/>
              <w:jc w:val="right"/>
              <w:rPr/>
            </w:pPr>
            <w:r>
              <w:rPr/>
              <w:t>    </w:t>
            </w:r>
          </w:p>
        </w:tc>
        <w:tc>
          <w:tcPr>
            <w:tcW w:w="212" w:type="dxa"/>
            <w:tcBorders/>
            <w:shd w:fill="E5FFFF" w:val="clear"/>
            <w:vAlign w:val="bottom"/>
          </w:tcPr>
          <w:p>
            <w:pPr>
              <w:pStyle w:val="TableContents"/>
              <w:spacing w:before="0" w:after="283"/>
              <w:jc w:val="right"/>
              <w:rPr>
                <w:rFonts w:ascii="Arial" w:hAnsi="Arial"/>
              </w:rPr>
            </w:pPr>
            <w:r>
              <w:rPr>
                <w:rFonts w:ascii="Arial" w:hAnsi="Arial"/>
              </w:rPr>
              <w:t>$</w:t>
            </w:r>
          </w:p>
        </w:tc>
        <w:tc>
          <w:tcPr>
            <w:tcW w:w="847" w:type="dxa"/>
            <w:tcBorders/>
            <w:shd w:fill="E5FFFF" w:val="clear"/>
            <w:vAlign w:val="bottom"/>
          </w:tcPr>
          <w:p>
            <w:pPr>
              <w:pStyle w:val="TableContents"/>
              <w:spacing w:before="0" w:after="283"/>
              <w:jc w:val="right"/>
              <w:rPr>
                <w:rFonts w:ascii="Arial" w:hAnsi="Arial"/>
              </w:rPr>
            </w:pPr>
            <w:r>
              <w:rPr>
                <w:rFonts w:ascii="Arial" w:hAnsi="Arial"/>
              </w:rPr>
              <w:t>894</w:t>
            </w:r>
          </w:p>
        </w:tc>
        <w:tc>
          <w:tcPr>
            <w:tcW w:w="82" w:type="dxa"/>
            <w:tcBorders/>
            <w:shd w:fill="E5FFFF" w:val="clear"/>
            <w:vAlign w:val="center"/>
          </w:tcPr>
          <w:p>
            <w:pPr>
              <w:pStyle w:val="TableContents"/>
              <w:spacing w:before="0" w:after="283"/>
              <w:rPr/>
            </w:pPr>
            <w:r>
              <w:rPr/>
              <w:t> </w:t>
            </w:r>
          </w:p>
        </w:tc>
      </w:tr>
      <w:tr>
        <w:trPr/>
        <w:tc>
          <w:tcPr>
            <w:tcW w:w="5150"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328"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1031" w:type="dxa"/>
            <w:tcBorders/>
            <w:shd w:fill="FFFFFF" w:val="clear"/>
            <w:vAlign w:val="bottom"/>
          </w:tcPr>
          <w:p>
            <w:pPr>
              <w:pStyle w:val="TableContents"/>
              <w:spacing w:before="0" w:after="283"/>
              <w:jc w:val="right"/>
              <w:rPr>
                <w:rFonts w:ascii="Arial" w:hAnsi="Arial"/>
              </w:rPr>
            </w:pPr>
            <w:r>
              <w:rPr>
                <w:rFonts w:ascii="Arial" w:hAnsi="Arial"/>
              </w:rPr>
              <w:t>15</w:t>
            </w:r>
          </w:p>
        </w:tc>
        <w:tc>
          <w:tcPr>
            <w:tcW w:w="314" w:type="dxa"/>
            <w:tcBorders/>
            <w:shd w:fill="FFFFFF" w:val="clear"/>
            <w:vAlign w:val="bottom"/>
          </w:tcPr>
          <w:p>
            <w:pPr>
              <w:pStyle w:val="TableContents"/>
              <w:spacing w:before="0" w:after="283"/>
              <w:jc w:val="left"/>
              <w:rPr>
                <w:rFonts w:ascii="Arial" w:hAnsi="Arial"/>
              </w:rPr>
            </w:pPr>
            <w:r>
              <w:rPr>
                <w:rFonts w:ascii="Arial" w:hAnsi="Arial"/>
              </w:rPr>
              <w:t>%</w:t>
            </w:r>
          </w:p>
        </w:tc>
        <w:tc>
          <w:tcPr>
            <w:tcW w:w="328"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847" w:type="dxa"/>
            <w:tcBorders/>
            <w:shd w:fill="FFFFFF" w:val="clear"/>
            <w:vAlign w:val="bottom"/>
          </w:tcPr>
          <w:p>
            <w:pPr>
              <w:pStyle w:val="TableContents"/>
              <w:spacing w:before="0" w:after="283"/>
              <w:jc w:val="right"/>
              <w:rPr>
                <w:rFonts w:ascii="Arial" w:hAnsi="Arial"/>
              </w:rPr>
            </w:pPr>
            <w:r>
              <w:rPr>
                <w:rFonts w:ascii="Arial" w:hAnsi="Arial"/>
              </w:rPr>
              <w:t>19</w:t>
            </w:r>
          </w:p>
        </w:tc>
        <w:tc>
          <w:tcPr>
            <w:tcW w:w="314" w:type="dxa"/>
            <w:tcBorders/>
            <w:shd w:fill="FFFFFF" w:val="clear"/>
            <w:vAlign w:val="bottom"/>
          </w:tcPr>
          <w:p>
            <w:pPr>
              <w:pStyle w:val="TableContents"/>
              <w:spacing w:before="0" w:after="283"/>
              <w:jc w:val="left"/>
              <w:rPr>
                <w:rFonts w:ascii="Arial" w:hAnsi="Arial"/>
              </w:rPr>
            </w:pPr>
            <w:r>
              <w:rPr>
                <w:rFonts w:ascii="Arial" w:hAnsi="Arial"/>
              </w:rPr>
              <w:t>%</w:t>
            </w:r>
          </w:p>
        </w:tc>
        <w:tc>
          <w:tcPr>
            <w:tcW w:w="328"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847"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r>
        <w:trPr/>
        <w:tc>
          <w:tcPr>
            <w:tcW w:w="5150" w:type="dxa"/>
            <w:tcBorders/>
            <w:shd w:fill="FFFFFF" w:val="clear"/>
            <w:vAlign w:val="bottom"/>
          </w:tcPr>
          <w:p>
            <w:pPr>
              <w:pStyle w:val="TableContents"/>
              <w:spacing w:before="0" w:after="283"/>
              <w:rPr>
                <w:sz w:val="4"/>
                <w:szCs w:val="4"/>
              </w:rPr>
            </w:pPr>
            <w:r>
              <w:rPr>
                <w:sz w:val="4"/>
                <w:szCs w:val="4"/>
              </w:rPr>
            </w:r>
          </w:p>
        </w:tc>
        <w:tc>
          <w:tcPr>
            <w:tcW w:w="328"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1031" w:type="dxa"/>
            <w:tcBorders/>
            <w:shd w:fill="FFFFFF" w:val="clear"/>
            <w:vAlign w:val="center"/>
          </w:tcPr>
          <w:p>
            <w:pPr>
              <w:pStyle w:val="TableContents"/>
              <w:spacing w:before="0" w:after="283"/>
              <w:rPr/>
            </w:pPr>
            <w:r>
              <w:rPr/>
              <w:t> </w:t>
            </w:r>
          </w:p>
        </w:tc>
        <w:tc>
          <w:tcPr>
            <w:tcW w:w="314" w:type="dxa"/>
            <w:tcBorders/>
            <w:shd w:fill="FFFFFF" w:val="clear"/>
            <w:vAlign w:val="center"/>
          </w:tcPr>
          <w:p>
            <w:pPr>
              <w:pStyle w:val="TableContents"/>
              <w:spacing w:before="0" w:after="283"/>
              <w:rPr/>
            </w:pPr>
            <w:r>
              <w:rPr/>
              <w:t> </w:t>
            </w:r>
          </w:p>
        </w:tc>
        <w:tc>
          <w:tcPr>
            <w:tcW w:w="328"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847" w:type="dxa"/>
            <w:tcBorders/>
            <w:shd w:fill="FFFFFF" w:val="clear"/>
            <w:vAlign w:val="center"/>
          </w:tcPr>
          <w:p>
            <w:pPr>
              <w:pStyle w:val="TableContents"/>
              <w:spacing w:before="0" w:after="283"/>
              <w:rPr/>
            </w:pPr>
            <w:r>
              <w:rPr/>
              <w:t> </w:t>
            </w:r>
          </w:p>
        </w:tc>
        <w:tc>
          <w:tcPr>
            <w:tcW w:w="314" w:type="dxa"/>
            <w:tcBorders/>
            <w:shd w:fill="FFFFFF" w:val="clear"/>
            <w:vAlign w:val="center"/>
          </w:tcPr>
          <w:p>
            <w:pPr>
              <w:pStyle w:val="TableContents"/>
              <w:spacing w:before="0" w:after="283"/>
              <w:rPr/>
            </w:pPr>
            <w:r>
              <w:rPr/>
              <w:t> </w:t>
            </w:r>
          </w:p>
        </w:tc>
        <w:tc>
          <w:tcPr>
            <w:tcW w:w="328"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847"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ACS sales increased by 17 percent in 2006 compared with 2005 due to organic sales growth of 10 percent and 7 percent growth from acquisitions, net of divestitures. All of ACS businesses contributed to organic growth in the year. In 2005 sales increased by 17 percent compared to 2004, which was primarily due to growth from acquisitions of 13 percent and organic growth of 4 percent.</w:t>
      </w:r>
    </w:p>
    <w:p>
      <w:pPr>
        <w:pStyle w:val="TextBody"/>
        <w:jc w:val="left"/>
        <w:rPr/>
      </w:pPr>
      <w:r>
        <w:rPr/>
        <w:t>      </w:t>
      </w:r>
      <w:r>
        <w:rPr>
          <w:rFonts w:ascii="Arial" w:hAnsi="Arial"/>
        </w:rPr>
        <w:t>Organic sales growth in ACS products businesses increased by 8 percent in 2006 compared to 2005, primarily due to strong customer demand for new products in our security and life safety products and increased sales to customers in emerging markets for environmental, combustion, sensing and control products. In 2005, organic sales for products increased by 5 percent compared to 2004, primarily due to strong sales of fire solutions and security products, and the favorable effects of foreign exchange.</w:t>
      </w:r>
    </w:p>
    <w:p>
      <w:pPr>
        <w:pStyle w:val="TextBody"/>
        <w:jc w:val="left"/>
        <w:rPr/>
      </w:pPr>
      <w:r>
        <w:rPr/>
        <w:t>      </w:t>
      </w:r>
      <w:r>
        <w:rPr>
          <w:rFonts w:ascii="Arial" w:hAnsi="Arial"/>
        </w:rPr>
        <w:t>Organic sales in ACS solutions businesses increased by 11 percent in 2006 compared to 2005 driven by continued strong orders growth, strong conversion to sales from our order backlog and increased sales in emerging markets and strong revenue from energy projects. In 2005, organic sales growth for the solutions businesses was 3 percent compared to 2004 due primarily to favorable foreign exchange and increased capital spending.</w:t>
      </w:r>
    </w:p>
    <w:p>
      <w:pPr>
        <w:pStyle w:val="TextBody"/>
        <w:jc w:val="left"/>
        <w:rPr/>
      </w:pPr>
      <w:r>
        <w:rPr/>
        <w:t>      </w:t>
      </w:r>
      <w:r>
        <w:rPr>
          <w:rFonts w:ascii="Arial" w:hAnsi="Arial"/>
        </w:rPr>
        <w:t>Sales from acquisitions, net of divestitures, increased by 7 percent in 2006 compared with 2005, largely representing revenues in ACS products businesses relating to NOVAR (primarily environmental, combustion, building controls and life safety products) for the first quarter of 2006, Zellweger (gas detection) for the first two quarters of 2006 and revenues from our Gardiner Groupe (security distribution) and First Technology (gas detection) acquisitions in the last three quarters of 2006. In 2005, sales from acquisitions net of divestitures increased by 13 percent compared to 2004, due primarily to the acquisition of NOVAR, partially offset by the loss of sales due to the divestiture of our Security Monitoring business.</w:t>
      </w:r>
    </w:p>
    <w:p>
      <w:pPr>
        <w:pStyle w:val="TextBody"/>
        <w:jc w:val="left"/>
        <w:rPr/>
      </w:pPr>
      <w:r>
        <w:rPr/>
        <w:t>      </w:t>
      </w:r>
      <w:r>
        <w:rPr>
          <w:rFonts w:ascii="Arial" w:hAnsi="Arial"/>
        </w:rPr>
        <w:t>ACS segment profit increased by 15 percent in 2006 compared with 2005 due principally to increased sales volume and productivity savings (including net integration savings from our acquisitions) that more than offset continued inflation. Segment profit was also negatively impacted in 2006 by a contract loss experienced on a Building Solutions project, and by ERP implementation costs. ACS segment profit in 2005 increased by 19 percent compared with 2004 as the favorable effects of productivity actions, acquisitions (NOVAR) and higher sales volume more than offset the unfavorable effects of lower prices and investments in sales and marketing initiatives.</w:t>
      </w:r>
    </w:p>
    <w:p>
      <w:pPr>
        <w:pStyle w:val="TextBody"/>
        <w:jc w:val="left"/>
        <w:rPr/>
      </w:pPr>
      <w:r>
        <w:rPr/>
        <w:t>      </w:t>
      </w:r>
      <w:r>
        <w:rPr>
          <w:rFonts w:ascii="Arial" w:hAnsi="Arial"/>
          <w:b/>
        </w:rPr>
        <w:t>2007 Areas of Focus</w:t>
      </w:r>
    </w:p>
    <w:p>
      <w:pPr>
        <w:pStyle w:val="TextBody"/>
        <w:jc w:val="left"/>
        <w:rPr/>
      </w:pPr>
      <w:r>
        <w:rPr/>
        <w:t>      </w:t>
      </w:r>
      <w:r>
        <w:rPr>
          <w:rFonts w:ascii="Arial" w:hAnsi="Arial"/>
        </w:rPr>
        <w:t>ACS's primary areas of focus for 2007 include:</w:t>
      </w:r>
    </w:p>
    <w:tbl>
      <w:tblPr>
        <w:tblW w:w="5000" w:type="pct"/>
        <w:jc w:val="left"/>
        <w:tblInd w:w="0" w:type="dxa"/>
        <w:tblCellMar>
          <w:top w:w="0" w:type="dxa"/>
          <w:left w:w="0" w:type="dxa"/>
          <w:bottom w:w="0" w:type="dxa"/>
          <w:right w:w="0" w:type="dxa"/>
        </w:tblCellMar>
      </w:tblPr>
      <w:tblGrid>
        <w:gridCol w:w="359"/>
        <w:gridCol w:w="178"/>
        <w:gridCol w:w="9668"/>
      </w:tblGrid>
      <w:tr>
        <w:trPr/>
        <w:tc>
          <w:tcPr>
            <w:tcW w:w="359" w:type="dxa"/>
            <w:tcBorders/>
            <w:shd w:fill="FFFFFF" w:val="clear"/>
          </w:tcPr>
          <w:p>
            <w:pPr>
              <w:pStyle w:val="TableContents"/>
              <w:spacing w:before="0" w:after="283"/>
              <w:rPr>
                <w:sz w:val="4"/>
                <w:szCs w:val="4"/>
              </w:rPr>
            </w:pPr>
            <w:r>
              <w:rPr>
                <w:sz w:val="4"/>
                <w:szCs w:val="4"/>
              </w:rPr>
            </w:r>
          </w:p>
        </w:tc>
        <w:tc>
          <w:tcPr>
            <w:tcW w:w="178" w:type="dxa"/>
            <w:tcBorders/>
            <w:shd w:fill="FFFFFF" w:val="clear"/>
          </w:tcPr>
          <w:p>
            <w:pPr>
              <w:pStyle w:val="TableContents"/>
              <w:spacing w:before="0" w:after="283"/>
              <w:jc w:val="left"/>
              <w:rPr/>
            </w:pPr>
            <w:r>
              <w:rPr/>
              <w:t>•</w:t>
            </w:r>
          </w:p>
        </w:tc>
        <w:tc>
          <w:tcPr>
            <w:tcW w:w="9668" w:type="dxa"/>
            <w:tcBorders/>
            <w:shd w:fill="FFFFFF" w:val="clear"/>
          </w:tcPr>
          <w:p>
            <w:pPr>
              <w:pStyle w:val="TableContents"/>
              <w:spacing w:before="0" w:after="283"/>
              <w:jc w:val="left"/>
              <w:rPr>
                <w:rFonts w:ascii="Arial" w:hAnsi="Arial"/>
              </w:rPr>
            </w:pPr>
            <w:r>
              <w:rPr>
                <w:rFonts w:ascii="Arial" w:hAnsi="Arial"/>
              </w:rPr>
              <w:t>Extending technology leadership: lowest total installed cost and integrated product solutions;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8" w:type="dxa"/>
            <w:tcBorders/>
            <w:shd w:fill="FFFFFF" w:val="clear"/>
          </w:tcPr>
          <w:p>
            <w:pPr>
              <w:pStyle w:val="TableContents"/>
              <w:spacing w:before="0" w:after="283"/>
              <w:jc w:val="left"/>
              <w:rPr/>
            </w:pPr>
            <w:r>
              <w:rPr/>
              <w:t>•</w:t>
            </w:r>
          </w:p>
        </w:tc>
        <w:tc>
          <w:tcPr>
            <w:tcW w:w="9668" w:type="dxa"/>
            <w:tcBorders/>
            <w:shd w:fill="FFFFFF" w:val="clear"/>
          </w:tcPr>
          <w:p>
            <w:pPr>
              <w:pStyle w:val="TableContents"/>
              <w:spacing w:before="0" w:after="283"/>
              <w:jc w:val="left"/>
              <w:rPr>
                <w:rFonts w:ascii="Arial" w:hAnsi="Arial"/>
              </w:rPr>
            </w:pPr>
            <w:r>
              <w:rPr>
                <w:rFonts w:ascii="Arial" w:hAnsi="Arial"/>
              </w:rPr>
              <w:t>Defending and extending our installed base through customer productivity and globalization;</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8" w:type="dxa"/>
            <w:tcBorders/>
            <w:shd w:fill="FFFFFF" w:val="clear"/>
          </w:tcPr>
          <w:p>
            <w:pPr>
              <w:pStyle w:val="TableContents"/>
              <w:spacing w:before="0" w:after="283"/>
              <w:jc w:val="left"/>
              <w:rPr/>
            </w:pPr>
            <w:r>
              <w:rPr/>
              <w:t>•</w:t>
            </w:r>
          </w:p>
        </w:tc>
        <w:tc>
          <w:tcPr>
            <w:tcW w:w="9668" w:type="dxa"/>
            <w:tcBorders/>
            <w:shd w:fill="FFFFFF" w:val="clear"/>
          </w:tcPr>
          <w:p>
            <w:pPr>
              <w:pStyle w:val="TableContents"/>
              <w:spacing w:before="0" w:after="283"/>
              <w:jc w:val="left"/>
              <w:rPr>
                <w:rFonts w:ascii="Arial" w:hAnsi="Arial"/>
              </w:rPr>
            </w:pPr>
            <w:r>
              <w:rPr>
                <w:rFonts w:ascii="Arial" w:hAnsi="Arial"/>
              </w:rPr>
              <w:t>Sustaining strong brand recognition through our brand and channel management;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8" w:type="dxa"/>
            <w:tcBorders/>
            <w:shd w:fill="FFFFFF" w:val="clear"/>
          </w:tcPr>
          <w:p>
            <w:pPr>
              <w:pStyle w:val="TableContents"/>
              <w:spacing w:before="0" w:after="283"/>
              <w:jc w:val="left"/>
              <w:rPr/>
            </w:pPr>
            <w:r>
              <w:rPr/>
              <w:t>•</w:t>
            </w:r>
          </w:p>
        </w:tc>
        <w:tc>
          <w:tcPr>
            <w:tcW w:w="9668" w:type="dxa"/>
            <w:tcBorders/>
            <w:shd w:fill="FFFFFF" w:val="clear"/>
          </w:tcPr>
          <w:p>
            <w:pPr>
              <w:pStyle w:val="TableContents"/>
              <w:spacing w:before="0" w:after="283"/>
              <w:jc w:val="left"/>
              <w:rPr>
                <w:rFonts w:ascii="Arial" w:hAnsi="Arial"/>
              </w:rPr>
            </w:pPr>
            <w:r>
              <w:rPr>
                <w:rFonts w:ascii="Arial" w:hAnsi="Arial"/>
              </w:rPr>
              <w:t>Centralization and standardization of global software development capabilities.</w:t>
            </w:r>
          </w:p>
        </w:tc>
      </w:tr>
    </w:tbl>
    <w:p>
      <w:pPr>
        <w:pStyle w:val="TextBody"/>
        <w:jc w:val="left"/>
        <w:rPr>
          <w:rFonts w:ascii="Arial" w:hAnsi="Arial"/>
          <w:b/>
        </w:rPr>
      </w:pPr>
      <w:r>
        <w:rPr>
          <w:rFonts w:ascii="Arial" w:hAnsi="Arial"/>
          <w:b/>
        </w:rPr>
        <w:t>Specialty Materials</w:t>
      </w:r>
    </w:p>
    <w:p>
      <w:pPr>
        <w:pStyle w:val="TextBody"/>
        <w:jc w:val="left"/>
        <w:rPr/>
      </w:pPr>
      <w:r>
        <w:rPr/>
        <w:t>      </w:t>
      </w:r>
      <w:r>
        <w:rPr>
          <w:rFonts w:ascii="Arial" w:hAnsi="Arial"/>
          <w:b/>
        </w:rPr>
        <w:t>Overview</w:t>
      </w:r>
    </w:p>
    <w:p>
      <w:pPr>
        <w:pStyle w:val="TextBody"/>
        <w:jc w:val="left"/>
        <w:rPr/>
      </w:pPr>
      <w:r>
        <w:rPr/>
        <w:t>      </w:t>
      </w:r>
      <w:r>
        <w:rPr>
          <w:rFonts w:ascii="Arial" w:hAnsi="Arial"/>
        </w:rPr>
        <w:t>Specialty Materials develops and manufactures high-purity, high-quality and high-performance chemicals and materials for applications in the automotive, healthcare, agricultural, packaging, carpet fibers, refrigeration, appliance, housing, semiconductor, wax and adhesives segments. Specialty</w:t>
      </w:r>
    </w:p>
    <w:p>
      <w:pPr>
        <w:pStyle w:val="TextBody"/>
        <w:jc w:val="center"/>
        <w:rPr>
          <w:rFonts w:ascii="Arial" w:hAnsi="Arial"/>
        </w:rPr>
      </w:pPr>
      <w:r>
        <w:rPr>
          <w:rFonts w:ascii="Arial" w:hAnsi="Arial"/>
        </w:rPr>
        <w:t>27</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Materials also provides process technology, products and services for the petroleum refining, petrochemical, and other industries. Specialty Materials' product portfolio includes fluorocarbons, caprolactam, ammonium sulfate for fertilizer, specialty films, advanced fibers, customized research chemicals and intermediates, electronic materials and chemicals, catalysts, and adsorbents.</w:t>
      </w:r>
    </w:p>
    <w:p>
      <w:pPr>
        <w:pStyle w:val="TextBody"/>
        <w:jc w:val="left"/>
        <w:rPr/>
      </w:pPr>
      <w:r>
        <w:rPr/>
        <w:t>      </w:t>
      </w:r>
      <w:r>
        <w:rPr>
          <w:rFonts w:ascii="Arial" w:hAnsi="Arial"/>
          <w:b/>
        </w:rPr>
        <w:t>Economic and Other Factors</w:t>
      </w:r>
    </w:p>
    <w:p>
      <w:pPr>
        <w:pStyle w:val="TextBody"/>
        <w:jc w:val="left"/>
        <w:rPr/>
      </w:pPr>
      <w:r>
        <w:rPr/>
        <w:t>      </w:t>
      </w:r>
      <w:r>
        <w:rPr>
          <w:rFonts w:ascii="Arial" w:hAnsi="Arial"/>
        </w:rPr>
        <w:t>Specialty Materials operating results are principally driven by:</w:t>
      </w:r>
    </w:p>
    <w:tbl>
      <w:tblPr>
        <w:tblW w:w="5000" w:type="pct"/>
        <w:jc w:val="left"/>
        <w:tblInd w:w="0" w:type="dxa"/>
        <w:tblCellMar>
          <w:top w:w="0" w:type="dxa"/>
          <w:left w:w="0" w:type="dxa"/>
          <w:bottom w:w="0" w:type="dxa"/>
          <w:right w:w="0" w:type="dxa"/>
        </w:tblCellMar>
      </w:tblPr>
      <w:tblGrid>
        <w:gridCol w:w="359"/>
        <w:gridCol w:w="173"/>
        <w:gridCol w:w="9673"/>
      </w:tblGrid>
      <w:tr>
        <w:trPr/>
        <w:tc>
          <w:tcPr>
            <w:tcW w:w="359" w:type="dxa"/>
            <w:tcBorders/>
            <w:shd w:fill="FFFFFF" w:val="clear"/>
          </w:tcPr>
          <w:p>
            <w:pPr>
              <w:pStyle w:val="TableContents"/>
              <w:spacing w:before="0" w:after="283"/>
              <w:rPr>
                <w:sz w:val="4"/>
                <w:szCs w:val="4"/>
              </w:rPr>
            </w:pPr>
            <w:r>
              <w:rPr>
                <w:sz w:val="4"/>
                <w:szCs w:val="4"/>
              </w:rPr>
            </w:r>
          </w:p>
        </w:tc>
        <w:tc>
          <w:tcPr>
            <w:tcW w:w="173" w:type="dxa"/>
            <w:tcBorders/>
            <w:shd w:fill="FFFFFF" w:val="clear"/>
          </w:tcPr>
          <w:p>
            <w:pPr>
              <w:pStyle w:val="TableContents"/>
              <w:spacing w:before="0" w:after="283"/>
              <w:jc w:val="left"/>
              <w:rPr/>
            </w:pPr>
            <w:r>
              <w:rPr/>
              <w:t>•</w:t>
            </w:r>
          </w:p>
        </w:tc>
        <w:tc>
          <w:tcPr>
            <w:tcW w:w="9673" w:type="dxa"/>
            <w:tcBorders/>
            <w:shd w:fill="FFFFFF" w:val="clear"/>
          </w:tcPr>
          <w:p>
            <w:pPr>
              <w:pStyle w:val="TableContents"/>
              <w:spacing w:before="0" w:after="283"/>
              <w:jc w:val="left"/>
              <w:rPr>
                <w:rFonts w:ascii="Arial" w:hAnsi="Arial"/>
              </w:rPr>
            </w:pPr>
            <w:r>
              <w:rPr>
                <w:rFonts w:ascii="Arial" w:hAnsi="Arial"/>
              </w:rPr>
              <w:t>The degree of volatility in natural gas, benzene (the key component in phenol) and fluorspar prices;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3" w:type="dxa"/>
            <w:tcBorders/>
            <w:shd w:fill="FFFFFF" w:val="clear"/>
          </w:tcPr>
          <w:p>
            <w:pPr>
              <w:pStyle w:val="TableContents"/>
              <w:spacing w:before="0" w:after="283"/>
              <w:jc w:val="left"/>
              <w:rPr/>
            </w:pPr>
            <w:r>
              <w:rPr/>
              <w:t>•</w:t>
            </w:r>
          </w:p>
        </w:tc>
        <w:tc>
          <w:tcPr>
            <w:tcW w:w="9673" w:type="dxa"/>
            <w:tcBorders/>
            <w:shd w:fill="FFFFFF" w:val="clear"/>
          </w:tcPr>
          <w:p>
            <w:pPr>
              <w:pStyle w:val="TableContents"/>
              <w:spacing w:before="0" w:after="283"/>
              <w:jc w:val="left"/>
              <w:rPr>
                <w:rFonts w:ascii="Arial" w:hAnsi="Arial"/>
              </w:rPr>
            </w:pPr>
            <w:r>
              <w:rPr>
                <w:rFonts w:ascii="Arial" w:hAnsi="Arial"/>
              </w:rPr>
              <w:t>The impact of environmental and energy efficiency regulations;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3" w:type="dxa"/>
            <w:tcBorders/>
            <w:shd w:fill="FFFFFF" w:val="clear"/>
          </w:tcPr>
          <w:p>
            <w:pPr>
              <w:pStyle w:val="TableContents"/>
              <w:spacing w:before="0" w:after="283"/>
              <w:jc w:val="left"/>
              <w:rPr/>
            </w:pPr>
            <w:r>
              <w:rPr/>
              <w:t>•</w:t>
            </w:r>
          </w:p>
        </w:tc>
        <w:tc>
          <w:tcPr>
            <w:tcW w:w="9673" w:type="dxa"/>
            <w:tcBorders/>
            <w:shd w:fill="FFFFFF" w:val="clear"/>
          </w:tcPr>
          <w:p>
            <w:pPr>
              <w:pStyle w:val="TableContents"/>
              <w:spacing w:before="0" w:after="283"/>
              <w:jc w:val="left"/>
              <w:rPr>
                <w:rFonts w:ascii="Arial" w:hAnsi="Arial"/>
              </w:rPr>
            </w:pPr>
            <w:r>
              <w:rPr>
                <w:rFonts w:ascii="Arial" w:hAnsi="Arial"/>
              </w:rPr>
              <w:t>The extent of change in order rates from global semiconductor customers;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3" w:type="dxa"/>
            <w:tcBorders/>
            <w:shd w:fill="FFFFFF" w:val="clear"/>
          </w:tcPr>
          <w:p>
            <w:pPr>
              <w:pStyle w:val="TableContents"/>
              <w:spacing w:before="0" w:after="283"/>
              <w:jc w:val="left"/>
              <w:rPr/>
            </w:pPr>
            <w:r>
              <w:rPr/>
              <w:t>•</w:t>
            </w:r>
          </w:p>
        </w:tc>
        <w:tc>
          <w:tcPr>
            <w:tcW w:w="9673" w:type="dxa"/>
            <w:tcBorders/>
            <w:shd w:fill="FFFFFF" w:val="clear"/>
          </w:tcPr>
          <w:p>
            <w:pPr>
              <w:pStyle w:val="TableContents"/>
              <w:spacing w:before="0" w:after="283"/>
              <w:jc w:val="left"/>
              <w:rPr>
                <w:rFonts w:ascii="Arial" w:hAnsi="Arial"/>
              </w:rPr>
            </w:pPr>
            <w:r>
              <w:rPr>
                <w:rFonts w:ascii="Arial" w:hAnsi="Arial"/>
              </w:rPr>
              <w:t>The global demand for non-ozone depleting Hydro fluorocarbons (HFC's);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3" w:type="dxa"/>
            <w:tcBorders/>
            <w:shd w:fill="FFFFFF" w:val="clear"/>
          </w:tcPr>
          <w:p>
            <w:pPr>
              <w:pStyle w:val="TableContents"/>
              <w:spacing w:before="0" w:after="283"/>
              <w:jc w:val="left"/>
              <w:rPr/>
            </w:pPr>
            <w:r>
              <w:rPr/>
              <w:t>•</w:t>
            </w:r>
          </w:p>
        </w:tc>
        <w:tc>
          <w:tcPr>
            <w:tcW w:w="9673" w:type="dxa"/>
            <w:tcBorders/>
            <w:shd w:fill="FFFFFF" w:val="clear"/>
          </w:tcPr>
          <w:p>
            <w:pPr>
              <w:pStyle w:val="TableContents"/>
              <w:spacing w:before="0" w:after="283"/>
              <w:jc w:val="left"/>
              <w:rPr>
                <w:rFonts w:ascii="Arial" w:hAnsi="Arial"/>
              </w:rPr>
            </w:pPr>
            <w:r>
              <w:rPr>
                <w:rFonts w:ascii="Arial" w:hAnsi="Arial"/>
              </w:rPr>
              <w:t>The extent of the slowdown of the US residential housing industry;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3" w:type="dxa"/>
            <w:tcBorders/>
            <w:shd w:fill="FFFFFF" w:val="clear"/>
          </w:tcPr>
          <w:p>
            <w:pPr>
              <w:pStyle w:val="TableContents"/>
              <w:spacing w:before="0" w:after="283"/>
              <w:jc w:val="left"/>
              <w:rPr/>
            </w:pPr>
            <w:r>
              <w:rPr/>
              <w:t>•</w:t>
            </w:r>
          </w:p>
        </w:tc>
        <w:tc>
          <w:tcPr>
            <w:tcW w:w="9673" w:type="dxa"/>
            <w:tcBorders/>
            <w:shd w:fill="FFFFFF" w:val="clear"/>
          </w:tcPr>
          <w:p>
            <w:pPr>
              <w:pStyle w:val="TableContents"/>
              <w:spacing w:before="0" w:after="283"/>
              <w:jc w:val="left"/>
              <w:rPr>
                <w:rFonts w:ascii="Arial" w:hAnsi="Arial"/>
              </w:rPr>
            </w:pPr>
            <w:r>
              <w:rPr>
                <w:rFonts w:ascii="Arial" w:hAnsi="Arial"/>
              </w:rPr>
              <w:t>The level of investment in refining and petrochemical capacity, utilization and/or expansion.</w:t>
            </w:r>
          </w:p>
        </w:tc>
      </w:tr>
    </w:tbl>
    <w:p>
      <w:pPr>
        <w:pStyle w:val="TextBody"/>
        <w:jc w:val="left"/>
        <w:rPr/>
      </w:pPr>
      <w:r>
        <w:rPr/>
        <w:t>      </w:t>
      </w:r>
      <w:r>
        <w:rPr>
          <w:rFonts w:ascii="Arial" w:hAnsi="Arial"/>
          <w:b/>
        </w:rPr>
        <w:t>Results of Operations</w:t>
      </w:r>
    </w:p>
    <w:tbl>
      <w:tblPr>
        <w:tblW w:w="5000" w:type="pct"/>
        <w:jc w:val="left"/>
        <w:tblInd w:w="0" w:type="dxa"/>
        <w:tblCellMar>
          <w:top w:w="0" w:type="dxa"/>
          <w:left w:w="0" w:type="dxa"/>
          <w:bottom w:w="0" w:type="dxa"/>
          <w:right w:w="0" w:type="dxa"/>
        </w:tblCellMar>
      </w:tblPr>
      <w:tblGrid>
        <w:gridCol w:w="477"/>
        <w:gridCol w:w="5000"/>
        <w:gridCol w:w="318"/>
        <w:gridCol w:w="206"/>
        <w:gridCol w:w="822"/>
        <w:gridCol w:w="305"/>
        <w:gridCol w:w="318"/>
        <w:gridCol w:w="206"/>
        <w:gridCol w:w="822"/>
        <w:gridCol w:w="305"/>
        <w:gridCol w:w="318"/>
        <w:gridCol w:w="206"/>
        <w:gridCol w:w="822"/>
        <w:gridCol w:w="80"/>
      </w:tblGrid>
      <w:tr>
        <w:trPr/>
        <w:tc>
          <w:tcPr>
            <w:tcW w:w="477" w:type="dxa"/>
            <w:tcBorders/>
            <w:shd w:fill="FFFFFF" w:val="clear"/>
            <w:vAlign w:val="center"/>
          </w:tcPr>
          <w:p>
            <w:pPr>
              <w:pStyle w:val="TableContents"/>
              <w:spacing w:before="0" w:after="283"/>
              <w:rPr/>
            </w:pPr>
            <w:r>
              <w:rPr/>
              <w:t> </w:t>
            </w:r>
          </w:p>
        </w:tc>
        <w:tc>
          <w:tcPr>
            <w:tcW w:w="500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333"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33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108"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77" w:type="dxa"/>
            <w:tcBorders/>
            <w:shd w:fill="FFFFFF" w:val="clear"/>
            <w:vAlign w:val="center"/>
          </w:tcPr>
          <w:p>
            <w:pPr>
              <w:pStyle w:val="TableContents"/>
              <w:spacing w:before="0" w:after="283"/>
              <w:rPr/>
            </w:pPr>
            <w:r>
              <w:rPr/>
              <w:t> </w:t>
            </w:r>
          </w:p>
        </w:tc>
        <w:tc>
          <w:tcPr>
            <w:tcW w:w="500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4410"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77" w:type="dxa"/>
            <w:tcBorders/>
            <w:shd w:fill="FFFFFF" w:val="clear"/>
            <w:vAlign w:val="bottom"/>
          </w:tcPr>
          <w:p>
            <w:pPr>
              <w:pStyle w:val="TableContents"/>
              <w:spacing w:before="0" w:after="283"/>
              <w:jc w:val="left"/>
              <w:rPr/>
            </w:pPr>
            <w:r>
              <w:rPr/>
              <w:t>      </w:t>
            </w:r>
          </w:p>
        </w:tc>
        <w:tc>
          <w:tcPr>
            <w:tcW w:w="5000" w:type="dxa"/>
            <w:tcBorders/>
            <w:shd w:fill="FFFFFF" w:val="clear"/>
            <w:vAlign w:val="bottom"/>
          </w:tcPr>
          <w:p>
            <w:pPr>
              <w:pStyle w:val="TableContents"/>
              <w:spacing w:before="0" w:after="283"/>
              <w:jc w:val="left"/>
              <w:rPr>
                <w:rFonts w:ascii="Arial" w:hAnsi="Arial"/>
              </w:rPr>
            </w:pPr>
            <w:r>
              <w:rPr>
                <w:rFonts w:ascii="Arial" w:hAnsi="Arial"/>
              </w:rPr>
              <w:t>Net sales</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right"/>
              <w:rPr>
                <w:rFonts w:ascii="Arial" w:hAnsi="Arial"/>
              </w:rPr>
            </w:pPr>
            <w:r>
              <w:rPr>
                <w:rFonts w:ascii="Arial" w:hAnsi="Arial"/>
              </w:rPr>
              <w:t>$</w:t>
            </w:r>
          </w:p>
        </w:tc>
        <w:tc>
          <w:tcPr>
            <w:tcW w:w="822" w:type="dxa"/>
            <w:tcBorders/>
            <w:shd w:fill="FFFFFF" w:val="clear"/>
            <w:vAlign w:val="bottom"/>
          </w:tcPr>
          <w:p>
            <w:pPr>
              <w:pStyle w:val="TableContents"/>
              <w:spacing w:before="0" w:after="283"/>
              <w:jc w:val="right"/>
              <w:rPr>
                <w:rFonts w:ascii="Arial" w:hAnsi="Arial"/>
              </w:rPr>
            </w:pPr>
            <w:r>
              <w:rPr>
                <w:rFonts w:ascii="Arial" w:hAnsi="Arial"/>
              </w:rPr>
              <w:t>4,631</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right"/>
              <w:rPr>
                <w:rFonts w:ascii="Arial" w:hAnsi="Arial"/>
              </w:rPr>
            </w:pPr>
            <w:r>
              <w:rPr>
                <w:rFonts w:ascii="Arial" w:hAnsi="Arial"/>
              </w:rPr>
              <w:t>$</w:t>
            </w:r>
          </w:p>
        </w:tc>
        <w:tc>
          <w:tcPr>
            <w:tcW w:w="822" w:type="dxa"/>
            <w:tcBorders/>
            <w:shd w:fill="FFFFFF" w:val="clear"/>
            <w:vAlign w:val="bottom"/>
          </w:tcPr>
          <w:p>
            <w:pPr>
              <w:pStyle w:val="TableContents"/>
              <w:spacing w:before="0" w:after="283"/>
              <w:jc w:val="right"/>
              <w:rPr>
                <w:rFonts w:ascii="Arial" w:hAnsi="Arial"/>
              </w:rPr>
            </w:pPr>
            <w:r>
              <w:rPr>
                <w:rFonts w:ascii="Arial" w:hAnsi="Arial"/>
              </w:rPr>
              <w:t>3,234</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right"/>
              <w:rPr>
                <w:rFonts w:ascii="Arial" w:hAnsi="Arial"/>
              </w:rPr>
            </w:pPr>
            <w:r>
              <w:rPr>
                <w:rFonts w:ascii="Arial" w:hAnsi="Arial"/>
              </w:rPr>
              <w:t>$</w:t>
            </w:r>
          </w:p>
        </w:tc>
        <w:tc>
          <w:tcPr>
            <w:tcW w:w="822" w:type="dxa"/>
            <w:tcBorders/>
            <w:shd w:fill="FFFFFF" w:val="clear"/>
            <w:vAlign w:val="bottom"/>
          </w:tcPr>
          <w:p>
            <w:pPr>
              <w:pStyle w:val="TableContents"/>
              <w:spacing w:before="0" w:after="283"/>
              <w:jc w:val="right"/>
              <w:rPr>
                <w:rFonts w:ascii="Arial" w:hAnsi="Arial"/>
              </w:rPr>
            </w:pPr>
            <w:r>
              <w:rPr>
                <w:rFonts w:ascii="Arial" w:hAnsi="Arial"/>
              </w:rPr>
              <w:t>3,497</w:t>
            </w:r>
          </w:p>
        </w:tc>
        <w:tc>
          <w:tcPr>
            <w:tcW w:w="80"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5000" w:type="dxa"/>
            <w:tcBorders/>
            <w:shd w:fill="E5FFFF" w:val="clear"/>
            <w:vAlign w:val="bottom"/>
          </w:tcPr>
          <w:p>
            <w:pPr>
              <w:pStyle w:val="TableContents"/>
              <w:spacing w:before="0" w:after="283"/>
              <w:jc w:val="left"/>
              <w:rPr>
                <w:rFonts w:ascii="Arial" w:hAnsi="Arial"/>
              </w:rPr>
            </w:pPr>
            <w:r>
              <w:rPr>
                <w:rFonts w:ascii="Arial" w:hAnsi="Arial"/>
              </w:rPr>
              <w:t>% change compared with prior year</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center"/>
          </w:tcPr>
          <w:p>
            <w:pPr>
              <w:pStyle w:val="TableContents"/>
              <w:spacing w:before="0" w:after="283"/>
              <w:rPr/>
            </w:pPr>
            <w:r>
              <w:rPr/>
              <w:t> </w:t>
            </w:r>
          </w:p>
        </w:tc>
        <w:tc>
          <w:tcPr>
            <w:tcW w:w="822" w:type="dxa"/>
            <w:tcBorders/>
            <w:shd w:fill="E5FFFF" w:val="clear"/>
            <w:vAlign w:val="bottom"/>
          </w:tcPr>
          <w:p>
            <w:pPr>
              <w:pStyle w:val="TableContents"/>
              <w:spacing w:before="0" w:after="283"/>
              <w:jc w:val="right"/>
              <w:rPr>
                <w:rFonts w:ascii="Arial" w:hAnsi="Arial"/>
              </w:rPr>
            </w:pPr>
            <w:r>
              <w:rPr>
                <w:rFonts w:ascii="Arial" w:hAnsi="Arial"/>
              </w:rPr>
              <w:t>43</w:t>
            </w:r>
          </w:p>
        </w:tc>
        <w:tc>
          <w:tcPr>
            <w:tcW w:w="305" w:type="dxa"/>
            <w:tcBorders/>
            <w:shd w:fill="E5FFFF" w:val="clear"/>
            <w:vAlign w:val="bottom"/>
          </w:tcPr>
          <w:p>
            <w:pPr>
              <w:pStyle w:val="TableContents"/>
              <w:spacing w:before="0" w:after="283"/>
              <w:jc w:val="left"/>
              <w:rPr>
                <w:rFonts w:ascii="Arial" w:hAnsi="Arial"/>
              </w:rPr>
            </w:pPr>
            <w:r>
              <w:rPr>
                <w:rFonts w:ascii="Arial" w:hAnsi="Arial"/>
              </w:rPr>
              <w:t>%</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center"/>
          </w:tcPr>
          <w:p>
            <w:pPr>
              <w:pStyle w:val="TableContents"/>
              <w:spacing w:before="0" w:after="283"/>
              <w:rPr/>
            </w:pPr>
            <w:r>
              <w:rPr/>
              <w:t> </w:t>
            </w:r>
          </w:p>
        </w:tc>
        <w:tc>
          <w:tcPr>
            <w:tcW w:w="822" w:type="dxa"/>
            <w:tcBorders/>
            <w:shd w:fill="E5FFFF" w:val="clear"/>
            <w:vAlign w:val="bottom"/>
          </w:tcPr>
          <w:p>
            <w:pPr>
              <w:pStyle w:val="TableContents"/>
              <w:spacing w:before="0" w:after="283"/>
              <w:jc w:val="right"/>
              <w:rPr>
                <w:rFonts w:ascii="Arial" w:hAnsi="Arial"/>
              </w:rPr>
            </w:pPr>
            <w:r>
              <w:rPr>
                <w:rFonts w:ascii="Arial" w:hAnsi="Arial"/>
              </w:rPr>
              <w:t>(8)</w:t>
            </w:r>
          </w:p>
        </w:tc>
        <w:tc>
          <w:tcPr>
            <w:tcW w:w="305" w:type="dxa"/>
            <w:tcBorders/>
            <w:shd w:fill="E5FFFF" w:val="clear"/>
            <w:vAlign w:val="bottom"/>
          </w:tcPr>
          <w:p>
            <w:pPr>
              <w:pStyle w:val="TableContents"/>
              <w:spacing w:before="0" w:after="283"/>
              <w:jc w:val="left"/>
              <w:rPr>
                <w:rFonts w:ascii="Arial" w:hAnsi="Arial"/>
              </w:rPr>
            </w:pPr>
            <w:r>
              <w:rPr>
                <w:rFonts w:ascii="Arial" w:hAnsi="Arial"/>
              </w:rPr>
              <w:t>%</w:t>
            </w:r>
          </w:p>
        </w:tc>
        <w:tc>
          <w:tcPr>
            <w:tcW w:w="318" w:type="dxa"/>
            <w:tcBorders/>
            <w:shd w:fill="E5FFFF" w:val="clear"/>
            <w:vAlign w:val="center"/>
          </w:tcPr>
          <w:p>
            <w:pPr>
              <w:pStyle w:val="TableContents"/>
              <w:spacing w:before="0" w:after="283"/>
              <w:rPr/>
            </w:pPr>
            <w:r>
              <w:rPr/>
              <w:t> </w:t>
            </w:r>
          </w:p>
        </w:tc>
        <w:tc>
          <w:tcPr>
            <w:tcW w:w="206" w:type="dxa"/>
            <w:tcBorders/>
            <w:shd w:fill="E5FFFF" w:val="clear"/>
            <w:vAlign w:val="center"/>
          </w:tcPr>
          <w:p>
            <w:pPr>
              <w:pStyle w:val="TableContents"/>
              <w:spacing w:before="0" w:after="283"/>
              <w:rPr/>
            </w:pPr>
            <w:r>
              <w:rPr/>
              <w:t> </w:t>
            </w:r>
          </w:p>
        </w:tc>
        <w:tc>
          <w:tcPr>
            <w:tcW w:w="822" w:type="dxa"/>
            <w:tcBorders/>
            <w:shd w:fill="E5FFFF" w:val="clear"/>
            <w:vAlign w:val="center"/>
          </w:tcPr>
          <w:p>
            <w:pPr>
              <w:pStyle w:val="TableContents"/>
              <w:spacing w:before="0" w:after="283"/>
              <w:rPr/>
            </w:pPr>
            <w:r>
              <w:rPr/>
              <w:t> </w:t>
            </w:r>
          </w:p>
        </w:tc>
        <w:tc>
          <w:tcPr>
            <w:tcW w:w="80"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5000" w:type="dxa"/>
            <w:tcBorders/>
            <w:shd w:fill="FFFFFF" w:val="clear"/>
            <w:vAlign w:val="bottom"/>
          </w:tcPr>
          <w:p>
            <w:pPr>
              <w:pStyle w:val="TableContents"/>
              <w:spacing w:before="0" w:after="283"/>
              <w:jc w:val="left"/>
              <w:rPr>
                <w:rFonts w:ascii="Arial" w:hAnsi="Arial"/>
              </w:rPr>
            </w:pPr>
            <w:r>
              <w:rPr>
                <w:rFonts w:ascii="Arial" w:hAnsi="Arial"/>
              </w:rPr>
              <w:t>Segment profit</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right"/>
              <w:rPr>
                <w:rFonts w:ascii="Arial" w:hAnsi="Arial"/>
              </w:rPr>
            </w:pPr>
            <w:r>
              <w:rPr>
                <w:rFonts w:ascii="Arial" w:hAnsi="Arial"/>
              </w:rPr>
              <w:t>$</w:t>
            </w:r>
          </w:p>
        </w:tc>
        <w:tc>
          <w:tcPr>
            <w:tcW w:w="822" w:type="dxa"/>
            <w:tcBorders/>
            <w:shd w:fill="FFFFFF" w:val="clear"/>
            <w:vAlign w:val="bottom"/>
          </w:tcPr>
          <w:p>
            <w:pPr>
              <w:pStyle w:val="TableContents"/>
              <w:spacing w:before="0" w:after="283"/>
              <w:jc w:val="right"/>
              <w:rPr>
                <w:rFonts w:ascii="Arial" w:hAnsi="Arial"/>
              </w:rPr>
            </w:pPr>
            <w:r>
              <w:rPr>
                <w:rFonts w:ascii="Arial" w:hAnsi="Arial"/>
              </w:rPr>
              <w:t>568</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right"/>
              <w:rPr>
                <w:rFonts w:ascii="Arial" w:hAnsi="Arial"/>
              </w:rPr>
            </w:pPr>
            <w:r>
              <w:rPr>
                <w:rFonts w:ascii="Arial" w:hAnsi="Arial"/>
              </w:rPr>
              <w:t>$</w:t>
            </w:r>
          </w:p>
        </w:tc>
        <w:tc>
          <w:tcPr>
            <w:tcW w:w="822" w:type="dxa"/>
            <w:tcBorders/>
            <w:shd w:fill="FFFFFF" w:val="clear"/>
            <w:vAlign w:val="bottom"/>
          </w:tcPr>
          <w:p>
            <w:pPr>
              <w:pStyle w:val="TableContents"/>
              <w:spacing w:before="0" w:after="283"/>
              <w:jc w:val="right"/>
              <w:rPr>
                <w:rFonts w:ascii="Arial" w:hAnsi="Arial"/>
              </w:rPr>
            </w:pPr>
            <w:r>
              <w:rPr>
                <w:rFonts w:ascii="Arial" w:hAnsi="Arial"/>
              </w:rPr>
              <w:t>257</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bottom"/>
          </w:tcPr>
          <w:p>
            <w:pPr>
              <w:pStyle w:val="TableContents"/>
              <w:spacing w:before="0" w:after="283"/>
              <w:jc w:val="right"/>
              <w:rPr>
                <w:rFonts w:ascii="Arial" w:hAnsi="Arial"/>
              </w:rPr>
            </w:pPr>
            <w:r>
              <w:rPr>
                <w:rFonts w:ascii="Arial" w:hAnsi="Arial"/>
              </w:rPr>
              <w:t>$</w:t>
            </w:r>
          </w:p>
        </w:tc>
        <w:tc>
          <w:tcPr>
            <w:tcW w:w="822" w:type="dxa"/>
            <w:tcBorders/>
            <w:shd w:fill="FFFFFF" w:val="clear"/>
            <w:vAlign w:val="bottom"/>
          </w:tcPr>
          <w:p>
            <w:pPr>
              <w:pStyle w:val="TableContents"/>
              <w:spacing w:before="0" w:after="283"/>
              <w:jc w:val="right"/>
              <w:rPr>
                <w:rFonts w:ascii="Arial" w:hAnsi="Arial"/>
              </w:rPr>
            </w:pPr>
            <w:r>
              <w:rPr>
                <w:rFonts w:ascii="Arial" w:hAnsi="Arial"/>
              </w:rPr>
              <w:t>184</w:t>
            </w:r>
          </w:p>
        </w:tc>
        <w:tc>
          <w:tcPr>
            <w:tcW w:w="80"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5000" w:type="dxa"/>
            <w:tcBorders/>
            <w:shd w:fill="E5FFFF" w:val="clear"/>
            <w:vAlign w:val="bottom"/>
          </w:tcPr>
          <w:p>
            <w:pPr>
              <w:pStyle w:val="TableContents"/>
              <w:spacing w:before="0" w:after="283"/>
              <w:jc w:val="left"/>
              <w:rPr>
                <w:rFonts w:ascii="Arial" w:hAnsi="Arial"/>
              </w:rPr>
            </w:pPr>
            <w:r>
              <w:rPr>
                <w:rFonts w:ascii="Arial" w:hAnsi="Arial"/>
              </w:rPr>
              <w:t>% change compared with prior year</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center"/>
          </w:tcPr>
          <w:p>
            <w:pPr>
              <w:pStyle w:val="TableContents"/>
              <w:spacing w:before="0" w:after="283"/>
              <w:rPr/>
            </w:pPr>
            <w:r>
              <w:rPr/>
              <w:t> </w:t>
            </w:r>
          </w:p>
        </w:tc>
        <w:tc>
          <w:tcPr>
            <w:tcW w:w="822" w:type="dxa"/>
            <w:tcBorders/>
            <w:shd w:fill="E5FFFF" w:val="clear"/>
            <w:vAlign w:val="bottom"/>
          </w:tcPr>
          <w:p>
            <w:pPr>
              <w:pStyle w:val="TableContents"/>
              <w:spacing w:before="0" w:after="283"/>
              <w:jc w:val="right"/>
              <w:rPr>
                <w:rFonts w:ascii="Arial" w:hAnsi="Arial"/>
              </w:rPr>
            </w:pPr>
            <w:r>
              <w:rPr>
                <w:rFonts w:ascii="Arial" w:hAnsi="Arial"/>
              </w:rPr>
              <w:t>121</w:t>
            </w:r>
          </w:p>
        </w:tc>
        <w:tc>
          <w:tcPr>
            <w:tcW w:w="305" w:type="dxa"/>
            <w:tcBorders/>
            <w:shd w:fill="E5FFFF" w:val="clear"/>
            <w:vAlign w:val="bottom"/>
          </w:tcPr>
          <w:p>
            <w:pPr>
              <w:pStyle w:val="TableContents"/>
              <w:spacing w:before="0" w:after="283"/>
              <w:jc w:val="left"/>
              <w:rPr>
                <w:rFonts w:ascii="Arial" w:hAnsi="Arial"/>
              </w:rPr>
            </w:pPr>
            <w:r>
              <w:rPr>
                <w:rFonts w:ascii="Arial" w:hAnsi="Arial"/>
              </w:rPr>
              <w:t>%</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center"/>
          </w:tcPr>
          <w:p>
            <w:pPr>
              <w:pStyle w:val="TableContents"/>
              <w:spacing w:before="0" w:after="283"/>
              <w:rPr/>
            </w:pPr>
            <w:r>
              <w:rPr/>
              <w:t> </w:t>
            </w:r>
          </w:p>
        </w:tc>
        <w:tc>
          <w:tcPr>
            <w:tcW w:w="822" w:type="dxa"/>
            <w:tcBorders/>
            <w:shd w:fill="E5FFFF" w:val="clear"/>
            <w:vAlign w:val="bottom"/>
          </w:tcPr>
          <w:p>
            <w:pPr>
              <w:pStyle w:val="TableContents"/>
              <w:spacing w:before="0" w:after="283"/>
              <w:jc w:val="right"/>
              <w:rPr>
                <w:rFonts w:ascii="Arial" w:hAnsi="Arial"/>
              </w:rPr>
            </w:pPr>
            <w:r>
              <w:rPr>
                <w:rFonts w:ascii="Arial" w:hAnsi="Arial"/>
              </w:rPr>
              <w:t>40</w:t>
            </w:r>
          </w:p>
        </w:tc>
        <w:tc>
          <w:tcPr>
            <w:tcW w:w="305" w:type="dxa"/>
            <w:tcBorders/>
            <w:shd w:fill="E5FFFF" w:val="clear"/>
            <w:vAlign w:val="bottom"/>
          </w:tcPr>
          <w:p>
            <w:pPr>
              <w:pStyle w:val="TableContents"/>
              <w:spacing w:before="0" w:after="283"/>
              <w:jc w:val="left"/>
              <w:rPr>
                <w:rFonts w:ascii="Arial" w:hAnsi="Arial"/>
              </w:rPr>
            </w:pPr>
            <w:r>
              <w:rPr>
                <w:rFonts w:ascii="Arial" w:hAnsi="Arial"/>
              </w:rPr>
              <w:t>%</w:t>
            </w:r>
          </w:p>
        </w:tc>
        <w:tc>
          <w:tcPr>
            <w:tcW w:w="318" w:type="dxa"/>
            <w:tcBorders/>
            <w:shd w:fill="E5FFFF" w:val="clear"/>
            <w:vAlign w:val="center"/>
          </w:tcPr>
          <w:p>
            <w:pPr>
              <w:pStyle w:val="TableContents"/>
              <w:spacing w:before="0" w:after="283"/>
              <w:rPr/>
            </w:pPr>
            <w:r>
              <w:rPr/>
              <w:t> </w:t>
            </w:r>
          </w:p>
        </w:tc>
        <w:tc>
          <w:tcPr>
            <w:tcW w:w="206" w:type="dxa"/>
            <w:tcBorders/>
            <w:shd w:fill="E5FFFF" w:val="clear"/>
            <w:vAlign w:val="center"/>
          </w:tcPr>
          <w:p>
            <w:pPr>
              <w:pStyle w:val="TableContents"/>
              <w:spacing w:before="0" w:after="283"/>
              <w:rPr/>
            </w:pPr>
            <w:r>
              <w:rPr/>
              <w:t> </w:t>
            </w:r>
          </w:p>
        </w:tc>
        <w:tc>
          <w:tcPr>
            <w:tcW w:w="822" w:type="dxa"/>
            <w:tcBorders/>
            <w:shd w:fill="E5FFFF" w:val="clear"/>
            <w:vAlign w:val="center"/>
          </w:tcPr>
          <w:p>
            <w:pPr>
              <w:pStyle w:val="TableContents"/>
              <w:spacing w:before="0" w:after="283"/>
              <w:rPr/>
            </w:pPr>
            <w:r>
              <w:rPr/>
              <w:t> </w:t>
            </w:r>
          </w:p>
        </w:tc>
        <w:tc>
          <w:tcPr>
            <w:tcW w:w="80"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5000" w:type="dxa"/>
            <w:tcBorders/>
            <w:shd w:fill="FFFFFF" w:val="clear"/>
            <w:vAlign w:val="bottom"/>
          </w:tcPr>
          <w:p>
            <w:pPr>
              <w:pStyle w:val="TableContents"/>
              <w:spacing w:before="0" w:after="283"/>
              <w:rPr>
                <w:sz w:val="4"/>
                <w:szCs w:val="4"/>
              </w:rPr>
            </w:pPr>
            <w:r>
              <w:rPr>
                <w:sz w:val="4"/>
                <w:szCs w:val="4"/>
              </w:rPr>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Specialty Materials sales increased by 43 percent in 2006 compared to 2005 due to organic sales growth of 7 percent and 36 percent growth due to our UOP acquisition, net of divestitures. Sales decreased by 8 percent in 2005 compared with 2004, due to the loss of sales from divested businesses of 16 percent, which was offset by organic growth of 4 percent and growth from acquisitions (UOP) of 4 percent.</w:t>
      </w:r>
    </w:p>
    <w:p>
      <w:pPr>
        <w:pStyle w:val="TextBody"/>
        <w:jc w:val="left"/>
        <w:rPr/>
      </w:pPr>
      <w:r>
        <w:rPr/>
        <w:t>      </w:t>
      </w:r>
      <w:r>
        <w:rPr>
          <w:rFonts w:ascii="Arial" w:hAnsi="Arial"/>
        </w:rPr>
        <w:t>Organic growth was 7 percent in 2006 primarily due to higher volume and prices. Organic sales in our Fluorine Products business increased by 9 percent due to continued strong demand for non-ozone depleting HFC products, and organic growth in our Resins and Chemicals business was 4 percent, primarily due to price increases to recover increased raw material costs. Both of these businesses experienced lower sales growth in the fourth quarter of 2006 due to the slowdown in the US residential housing industry. Our Resins and Chemicals business was also negatively impacted by a partial facility outage in the second half of 2006. Specialty Products organic sales increased by 10 percent due to higher sales to our customers in the semiconductor industry and increased sales of our specialty additives and our advanced fiber body armor. In 2005, organic sales increased by 4 percent, largely as a result of higher prices of 7 percent primarily in our Resins and Chemicals and Fluorine businesses, offsetting lower volumes in Specialty Products businesses.</w:t>
      </w:r>
    </w:p>
    <w:p>
      <w:pPr>
        <w:pStyle w:val="TextBody"/>
        <w:jc w:val="left"/>
        <w:rPr/>
      </w:pPr>
      <w:r>
        <w:rPr/>
        <w:t>      </w:t>
      </w:r>
      <w:r>
        <w:rPr>
          <w:rFonts w:ascii="Arial" w:hAnsi="Arial"/>
        </w:rPr>
        <w:t>Sales from acquisitions, net of divestitures grew by 36 percent in 2006 compared to 2005. This was due to a 44 percent growth in sales from UOP, which was consolidated into the Specialty Materials segment following our acquisition of the remaining 50 percent interest in UOP in November 2005. Prior to that date, UOP results were included in other income. UOP sales have grown due to continued strength in the petrochemical and refining industries. This growth was offset by the loss of sales of 8 percent principally from the divestiture of our Industrial Wax and North American Nylon Fiber businesses.</w:t>
      </w:r>
    </w:p>
    <w:p>
      <w:pPr>
        <w:pStyle w:val="TextBody"/>
        <w:jc w:val="left"/>
        <w:rPr/>
      </w:pPr>
      <w:r>
        <w:rPr/>
        <w:t>      </w:t>
      </w:r>
      <w:r>
        <w:rPr>
          <w:rFonts w:ascii="Arial" w:hAnsi="Arial"/>
        </w:rPr>
        <w:t>Specialty Materials segment profit increased by 121 percent in 2006 compared with 2005 due principally to the impact of the UOP acquisition, net of divestitures, and increased organic growth and productivity savings (net of the lost margin from the partial facility outage). Price increases (including benefits from formula based pricing contracts) offset the impact of continued inflation in raw material costs. Specialty Materials segment profit in 2005 increased by 40 percent compared with 2004 due principally to price increases and the favorable effect of productivity actions partially offset by higher raw material costs and lower sales volumes.</w:t>
      </w:r>
    </w:p>
    <w:p>
      <w:pPr>
        <w:pStyle w:val="TextBody"/>
        <w:jc w:val="center"/>
        <w:rPr>
          <w:rFonts w:ascii="Arial" w:hAnsi="Arial"/>
        </w:rPr>
      </w:pPr>
      <w:r>
        <w:rPr>
          <w:rFonts w:ascii="Arial" w:hAnsi="Arial"/>
        </w:rPr>
        <w:t>28</w:t>
      </w:r>
    </w:p>
    <w:p>
      <w:pPr>
        <w:pStyle w:val="HorizontalLine"/>
        <w:pBdr>
          <w:bottom w:val="single" w:sz="20" w:space="0" w:color="000000"/>
        </w:pBdr>
        <w:rPr/>
      </w:pPr>
      <w:r>
        <w:rPr/>
      </w:r>
      <w:r>
        <w:br w:type="page"/>
      </w:r>
    </w:p>
    <w:p>
      <w:pPr>
        <w:pStyle w:val="TextBody"/>
        <w:jc w:val="left"/>
        <w:rPr/>
      </w:pPr>
      <w:r>
        <w:rPr/>
        <w:t>      </w:t>
      </w:r>
      <w:r>
        <w:rPr>
          <w:rFonts w:ascii="Arial" w:hAnsi="Arial"/>
          <w:b/>
        </w:rPr>
        <w:t>2007 Areas of Focus</w:t>
      </w:r>
    </w:p>
    <w:p>
      <w:pPr>
        <w:pStyle w:val="TextBody"/>
        <w:jc w:val="left"/>
        <w:rPr/>
      </w:pPr>
      <w:r>
        <w:rPr/>
        <w:t>      </w:t>
      </w:r>
      <w:r>
        <w:rPr>
          <w:rFonts w:ascii="Arial" w:hAnsi="Arial"/>
        </w:rPr>
        <w:t>Specialty Materials primary areas of focus for 2007 include:</w:t>
      </w:r>
    </w:p>
    <w:tbl>
      <w:tblPr>
        <w:tblW w:w="5000" w:type="pct"/>
        <w:jc w:val="left"/>
        <w:tblInd w:w="0" w:type="dxa"/>
        <w:tblCellMar>
          <w:top w:w="0" w:type="dxa"/>
          <w:left w:w="0" w:type="dxa"/>
          <w:bottom w:w="0" w:type="dxa"/>
          <w:right w:w="0" w:type="dxa"/>
        </w:tblCellMar>
      </w:tblPr>
      <w:tblGrid>
        <w:gridCol w:w="359"/>
        <w:gridCol w:w="174"/>
        <w:gridCol w:w="9672"/>
      </w:tblGrid>
      <w:tr>
        <w:trPr/>
        <w:tc>
          <w:tcPr>
            <w:tcW w:w="359" w:type="dxa"/>
            <w:tcBorders/>
            <w:shd w:fill="FFFFFF" w:val="clear"/>
          </w:tcPr>
          <w:p>
            <w:pPr>
              <w:pStyle w:val="TableContents"/>
              <w:spacing w:before="0" w:after="283"/>
              <w:rPr>
                <w:sz w:val="4"/>
                <w:szCs w:val="4"/>
              </w:rPr>
            </w:pPr>
            <w:r>
              <w:rPr>
                <w:sz w:val="4"/>
                <w:szCs w:val="4"/>
              </w:rPr>
            </w:r>
          </w:p>
        </w:tc>
        <w:tc>
          <w:tcPr>
            <w:tcW w:w="174" w:type="dxa"/>
            <w:tcBorders/>
            <w:shd w:fill="FFFFFF" w:val="clear"/>
          </w:tcPr>
          <w:p>
            <w:pPr>
              <w:pStyle w:val="TableContents"/>
              <w:spacing w:before="0" w:after="283"/>
              <w:jc w:val="left"/>
              <w:rPr/>
            </w:pPr>
            <w:r>
              <w:rPr/>
              <w:t>•</w:t>
            </w:r>
          </w:p>
        </w:tc>
        <w:tc>
          <w:tcPr>
            <w:tcW w:w="9672" w:type="dxa"/>
            <w:tcBorders/>
            <w:shd w:fill="FFFFFF" w:val="clear"/>
          </w:tcPr>
          <w:p>
            <w:pPr>
              <w:pStyle w:val="TableContents"/>
              <w:spacing w:before="0" w:after="283"/>
              <w:jc w:val="left"/>
              <w:rPr>
                <w:rFonts w:ascii="Arial" w:hAnsi="Arial"/>
              </w:rPr>
            </w:pPr>
            <w:r>
              <w:rPr>
                <w:rFonts w:ascii="Arial" w:hAnsi="Arial"/>
              </w:rPr>
              <w:t>Increasing resources and market penetration in Asia;</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4" w:type="dxa"/>
            <w:tcBorders/>
            <w:shd w:fill="FFFFFF" w:val="clear"/>
          </w:tcPr>
          <w:p>
            <w:pPr>
              <w:pStyle w:val="TableContents"/>
              <w:spacing w:before="0" w:after="283"/>
              <w:jc w:val="left"/>
              <w:rPr/>
            </w:pPr>
            <w:r>
              <w:rPr/>
              <w:t>•</w:t>
            </w:r>
          </w:p>
        </w:tc>
        <w:tc>
          <w:tcPr>
            <w:tcW w:w="9672" w:type="dxa"/>
            <w:tcBorders/>
            <w:shd w:fill="FFFFFF" w:val="clear"/>
          </w:tcPr>
          <w:p>
            <w:pPr>
              <w:pStyle w:val="TableContents"/>
              <w:spacing w:before="0" w:after="283"/>
              <w:jc w:val="left"/>
              <w:rPr>
                <w:rFonts w:ascii="Arial" w:hAnsi="Arial"/>
              </w:rPr>
            </w:pPr>
            <w:r>
              <w:rPr>
                <w:rFonts w:ascii="Arial" w:hAnsi="Arial"/>
              </w:rPr>
              <w:t>Developing new products that address energy efficiency, global warming and security regulations;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4" w:type="dxa"/>
            <w:tcBorders/>
            <w:shd w:fill="FFFFFF" w:val="clear"/>
          </w:tcPr>
          <w:p>
            <w:pPr>
              <w:pStyle w:val="TableContents"/>
              <w:spacing w:before="0" w:after="283"/>
              <w:jc w:val="left"/>
              <w:rPr/>
            </w:pPr>
            <w:r>
              <w:rPr/>
              <w:t>•</w:t>
            </w:r>
          </w:p>
        </w:tc>
        <w:tc>
          <w:tcPr>
            <w:tcW w:w="9672" w:type="dxa"/>
            <w:tcBorders/>
            <w:shd w:fill="FFFFFF" w:val="clear"/>
          </w:tcPr>
          <w:p>
            <w:pPr>
              <w:pStyle w:val="TableContents"/>
              <w:spacing w:before="0" w:after="283"/>
              <w:jc w:val="left"/>
              <w:rPr>
                <w:rFonts w:ascii="Arial" w:hAnsi="Arial"/>
              </w:rPr>
            </w:pPr>
            <w:r>
              <w:rPr>
                <w:rFonts w:ascii="Arial" w:hAnsi="Arial"/>
              </w:rPr>
              <w:t>Increasing product differentiation in order to continue to expand margins;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4" w:type="dxa"/>
            <w:tcBorders/>
            <w:shd w:fill="FFFFFF" w:val="clear"/>
          </w:tcPr>
          <w:p>
            <w:pPr>
              <w:pStyle w:val="TableContents"/>
              <w:spacing w:before="0" w:after="283"/>
              <w:jc w:val="left"/>
              <w:rPr/>
            </w:pPr>
            <w:r>
              <w:rPr/>
              <w:t>•</w:t>
            </w:r>
          </w:p>
        </w:tc>
        <w:tc>
          <w:tcPr>
            <w:tcW w:w="9672" w:type="dxa"/>
            <w:tcBorders/>
            <w:shd w:fill="FFFFFF" w:val="clear"/>
          </w:tcPr>
          <w:p>
            <w:pPr>
              <w:pStyle w:val="TableContents"/>
              <w:spacing w:before="0" w:after="283"/>
              <w:jc w:val="left"/>
              <w:rPr>
                <w:rFonts w:ascii="Arial" w:hAnsi="Arial"/>
              </w:rPr>
            </w:pPr>
            <w:r>
              <w:rPr>
                <w:rFonts w:ascii="Arial" w:hAnsi="Arial"/>
              </w:rPr>
              <w:t>Continued contract wins in the petrochemical and refining industries.</w:t>
            </w:r>
          </w:p>
        </w:tc>
      </w:tr>
    </w:tbl>
    <w:p>
      <w:pPr>
        <w:pStyle w:val="TextBody"/>
        <w:jc w:val="left"/>
        <w:rPr>
          <w:rFonts w:ascii="Arial" w:hAnsi="Arial"/>
          <w:b/>
        </w:rPr>
      </w:pPr>
      <w:r>
        <w:rPr>
          <w:rFonts w:ascii="Arial" w:hAnsi="Arial"/>
          <w:b/>
        </w:rPr>
        <w:t>Transportation Systems</w:t>
      </w:r>
    </w:p>
    <w:p>
      <w:pPr>
        <w:pStyle w:val="TextBody"/>
        <w:jc w:val="left"/>
        <w:rPr/>
      </w:pPr>
      <w:r>
        <w:rPr/>
        <w:t>      </w:t>
      </w:r>
      <w:r>
        <w:rPr>
          <w:rFonts w:ascii="Arial" w:hAnsi="Arial"/>
          <w:b/>
        </w:rPr>
        <w:t>Overview</w:t>
      </w:r>
    </w:p>
    <w:p>
      <w:pPr>
        <w:pStyle w:val="TextBody"/>
        <w:jc w:val="left"/>
        <w:rPr/>
      </w:pPr>
      <w:r>
        <w:rPr/>
        <w:t>      </w:t>
      </w:r>
      <w:r>
        <w:rPr>
          <w:rFonts w:ascii="Arial" w:hAnsi="Arial"/>
        </w:rPr>
        <w:t>Transportation Systems provides automotive products that improve the performance, efficiency, and appearance of cars, trucks, and other vehicles through state-of-the-art technologies, world class brands and global solutions to customers needs. Transportation Systems' products include Garrett(R) turbochargers and charge-air and thermal systems; car care products including anti-freeze (Prestone(R)), filters (Fram(R)), spark plugs (Autolite(R)), and cleaners, waxes and additives (Holts(R)); and brake hard parts and other friction materials (Bendix(R) and Jurid(R)). Transportation Systems sells its products to OE automotive and truck manufacturers (e.g., BMW, Caterpillar, Daimler-Chrysler, Ford, and Volkswagen), wholesalers and distributors and through the retail aftermarket.</w:t>
      </w:r>
    </w:p>
    <w:p>
      <w:pPr>
        <w:pStyle w:val="TextBody"/>
        <w:jc w:val="left"/>
        <w:rPr/>
      </w:pPr>
      <w:r>
        <w:rPr/>
        <w:t>      </w:t>
      </w:r>
      <w:r>
        <w:rPr>
          <w:rFonts w:ascii="Arial" w:hAnsi="Arial"/>
          <w:b/>
        </w:rPr>
        <w:t>Economic and Other Factors</w:t>
      </w:r>
    </w:p>
    <w:p>
      <w:pPr>
        <w:pStyle w:val="TextBody"/>
        <w:jc w:val="left"/>
        <w:rPr/>
      </w:pPr>
      <w:r>
        <w:rPr/>
        <w:t>      </w:t>
      </w:r>
      <w:r>
        <w:rPr>
          <w:rFonts w:ascii="Arial" w:hAnsi="Arial"/>
        </w:rPr>
        <w:t>Transportation Systems operating results are principally driven by:</w:t>
      </w:r>
    </w:p>
    <w:tbl>
      <w:tblPr>
        <w:tblW w:w="5000" w:type="pct"/>
        <w:jc w:val="left"/>
        <w:tblInd w:w="0" w:type="dxa"/>
        <w:tblCellMar>
          <w:top w:w="0" w:type="dxa"/>
          <w:left w:w="0" w:type="dxa"/>
          <w:bottom w:w="0" w:type="dxa"/>
          <w:right w:w="0" w:type="dxa"/>
        </w:tblCellMar>
      </w:tblPr>
      <w:tblGrid>
        <w:gridCol w:w="359"/>
        <w:gridCol w:w="175"/>
        <w:gridCol w:w="9671"/>
      </w:tblGrid>
      <w:tr>
        <w:trPr/>
        <w:tc>
          <w:tcPr>
            <w:tcW w:w="359" w:type="dxa"/>
            <w:tcBorders/>
            <w:shd w:fill="FFFFFF" w:val="clear"/>
          </w:tcPr>
          <w:p>
            <w:pPr>
              <w:pStyle w:val="TableContents"/>
              <w:spacing w:before="0" w:after="283"/>
              <w:rPr>
                <w:sz w:val="4"/>
                <w:szCs w:val="4"/>
              </w:rPr>
            </w:pPr>
            <w:r>
              <w:rPr>
                <w:sz w:val="4"/>
                <w:szCs w:val="4"/>
              </w:rPr>
            </w:r>
          </w:p>
        </w:tc>
        <w:tc>
          <w:tcPr>
            <w:tcW w:w="175" w:type="dxa"/>
            <w:tcBorders/>
            <w:shd w:fill="FFFFFF" w:val="clear"/>
          </w:tcPr>
          <w:p>
            <w:pPr>
              <w:pStyle w:val="TableContents"/>
              <w:spacing w:before="0" w:after="283"/>
              <w:jc w:val="left"/>
              <w:rPr/>
            </w:pPr>
            <w:r>
              <w:rPr/>
              <w:t>•</w:t>
            </w:r>
          </w:p>
        </w:tc>
        <w:tc>
          <w:tcPr>
            <w:tcW w:w="9671" w:type="dxa"/>
            <w:tcBorders/>
            <w:shd w:fill="FFFFFF" w:val="clear"/>
          </w:tcPr>
          <w:p>
            <w:pPr>
              <w:pStyle w:val="TableContents"/>
              <w:spacing w:before="0" w:after="283"/>
              <w:jc w:val="left"/>
              <w:rPr>
                <w:rFonts w:ascii="Arial" w:hAnsi="Arial"/>
              </w:rPr>
            </w:pPr>
            <w:r>
              <w:rPr>
                <w:rFonts w:ascii="Arial" w:hAnsi="Arial"/>
              </w:rPr>
              <w:t>Global demand for automobile and truck production;</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5" w:type="dxa"/>
            <w:tcBorders/>
            <w:shd w:fill="FFFFFF" w:val="clear"/>
          </w:tcPr>
          <w:p>
            <w:pPr>
              <w:pStyle w:val="TableContents"/>
              <w:spacing w:before="0" w:after="283"/>
              <w:jc w:val="left"/>
              <w:rPr/>
            </w:pPr>
            <w:r>
              <w:rPr/>
              <w:t>•</w:t>
            </w:r>
          </w:p>
        </w:tc>
        <w:tc>
          <w:tcPr>
            <w:tcW w:w="9671" w:type="dxa"/>
            <w:tcBorders/>
            <w:shd w:fill="FFFFFF" w:val="clear"/>
          </w:tcPr>
          <w:p>
            <w:pPr>
              <w:pStyle w:val="TableContents"/>
              <w:spacing w:before="0" w:after="283"/>
              <w:jc w:val="left"/>
              <w:rPr>
                <w:rFonts w:ascii="Arial" w:hAnsi="Arial"/>
              </w:rPr>
            </w:pPr>
            <w:r>
              <w:rPr>
                <w:rFonts w:ascii="Arial" w:hAnsi="Arial"/>
              </w:rPr>
              <w:t>Diesel penetration rates for new platforms;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5" w:type="dxa"/>
            <w:tcBorders/>
            <w:shd w:fill="FFFFFF" w:val="clear"/>
          </w:tcPr>
          <w:p>
            <w:pPr>
              <w:pStyle w:val="TableContents"/>
              <w:spacing w:before="0" w:after="283"/>
              <w:jc w:val="left"/>
              <w:rPr/>
            </w:pPr>
            <w:r>
              <w:rPr/>
              <w:t>•</w:t>
            </w:r>
          </w:p>
        </w:tc>
        <w:tc>
          <w:tcPr>
            <w:tcW w:w="9671" w:type="dxa"/>
            <w:tcBorders/>
            <w:shd w:fill="FFFFFF" w:val="clear"/>
          </w:tcPr>
          <w:p>
            <w:pPr>
              <w:pStyle w:val="TableContents"/>
              <w:spacing w:before="0" w:after="283"/>
              <w:jc w:val="left"/>
              <w:rPr>
                <w:rFonts w:ascii="Arial" w:hAnsi="Arial"/>
              </w:rPr>
            </w:pPr>
            <w:r>
              <w:rPr>
                <w:rFonts w:ascii="Arial" w:hAnsi="Arial"/>
              </w:rPr>
              <w:t>Global consumer preferences for diesel passenger cars;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5" w:type="dxa"/>
            <w:tcBorders/>
            <w:shd w:fill="FFFFFF" w:val="clear"/>
          </w:tcPr>
          <w:p>
            <w:pPr>
              <w:pStyle w:val="TableContents"/>
              <w:spacing w:before="0" w:after="283"/>
              <w:jc w:val="left"/>
              <w:rPr/>
            </w:pPr>
            <w:r>
              <w:rPr/>
              <w:t>•</w:t>
            </w:r>
          </w:p>
        </w:tc>
        <w:tc>
          <w:tcPr>
            <w:tcW w:w="9671" w:type="dxa"/>
            <w:tcBorders/>
            <w:shd w:fill="FFFFFF" w:val="clear"/>
          </w:tcPr>
          <w:p>
            <w:pPr>
              <w:pStyle w:val="TableContents"/>
              <w:spacing w:before="0" w:after="283"/>
              <w:jc w:val="left"/>
              <w:rPr>
                <w:rFonts w:ascii="Arial" w:hAnsi="Arial"/>
              </w:rPr>
            </w:pPr>
            <w:r>
              <w:rPr>
                <w:rFonts w:ascii="Arial" w:hAnsi="Arial"/>
              </w:rPr>
              <w:t>Demand for North American truck production in conjunction with new lower emission regulations;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5" w:type="dxa"/>
            <w:tcBorders/>
            <w:shd w:fill="FFFFFF" w:val="clear"/>
          </w:tcPr>
          <w:p>
            <w:pPr>
              <w:pStyle w:val="TableContents"/>
              <w:spacing w:before="0" w:after="283"/>
              <w:jc w:val="left"/>
              <w:rPr/>
            </w:pPr>
            <w:r>
              <w:rPr/>
              <w:t>•</w:t>
            </w:r>
          </w:p>
        </w:tc>
        <w:tc>
          <w:tcPr>
            <w:tcW w:w="9671" w:type="dxa"/>
            <w:tcBorders/>
            <w:shd w:fill="FFFFFF" w:val="clear"/>
          </w:tcPr>
          <w:p>
            <w:pPr>
              <w:pStyle w:val="TableContents"/>
              <w:spacing w:before="0" w:after="283"/>
              <w:jc w:val="left"/>
              <w:rPr>
                <w:rFonts w:ascii="Arial" w:hAnsi="Arial"/>
              </w:rPr>
            </w:pPr>
            <w:r>
              <w:rPr>
                <w:rFonts w:ascii="Arial" w:hAnsi="Arial"/>
              </w:rPr>
              <w:t>The degree of volatility in raw material prices including nickel and steel;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75" w:type="dxa"/>
            <w:tcBorders/>
            <w:shd w:fill="FFFFFF" w:val="clear"/>
          </w:tcPr>
          <w:p>
            <w:pPr>
              <w:pStyle w:val="TableContents"/>
              <w:spacing w:before="0" w:after="283"/>
              <w:jc w:val="left"/>
              <w:rPr/>
            </w:pPr>
            <w:r>
              <w:rPr/>
              <w:t>•</w:t>
            </w:r>
          </w:p>
        </w:tc>
        <w:tc>
          <w:tcPr>
            <w:tcW w:w="9671" w:type="dxa"/>
            <w:tcBorders/>
            <w:shd w:fill="FFFFFF" w:val="clear"/>
          </w:tcPr>
          <w:p>
            <w:pPr>
              <w:pStyle w:val="TableContents"/>
              <w:spacing w:before="0" w:after="283"/>
              <w:jc w:val="left"/>
              <w:rPr>
                <w:rFonts w:ascii="Arial" w:hAnsi="Arial"/>
              </w:rPr>
            </w:pPr>
            <w:r>
              <w:rPr>
                <w:rFonts w:ascii="Arial" w:hAnsi="Arial"/>
              </w:rPr>
              <w:t>Changes in consumer spending for automotive aftermarket and car care products.</w:t>
            </w:r>
          </w:p>
        </w:tc>
      </w:tr>
    </w:tbl>
    <w:p>
      <w:pPr>
        <w:pStyle w:val="TextBody"/>
        <w:jc w:val="left"/>
        <w:rPr/>
      </w:pPr>
      <w:r>
        <w:rPr/>
        <w:t>      </w:t>
      </w:r>
      <w:r>
        <w:rPr>
          <w:rFonts w:ascii="Arial" w:hAnsi="Arial"/>
          <w:b/>
        </w:rPr>
        <w:t>Results of Operations</w:t>
      </w:r>
    </w:p>
    <w:tbl>
      <w:tblPr>
        <w:tblW w:w="5000" w:type="pct"/>
        <w:jc w:val="left"/>
        <w:tblInd w:w="0" w:type="dxa"/>
        <w:tblCellMar>
          <w:top w:w="0" w:type="dxa"/>
          <w:left w:w="0" w:type="dxa"/>
          <w:bottom w:w="0" w:type="dxa"/>
          <w:right w:w="0" w:type="dxa"/>
        </w:tblCellMar>
      </w:tblPr>
      <w:tblGrid>
        <w:gridCol w:w="477"/>
        <w:gridCol w:w="5000"/>
        <w:gridCol w:w="318"/>
        <w:gridCol w:w="206"/>
        <w:gridCol w:w="822"/>
        <w:gridCol w:w="305"/>
        <w:gridCol w:w="318"/>
        <w:gridCol w:w="206"/>
        <w:gridCol w:w="822"/>
        <w:gridCol w:w="305"/>
        <w:gridCol w:w="318"/>
        <w:gridCol w:w="206"/>
        <w:gridCol w:w="822"/>
        <w:gridCol w:w="80"/>
      </w:tblGrid>
      <w:tr>
        <w:trPr/>
        <w:tc>
          <w:tcPr>
            <w:tcW w:w="477" w:type="dxa"/>
            <w:tcBorders/>
            <w:shd w:fill="FFFFFF" w:val="clear"/>
            <w:vAlign w:val="center"/>
          </w:tcPr>
          <w:p>
            <w:pPr>
              <w:pStyle w:val="TableContents"/>
              <w:spacing w:before="0" w:after="283"/>
              <w:rPr/>
            </w:pPr>
            <w:r>
              <w:rPr/>
              <w:t> </w:t>
            </w:r>
          </w:p>
        </w:tc>
        <w:tc>
          <w:tcPr>
            <w:tcW w:w="500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333"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33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108"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77" w:type="dxa"/>
            <w:tcBorders/>
            <w:shd w:fill="FFFFFF" w:val="clear"/>
            <w:vAlign w:val="center"/>
          </w:tcPr>
          <w:p>
            <w:pPr>
              <w:pStyle w:val="TableContents"/>
              <w:spacing w:before="0" w:after="283"/>
              <w:rPr/>
            </w:pPr>
            <w:r>
              <w:rPr/>
              <w:t> </w:t>
            </w:r>
          </w:p>
        </w:tc>
        <w:tc>
          <w:tcPr>
            <w:tcW w:w="500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4410"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77" w:type="dxa"/>
            <w:tcBorders/>
            <w:shd w:fill="E5FFFF" w:val="clear"/>
            <w:vAlign w:val="bottom"/>
          </w:tcPr>
          <w:p>
            <w:pPr>
              <w:pStyle w:val="TableContents"/>
              <w:spacing w:before="0" w:after="283"/>
              <w:jc w:val="left"/>
              <w:rPr/>
            </w:pPr>
            <w:r>
              <w:rPr/>
              <w:t>      </w:t>
            </w:r>
          </w:p>
        </w:tc>
        <w:tc>
          <w:tcPr>
            <w:tcW w:w="5000" w:type="dxa"/>
            <w:tcBorders/>
            <w:shd w:fill="E5FFFF" w:val="clear"/>
            <w:vAlign w:val="bottom"/>
          </w:tcPr>
          <w:p>
            <w:pPr>
              <w:pStyle w:val="TableContents"/>
              <w:spacing w:before="0" w:after="283"/>
              <w:jc w:val="left"/>
              <w:rPr>
                <w:rFonts w:ascii="Arial" w:hAnsi="Arial"/>
              </w:rPr>
            </w:pPr>
            <w:r>
              <w:rPr>
                <w:rFonts w:ascii="Arial" w:hAnsi="Arial"/>
              </w:rPr>
              <w:t>Net sales</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bottom"/>
          </w:tcPr>
          <w:p>
            <w:pPr>
              <w:pStyle w:val="TableContents"/>
              <w:spacing w:before="0" w:after="283"/>
              <w:jc w:val="right"/>
              <w:rPr>
                <w:rFonts w:ascii="Arial" w:hAnsi="Arial"/>
              </w:rPr>
            </w:pPr>
            <w:r>
              <w:rPr>
                <w:rFonts w:ascii="Arial" w:hAnsi="Arial"/>
              </w:rPr>
              <w:t>$</w:t>
            </w:r>
          </w:p>
        </w:tc>
        <w:tc>
          <w:tcPr>
            <w:tcW w:w="822" w:type="dxa"/>
            <w:tcBorders/>
            <w:shd w:fill="E5FFFF" w:val="clear"/>
            <w:vAlign w:val="bottom"/>
          </w:tcPr>
          <w:p>
            <w:pPr>
              <w:pStyle w:val="TableContents"/>
              <w:spacing w:before="0" w:after="283"/>
              <w:jc w:val="right"/>
              <w:rPr>
                <w:rFonts w:ascii="Arial" w:hAnsi="Arial"/>
              </w:rPr>
            </w:pPr>
            <w:r>
              <w:rPr>
                <w:rFonts w:ascii="Arial" w:hAnsi="Arial"/>
              </w:rPr>
              <w:t>4,592</w:t>
            </w:r>
          </w:p>
        </w:tc>
        <w:tc>
          <w:tcPr>
            <w:tcW w:w="305"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bottom"/>
          </w:tcPr>
          <w:p>
            <w:pPr>
              <w:pStyle w:val="TableContents"/>
              <w:spacing w:before="0" w:after="283"/>
              <w:jc w:val="right"/>
              <w:rPr>
                <w:rFonts w:ascii="Arial" w:hAnsi="Arial"/>
              </w:rPr>
            </w:pPr>
            <w:r>
              <w:rPr>
                <w:rFonts w:ascii="Arial" w:hAnsi="Arial"/>
              </w:rPr>
              <w:t>$</w:t>
            </w:r>
          </w:p>
        </w:tc>
        <w:tc>
          <w:tcPr>
            <w:tcW w:w="822" w:type="dxa"/>
            <w:tcBorders/>
            <w:shd w:fill="E5FFFF" w:val="clear"/>
            <w:vAlign w:val="bottom"/>
          </w:tcPr>
          <w:p>
            <w:pPr>
              <w:pStyle w:val="TableContents"/>
              <w:spacing w:before="0" w:after="283"/>
              <w:jc w:val="right"/>
              <w:rPr>
                <w:rFonts w:ascii="Arial" w:hAnsi="Arial"/>
              </w:rPr>
            </w:pPr>
            <w:r>
              <w:rPr>
                <w:rFonts w:ascii="Arial" w:hAnsi="Arial"/>
              </w:rPr>
              <w:t>4,505</w:t>
            </w:r>
          </w:p>
        </w:tc>
        <w:tc>
          <w:tcPr>
            <w:tcW w:w="305"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bottom"/>
          </w:tcPr>
          <w:p>
            <w:pPr>
              <w:pStyle w:val="TableContents"/>
              <w:spacing w:before="0" w:after="283"/>
              <w:jc w:val="right"/>
              <w:rPr>
                <w:rFonts w:ascii="Arial" w:hAnsi="Arial"/>
              </w:rPr>
            </w:pPr>
            <w:r>
              <w:rPr>
                <w:rFonts w:ascii="Arial" w:hAnsi="Arial"/>
              </w:rPr>
              <w:t>$</w:t>
            </w:r>
          </w:p>
        </w:tc>
        <w:tc>
          <w:tcPr>
            <w:tcW w:w="822" w:type="dxa"/>
            <w:tcBorders/>
            <w:shd w:fill="E5FFFF" w:val="clear"/>
            <w:vAlign w:val="bottom"/>
          </w:tcPr>
          <w:p>
            <w:pPr>
              <w:pStyle w:val="TableContents"/>
              <w:spacing w:before="0" w:after="283"/>
              <w:jc w:val="right"/>
              <w:rPr>
                <w:rFonts w:ascii="Arial" w:hAnsi="Arial"/>
              </w:rPr>
            </w:pPr>
            <w:r>
              <w:rPr>
                <w:rFonts w:ascii="Arial" w:hAnsi="Arial"/>
              </w:rPr>
              <w:t>4,323</w:t>
            </w:r>
          </w:p>
        </w:tc>
        <w:tc>
          <w:tcPr>
            <w:tcW w:w="80"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5000"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bottom"/>
          </w:tcPr>
          <w:p>
            <w:pPr>
              <w:pStyle w:val="TableContents"/>
              <w:spacing w:before="0" w:after="283"/>
              <w:jc w:val="right"/>
              <w:rPr>
                <w:rFonts w:ascii="Arial" w:hAnsi="Arial"/>
              </w:rPr>
            </w:pPr>
            <w:r>
              <w:rPr>
                <w:rFonts w:ascii="Arial" w:hAnsi="Arial"/>
              </w:rPr>
              <w:t>2</w:t>
            </w:r>
          </w:p>
        </w:tc>
        <w:tc>
          <w:tcPr>
            <w:tcW w:w="305" w:type="dxa"/>
            <w:tcBorders/>
            <w:shd w:fill="FFFFFF" w:val="clear"/>
            <w:vAlign w:val="bottom"/>
          </w:tcPr>
          <w:p>
            <w:pPr>
              <w:pStyle w:val="TableContents"/>
              <w:spacing w:before="0" w:after="283"/>
              <w:jc w:val="left"/>
              <w:rPr>
                <w:rFonts w:ascii="Arial" w:hAnsi="Arial"/>
              </w:rPr>
            </w:pPr>
            <w:r>
              <w:rPr>
                <w:rFonts w:ascii="Arial" w:hAnsi="Arial"/>
              </w:rPr>
              <w:t>%</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bottom"/>
          </w:tcPr>
          <w:p>
            <w:pPr>
              <w:pStyle w:val="TableContents"/>
              <w:spacing w:before="0" w:after="283"/>
              <w:jc w:val="right"/>
              <w:rPr>
                <w:rFonts w:ascii="Arial" w:hAnsi="Arial"/>
              </w:rPr>
            </w:pPr>
            <w:r>
              <w:rPr>
                <w:rFonts w:ascii="Arial" w:hAnsi="Arial"/>
              </w:rPr>
              <w:t>4</w:t>
            </w:r>
          </w:p>
        </w:tc>
        <w:tc>
          <w:tcPr>
            <w:tcW w:w="305" w:type="dxa"/>
            <w:tcBorders/>
            <w:shd w:fill="FFFFFF" w:val="clear"/>
            <w:vAlign w:val="bottom"/>
          </w:tcPr>
          <w:p>
            <w:pPr>
              <w:pStyle w:val="TableContents"/>
              <w:spacing w:before="0" w:after="283"/>
              <w:jc w:val="left"/>
              <w:rPr>
                <w:rFonts w:ascii="Arial" w:hAnsi="Arial"/>
              </w:rPr>
            </w:pPr>
            <w:r>
              <w:rPr>
                <w:rFonts w:ascii="Arial" w:hAnsi="Arial"/>
              </w:rPr>
              <w:t>%</w:t>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5000" w:type="dxa"/>
            <w:tcBorders/>
            <w:shd w:fill="E5FFFF" w:val="clear"/>
            <w:vAlign w:val="bottom"/>
          </w:tcPr>
          <w:p>
            <w:pPr>
              <w:pStyle w:val="TableContents"/>
              <w:spacing w:before="0" w:after="283"/>
              <w:jc w:val="left"/>
              <w:rPr>
                <w:rFonts w:ascii="Arial" w:hAnsi="Arial"/>
              </w:rPr>
            </w:pPr>
            <w:r>
              <w:rPr>
                <w:rFonts w:ascii="Arial" w:hAnsi="Arial"/>
              </w:rPr>
              <w:t>Segment profit</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bottom"/>
          </w:tcPr>
          <w:p>
            <w:pPr>
              <w:pStyle w:val="TableContents"/>
              <w:spacing w:before="0" w:after="283"/>
              <w:jc w:val="right"/>
              <w:rPr>
                <w:rFonts w:ascii="Arial" w:hAnsi="Arial"/>
              </w:rPr>
            </w:pPr>
            <w:r>
              <w:rPr>
                <w:rFonts w:ascii="Arial" w:hAnsi="Arial"/>
              </w:rPr>
              <w:t>$</w:t>
            </w:r>
          </w:p>
        </w:tc>
        <w:tc>
          <w:tcPr>
            <w:tcW w:w="822" w:type="dxa"/>
            <w:tcBorders/>
            <w:shd w:fill="E5FFFF" w:val="clear"/>
            <w:vAlign w:val="bottom"/>
          </w:tcPr>
          <w:p>
            <w:pPr>
              <w:pStyle w:val="TableContents"/>
              <w:spacing w:before="0" w:after="283"/>
              <w:jc w:val="right"/>
              <w:rPr>
                <w:rFonts w:ascii="Arial" w:hAnsi="Arial"/>
              </w:rPr>
            </w:pPr>
            <w:r>
              <w:rPr>
                <w:rFonts w:ascii="Arial" w:hAnsi="Arial"/>
              </w:rPr>
              <w:t>574</w:t>
            </w:r>
          </w:p>
        </w:tc>
        <w:tc>
          <w:tcPr>
            <w:tcW w:w="305"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bottom"/>
          </w:tcPr>
          <w:p>
            <w:pPr>
              <w:pStyle w:val="TableContents"/>
              <w:spacing w:before="0" w:after="283"/>
              <w:jc w:val="right"/>
              <w:rPr>
                <w:rFonts w:ascii="Arial" w:hAnsi="Arial"/>
              </w:rPr>
            </w:pPr>
            <w:r>
              <w:rPr>
                <w:rFonts w:ascii="Arial" w:hAnsi="Arial"/>
              </w:rPr>
              <w:t>$</w:t>
            </w:r>
          </w:p>
        </w:tc>
        <w:tc>
          <w:tcPr>
            <w:tcW w:w="822" w:type="dxa"/>
            <w:tcBorders/>
            <w:shd w:fill="E5FFFF" w:val="clear"/>
            <w:vAlign w:val="bottom"/>
          </w:tcPr>
          <w:p>
            <w:pPr>
              <w:pStyle w:val="TableContents"/>
              <w:spacing w:before="0" w:after="283"/>
              <w:jc w:val="right"/>
              <w:rPr>
                <w:rFonts w:ascii="Arial" w:hAnsi="Arial"/>
              </w:rPr>
            </w:pPr>
            <w:r>
              <w:rPr>
                <w:rFonts w:ascii="Arial" w:hAnsi="Arial"/>
              </w:rPr>
              <w:t>557</w:t>
            </w:r>
          </w:p>
        </w:tc>
        <w:tc>
          <w:tcPr>
            <w:tcW w:w="305"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6" w:type="dxa"/>
            <w:tcBorders/>
            <w:shd w:fill="E5FFFF" w:val="clear"/>
            <w:vAlign w:val="bottom"/>
          </w:tcPr>
          <w:p>
            <w:pPr>
              <w:pStyle w:val="TableContents"/>
              <w:spacing w:before="0" w:after="283"/>
              <w:jc w:val="right"/>
              <w:rPr>
                <w:rFonts w:ascii="Arial" w:hAnsi="Arial"/>
              </w:rPr>
            </w:pPr>
            <w:r>
              <w:rPr>
                <w:rFonts w:ascii="Arial" w:hAnsi="Arial"/>
              </w:rPr>
              <w:t>$</w:t>
            </w:r>
          </w:p>
        </w:tc>
        <w:tc>
          <w:tcPr>
            <w:tcW w:w="822" w:type="dxa"/>
            <w:tcBorders/>
            <w:shd w:fill="E5FFFF" w:val="clear"/>
            <w:vAlign w:val="bottom"/>
          </w:tcPr>
          <w:p>
            <w:pPr>
              <w:pStyle w:val="TableContents"/>
              <w:spacing w:before="0" w:after="283"/>
              <w:jc w:val="right"/>
              <w:rPr>
                <w:rFonts w:ascii="Arial" w:hAnsi="Arial"/>
              </w:rPr>
            </w:pPr>
            <w:r>
              <w:rPr>
                <w:rFonts w:ascii="Arial" w:hAnsi="Arial"/>
              </w:rPr>
              <w:t>575</w:t>
            </w:r>
          </w:p>
        </w:tc>
        <w:tc>
          <w:tcPr>
            <w:tcW w:w="80"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5000" w:type="dxa"/>
            <w:tcBorders/>
            <w:shd w:fill="FFFFFF" w:val="clear"/>
            <w:vAlign w:val="bottom"/>
          </w:tcPr>
          <w:p>
            <w:pPr>
              <w:pStyle w:val="TableContents"/>
              <w:spacing w:before="0" w:after="283"/>
              <w:jc w:val="left"/>
              <w:rPr>
                <w:rFonts w:ascii="Arial" w:hAnsi="Arial"/>
              </w:rPr>
            </w:pPr>
            <w:r>
              <w:rPr>
                <w:rFonts w:ascii="Arial" w:hAnsi="Arial"/>
              </w:rPr>
              <w:t>% change compared with prior year</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bottom"/>
          </w:tcPr>
          <w:p>
            <w:pPr>
              <w:pStyle w:val="TableContents"/>
              <w:spacing w:before="0" w:after="283"/>
              <w:jc w:val="right"/>
              <w:rPr>
                <w:rFonts w:ascii="Arial" w:hAnsi="Arial"/>
              </w:rPr>
            </w:pPr>
            <w:r>
              <w:rPr>
                <w:rFonts w:ascii="Arial" w:hAnsi="Arial"/>
              </w:rPr>
              <w:t>3</w:t>
            </w:r>
          </w:p>
        </w:tc>
        <w:tc>
          <w:tcPr>
            <w:tcW w:w="305" w:type="dxa"/>
            <w:tcBorders/>
            <w:shd w:fill="FFFFFF" w:val="clear"/>
            <w:vAlign w:val="bottom"/>
          </w:tcPr>
          <w:p>
            <w:pPr>
              <w:pStyle w:val="TableContents"/>
              <w:spacing w:before="0" w:after="283"/>
              <w:jc w:val="left"/>
              <w:rPr>
                <w:rFonts w:ascii="Arial" w:hAnsi="Arial"/>
              </w:rPr>
            </w:pPr>
            <w:r>
              <w:rPr>
                <w:rFonts w:ascii="Arial" w:hAnsi="Arial"/>
              </w:rPr>
              <w:t>%</w:t>
            </w:r>
          </w:p>
        </w:tc>
        <w:tc>
          <w:tcPr>
            <w:tcW w:w="318" w:type="dxa"/>
            <w:tcBorders/>
            <w:shd w:fill="FFFFFF" w:val="clear"/>
            <w:vAlign w:val="bottom"/>
          </w:tcPr>
          <w:p>
            <w:pPr>
              <w:pStyle w:val="TableContents"/>
              <w:spacing w:before="0" w:after="283"/>
              <w:jc w:val="right"/>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bottom"/>
          </w:tcPr>
          <w:p>
            <w:pPr>
              <w:pStyle w:val="TableContents"/>
              <w:spacing w:before="0" w:after="283"/>
              <w:jc w:val="right"/>
              <w:rPr>
                <w:rFonts w:ascii="Arial" w:hAnsi="Arial"/>
              </w:rPr>
            </w:pPr>
            <w:r>
              <w:rPr>
                <w:rFonts w:ascii="Arial" w:hAnsi="Arial"/>
              </w:rPr>
              <w:t>(3)</w:t>
            </w:r>
          </w:p>
        </w:tc>
        <w:tc>
          <w:tcPr>
            <w:tcW w:w="305" w:type="dxa"/>
            <w:tcBorders/>
            <w:shd w:fill="FFFFFF" w:val="clear"/>
            <w:vAlign w:val="bottom"/>
          </w:tcPr>
          <w:p>
            <w:pPr>
              <w:pStyle w:val="TableContents"/>
              <w:spacing w:before="0" w:after="283"/>
              <w:jc w:val="left"/>
              <w:rPr>
                <w:rFonts w:ascii="Arial" w:hAnsi="Arial"/>
              </w:rPr>
            </w:pPr>
            <w:r>
              <w:rPr>
                <w:rFonts w:ascii="Arial" w:hAnsi="Arial"/>
              </w:rPr>
              <w:t>%</w:t>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5000" w:type="dxa"/>
            <w:tcBorders/>
            <w:shd w:fill="FFFFFF" w:val="clear"/>
            <w:vAlign w:val="bottom"/>
          </w:tcPr>
          <w:p>
            <w:pPr>
              <w:pStyle w:val="TableContents"/>
              <w:spacing w:before="0" w:after="283"/>
              <w:rPr>
                <w:sz w:val="4"/>
                <w:szCs w:val="4"/>
              </w:rPr>
            </w:pPr>
            <w:r>
              <w:rPr>
                <w:sz w:val="4"/>
                <w:szCs w:val="4"/>
              </w:rPr>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rPr/>
            </w:pPr>
            <w:r>
              <w:rPr/>
              <w:t> </w:t>
            </w:r>
          </w:p>
        </w:tc>
        <w:tc>
          <w:tcPr>
            <w:tcW w:w="82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Transportation Systems sales increased 2 percent in 2006 compared with 2005, primarily due to increased sales in our Turbo Technologies business, offset by lower sales in our Consumer Products Group. In 2005, sales increased by 4 percent compared with 2004 due primarily to favorable sales mix of 2 percent, the favorable effect of foreign exchange of 1 percent and the impact of higher prices of 1 percent.</w:t>
      </w:r>
    </w:p>
    <w:p>
      <w:pPr>
        <w:pStyle w:val="TextBody"/>
        <w:jc w:val="left"/>
        <w:rPr/>
      </w:pPr>
      <w:r>
        <w:rPr/>
        <w:t>      </w:t>
      </w:r>
      <w:r>
        <w:rPr>
          <w:rFonts w:ascii="Arial" w:hAnsi="Arial"/>
        </w:rPr>
        <w:t>Sales for our Turbo Technologies business were 6 percent higher in 2006 compared to 2005 primarily due to new product introductions in Europe and Asia, a slight increase in diesel penetration in Europe and relatively flat sales in the U.S. Sales were 5 percent higher in 2005 compared to 2004 due to higher volumes in our North American truck segment, offset by lower volumes in Europe due to a shift in consumer demand among automotive platforms partially offset by a slight increase in diesel penetration.</w:t>
      </w:r>
    </w:p>
    <w:p>
      <w:pPr>
        <w:pStyle w:val="TextBody"/>
        <w:jc w:val="left"/>
        <w:rPr/>
      </w:pPr>
      <w:r>
        <w:rPr/>
        <w:t>      </w:t>
      </w:r>
      <w:r>
        <w:rPr>
          <w:rFonts w:ascii="Arial" w:hAnsi="Arial"/>
        </w:rPr>
        <w:t>Sales for our Consumer Products Group business decreased by 4 percent in 2006 as a result of reduced consumer spending in North America on automotive aftermarket products and our exit of the North America Friction Materials OE business. Sales increased by 8 percent in 2005 compared to 2004</w:t>
      </w:r>
    </w:p>
    <w:p>
      <w:pPr>
        <w:pStyle w:val="TextBody"/>
        <w:jc w:val="center"/>
        <w:rPr>
          <w:rFonts w:ascii="Arial" w:hAnsi="Arial"/>
        </w:rPr>
      </w:pPr>
      <w:r>
        <w:rPr>
          <w:rFonts w:ascii="Arial" w:hAnsi="Arial"/>
        </w:rPr>
        <w:t>29</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largely due to higher prices, offset by the impact of our exit in late 2005 from the North American Friction Materials OE business.</w:t>
      </w:r>
    </w:p>
    <w:p>
      <w:pPr>
        <w:pStyle w:val="TextBody"/>
        <w:jc w:val="left"/>
        <w:rPr/>
      </w:pPr>
      <w:r>
        <w:rPr/>
        <w:t>      </w:t>
      </w:r>
      <w:r>
        <w:rPr>
          <w:rFonts w:ascii="Arial" w:hAnsi="Arial"/>
        </w:rPr>
        <w:t>Transportation Systems segment profit increased by 3 percent in 2006 compared with 2005 due primarily to increased Turbo Technologies volume and productivity savings including the benefits of prior year restructuring actions, which offset higher material and labor inflation and increased warranty expense. Transportation Systems segment profit in 2005 decreased by 3 percent compared with 2004 due primarily to the impact of higher raw material costs (mainly steel and nickel) and operating costs associated with the exit from North American Friction Materials OE business in late 2005, partially offset by the effects of higher prices and productivity actions.</w:t>
      </w:r>
    </w:p>
    <w:p>
      <w:pPr>
        <w:pStyle w:val="TextBody"/>
        <w:jc w:val="left"/>
        <w:rPr/>
      </w:pPr>
      <w:r>
        <w:rPr/>
        <w:t>      </w:t>
      </w:r>
      <w:r>
        <w:rPr>
          <w:rFonts w:ascii="Arial" w:hAnsi="Arial"/>
          <w:b/>
        </w:rPr>
        <w:t>2007 Areas of Focus</w:t>
      </w:r>
    </w:p>
    <w:p>
      <w:pPr>
        <w:pStyle w:val="TextBody"/>
        <w:jc w:val="left"/>
        <w:rPr/>
      </w:pPr>
      <w:r>
        <w:rPr/>
        <w:t>      </w:t>
      </w:r>
      <w:r>
        <w:rPr>
          <w:rFonts w:ascii="Arial" w:hAnsi="Arial"/>
        </w:rPr>
        <w:t>Transportation Systems primary areas of focus in 2007 include:</w:t>
      </w:r>
    </w:p>
    <w:tbl>
      <w:tblPr>
        <w:tblW w:w="5000" w:type="pct"/>
        <w:jc w:val="left"/>
        <w:tblInd w:w="0" w:type="dxa"/>
        <w:tblCellMar>
          <w:top w:w="0" w:type="dxa"/>
          <w:left w:w="0" w:type="dxa"/>
          <w:bottom w:w="0" w:type="dxa"/>
          <w:right w:w="0" w:type="dxa"/>
        </w:tblCellMar>
      </w:tblPr>
      <w:tblGrid>
        <w:gridCol w:w="359"/>
        <w:gridCol w:w="142"/>
        <w:gridCol w:w="9704"/>
      </w:tblGrid>
      <w:tr>
        <w:trPr/>
        <w:tc>
          <w:tcPr>
            <w:tcW w:w="359" w:type="dxa"/>
            <w:tcBorders/>
            <w:shd w:fill="FFFFFF" w:val="clear"/>
          </w:tcPr>
          <w:p>
            <w:pPr>
              <w:pStyle w:val="TableContents"/>
              <w:spacing w:before="0" w:after="283"/>
              <w:rPr>
                <w:sz w:val="4"/>
                <w:szCs w:val="4"/>
              </w:rPr>
            </w:pPr>
            <w:r>
              <w:rPr>
                <w:sz w:val="4"/>
                <w:szCs w:val="4"/>
              </w:rPr>
            </w:r>
          </w:p>
        </w:tc>
        <w:tc>
          <w:tcPr>
            <w:tcW w:w="142" w:type="dxa"/>
            <w:tcBorders/>
            <w:shd w:fill="FFFFFF" w:val="clear"/>
          </w:tcPr>
          <w:p>
            <w:pPr>
              <w:pStyle w:val="TableContents"/>
              <w:spacing w:before="0" w:after="283"/>
              <w:jc w:val="left"/>
              <w:rPr/>
            </w:pPr>
            <w:r>
              <w:rPr/>
              <w:t>•</w:t>
            </w:r>
          </w:p>
        </w:tc>
        <w:tc>
          <w:tcPr>
            <w:tcW w:w="9704" w:type="dxa"/>
            <w:tcBorders/>
            <w:shd w:fill="FFFFFF" w:val="clear"/>
          </w:tcPr>
          <w:p>
            <w:pPr>
              <w:pStyle w:val="TableContents"/>
              <w:spacing w:before="0" w:after="283"/>
              <w:jc w:val="left"/>
              <w:rPr>
                <w:rFonts w:ascii="Arial" w:hAnsi="Arial"/>
              </w:rPr>
            </w:pPr>
            <w:r>
              <w:rPr>
                <w:rFonts w:ascii="Arial" w:hAnsi="Arial"/>
              </w:rPr>
              <w:t>Sustaining superior turbocharger technology;</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2" w:type="dxa"/>
            <w:tcBorders/>
            <w:shd w:fill="FFFFFF" w:val="clear"/>
          </w:tcPr>
          <w:p>
            <w:pPr>
              <w:pStyle w:val="TableContents"/>
              <w:spacing w:before="0" w:after="283"/>
              <w:jc w:val="left"/>
              <w:rPr/>
            </w:pPr>
            <w:r>
              <w:rPr/>
              <w:t>•</w:t>
            </w:r>
          </w:p>
        </w:tc>
        <w:tc>
          <w:tcPr>
            <w:tcW w:w="9704" w:type="dxa"/>
            <w:tcBorders/>
            <w:shd w:fill="FFFFFF" w:val="clear"/>
          </w:tcPr>
          <w:p>
            <w:pPr>
              <w:pStyle w:val="TableContents"/>
              <w:spacing w:before="0" w:after="283"/>
              <w:jc w:val="left"/>
              <w:rPr>
                <w:rFonts w:ascii="Arial" w:hAnsi="Arial"/>
              </w:rPr>
            </w:pPr>
            <w:r>
              <w:rPr>
                <w:rFonts w:ascii="Arial" w:hAnsi="Arial"/>
              </w:rPr>
              <w:t>Increasing global market penetration and share of diesel and gasoline turbocharger OEM demand;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42" w:type="dxa"/>
            <w:tcBorders/>
            <w:shd w:fill="FFFFFF" w:val="clear"/>
          </w:tcPr>
          <w:p>
            <w:pPr>
              <w:pStyle w:val="TableContents"/>
              <w:spacing w:before="0" w:after="283"/>
              <w:jc w:val="left"/>
              <w:rPr/>
            </w:pPr>
            <w:r>
              <w:rPr/>
              <w:t>•</w:t>
            </w:r>
          </w:p>
        </w:tc>
        <w:tc>
          <w:tcPr>
            <w:tcW w:w="9704" w:type="dxa"/>
            <w:tcBorders/>
            <w:shd w:fill="FFFFFF" w:val="clear"/>
          </w:tcPr>
          <w:p>
            <w:pPr>
              <w:pStyle w:val="TableContents"/>
              <w:spacing w:before="0" w:after="283"/>
              <w:jc w:val="left"/>
              <w:rPr>
                <w:rFonts w:ascii="Arial" w:hAnsi="Arial"/>
              </w:rPr>
            </w:pPr>
            <w:r>
              <w:rPr>
                <w:rFonts w:ascii="Arial" w:hAnsi="Arial"/>
              </w:rPr>
              <w:t>Expanding and strengthening established strong product brands in our Consumer Products Group business, including expansion into new geographic and demographic segments.</w:t>
            </w:r>
          </w:p>
        </w:tc>
      </w:tr>
    </w:tbl>
    <w:p>
      <w:pPr>
        <w:pStyle w:val="TextBody"/>
        <w:jc w:val="left"/>
        <w:rPr>
          <w:rFonts w:ascii="Arial" w:hAnsi="Arial"/>
          <w:b/>
        </w:rPr>
      </w:pPr>
      <w:r>
        <w:rPr>
          <w:rFonts w:ascii="Arial" w:hAnsi="Arial"/>
          <w:b/>
        </w:rPr>
        <w:t>Repositioning and Other Charges</w:t>
      </w:r>
    </w:p>
    <w:p>
      <w:pPr>
        <w:pStyle w:val="TextBody"/>
        <w:jc w:val="left"/>
        <w:rPr/>
      </w:pPr>
      <w:r>
        <w:rPr/>
        <w:t>      </w:t>
      </w:r>
      <w:r>
        <w:rPr>
          <w:rFonts w:ascii="Arial" w:hAnsi="Arial"/>
        </w:rPr>
        <w:t>A summary of repositioning and other charges follows:</w:t>
      </w:r>
    </w:p>
    <w:tbl>
      <w:tblPr>
        <w:tblW w:w="5000" w:type="pct"/>
        <w:jc w:val="left"/>
        <w:tblInd w:w="0" w:type="dxa"/>
        <w:tblCellMar>
          <w:top w:w="0" w:type="dxa"/>
          <w:left w:w="0" w:type="dxa"/>
          <w:bottom w:w="0" w:type="dxa"/>
          <w:right w:w="0" w:type="dxa"/>
        </w:tblCellMar>
      </w:tblPr>
      <w:tblGrid>
        <w:gridCol w:w="4082"/>
        <w:gridCol w:w="271"/>
        <w:gridCol w:w="197"/>
        <w:gridCol w:w="1284"/>
        <w:gridCol w:w="144"/>
        <w:gridCol w:w="485"/>
        <w:gridCol w:w="197"/>
        <w:gridCol w:w="1284"/>
        <w:gridCol w:w="144"/>
        <w:gridCol w:w="485"/>
        <w:gridCol w:w="197"/>
        <w:gridCol w:w="1284"/>
        <w:gridCol w:w="151"/>
      </w:tblGrid>
      <w:tr>
        <w:trPr/>
        <w:tc>
          <w:tcPr>
            <w:tcW w:w="4082"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5852"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082"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162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62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63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082"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5852"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082" w:type="dxa"/>
            <w:tcBorders/>
            <w:shd w:fill="E5FFFF" w:val="clear"/>
            <w:vAlign w:val="bottom"/>
          </w:tcPr>
          <w:p>
            <w:pPr>
              <w:pStyle w:val="TableContents"/>
              <w:spacing w:before="0" w:after="283"/>
              <w:jc w:val="left"/>
              <w:rPr>
                <w:rFonts w:ascii="Arial" w:hAnsi="Arial"/>
              </w:rPr>
            </w:pPr>
            <w:r>
              <w:rPr>
                <w:rFonts w:ascii="Arial" w:hAnsi="Arial"/>
              </w:rPr>
              <w:t>Severance</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284" w:type="dxa"/>
            <w:tcBorders/>
            <w:shd w:fill="E5FFFF" w:val="clear"/>
            <w:vAlign w:val="bottom"/>
          </w:tcPr>
          <w:p>
            <w:pPr>
              <w:pStyle w:val="TableContents"/>
              <w:spacing w:before="0" w:after="283"/>
              <w:jc w:val="right"/>
              <w:rPr>
                <w:rFonts w:ascii="Arial" w:hAnsi="Arial"/>
              </w:rPr>
            </w:pPr>
            <w:r>
              <w:rPr>
                <w:rFonts w:ascii="Arial" w:hAnsi="Arial"/>
              </w:rPr>
              <w:t>102</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284" w:type="dxa"/>
            <w:tcBorders/>
            <w:shd w:fill="E5FFFF" w:val="clear"/>
            <w:vAlign w:val="bottom"/>
          </w:tcPr>
          <w:p>
            <w:pPr>
              <w:pStyle w:val="TableContents"/>
              <w:spacing w:before="0" w:after="283"/>
              <w:jc w:val="right"/>
              <w:rPr>
                <w:rFonts w:ascii="Arial" w:hAnsi="Arial"/>
              </w:rPr>
            </w:pPr>
            <w:r>
              <w:rPr>
                <w:rFonts w:ascii="Arial" w:hAnsi="Arial"/>
              </w:rPr>
              <w:t>248</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284" w:type="dxa"/>
            <w:tcBorders/>
            <w:shd w:fill="E5FFFF" w:val="clear"/>
            <w:vAlign w:val="bottom"/>
          </w:tcPr>
          <w:p>
            <w:pPr>
              <w:pStyle w:val="TableContents"/>
              <w:spacing w:before="0" w:after="283"/>
              <w:jc w:val="right"/>
              <w:rPr>
                <w:rFonts w:ascii="Arial" w:hAnsi="Arial"/>
              </w:rPr>
            </w:pPr>
            <w:r>
              <w:rPr>
                <w:rFonts w:ascii="Arial" w:hAnsi="Arial"/>
              </w:rPr>
              <w:t>85</w:t>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jc w:val="left"/>
              <w:rPr>
                <w:rFonts w:ascii="Arial" w:hAnsi="Arial"/>
              </w:rPr>
            </w:pPr>
            <w:r>
              <w:rPr>
                <w:rFonts w:ascii="Arial" w:hAnsi="Arial"/>
              </w:rPr>
              <w:t>Asset impairments</w:t>
            </w:r>
          </w:p>
        </w:tc>
        <w:tc>
          <w:tcPr>
            <w:tcW w:w="271"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15</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5</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21</w:t>
            </w:r>
          </w:p>
        </w:tc>
        <w:tc>
          <w:tcPr>
            <w:tcW w:w="151" w:type="dxa"/>
            <w:tcBorders/>
            <w:shd w:fill="FFFFFF" w:val="clear"/>
            <w:vAlign w:val="center"/>
          </w:tcPr>
          <w:p>
            <w:pPr>
              <w:pStyle w:val="TableContents"/>
              <w:spacing w:before="0" w:after="283"/>
              <w:rPr/>
            </w:pPr>
            <w:r>
              <w:rPr/>
              <w:t> </w:t>
            </w:r>
          </w:p>
        </w:tc>
      </w:tr>
      <w:tr>
        <w:trPr/>
        <w:tc>
          <w:tcPr>
            <w:tcW w:w="4082" w:type="dxa"/>
            <w:tcBorders/>
            <w:shd w:fill="E5FFFF" w:val="clear"/>
            <w:vAlign w:val="bottom"/>
          </w:tcPr>
          <w:p>
            <w:pPr>
              <w:pStyle w:val="TableContents"/>
              <w:spacing w:before="0" w:after="283"/>
              <w:jc w:val="left"/>
              <w:rPr>
                <w:rFonts w:ascii="Arial" w:hAnsi="Arial"/>
              </w:rPr>
            </w:pPr>
            <w:r>
              <w:rPr>
                <w:rFonts w:ascii="Arial" w:hAnsi="Arial"/>
              </w:rPr>
              <w:t>Exit costs</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7</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14</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10</w:t>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jc w:val="left"/>
              <w:rPr>
                <w:rFonts w:ascii="Arial" w:hAnsi="Arial"/>
              </w:rPr>
            </w:pPr>
            <w:r>
              <w:rPr>
                <w:rFonts w:ascii="Arial" w:hAnsi="Arial"/>
              </w:rPr>
              <w:t>Reserve adjustments</w:t>
            </w:r>
          </w:p>
        </w:tc>
        <w:tc>
          <w:tcPr>
            <w:tcW w:w="271"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(22</w:t>
            </w:r>
          </w:p>
        </w:tc>
        <w:tc>
          <w:tcPr>
            <w:tcW w:w="144"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(25</w:t>
            </w:r>
          </w:p>
        </w:tc>
        <w:tc>
          <w:tcPr>
            <w:tcW w:w="144"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(28</w:t>
            </w:r>
          </w:p>
        </w:tc>
        <w:tc>
          <w:tcPr>
            <w:tcW w:w="15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082" w:type="dxa"/>
            <w:tcBorders/>
            <w:shd w:fill="E5FFFF" w:val="clear"/>
            <w:vAlign w:val="center"/>
          </w:tcPr>
          <w:p>
            <w:pPr>
              <w:pStyle w:val="TableContents"/>
              <w:spacing w:before="0" w:after="283"/>
              <w:rPr/>
            </w:pPr>
            <w:r>
              <w:rPr/>
              <w:t> </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6"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6"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6" w:space="0" w:color="000000"/>
              </w:pBdr>
              <w:spacing w:before="0" w:after="283"/>
              <w:rPr/>
            </w:pPr>
            <w:r>
              <w:rPr/>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jc w:val="left"/>
              <w:rPr>
                <w:rFonts w:ascii="Arial" w:hAnsi="Arial"/>
              </w:rPr>
            </w:pPr>
            <w:r>
              <w:rPr>
                <w:rFonts w:ascii="Arial" w:hAnsi="Arial"/>
              </w:rPr>
              <w:t>Total net repositioning charge</w:t>
            </w:r>
          </w:p>
        </w:tc>
        <w:tc>
          <w:tcPr>
            <w:tcW w:w="271"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102</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242</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88</w:t>
            </w:r>
          </w:p>
        </w:tc>
        <w:tc>
          <w:tcPr>
            <w:tcW w:w="151" w:type="dxa"/>
            <w:tcBorders/>
            <w:shd w:fill="FFFFFF" w:val="clear"/>
            <w:vAlign w:val="center"/>
          </w:tcPr>
          <w:p>
            <w:pPr>
              <w:pStyle w:val="TableContents"/>
              <w:spacing w:before="0" w:after="283"/>
              <w:rPr/>
            </w:pPr>
            <w:r>
              <w:rPr/>
              <w:t> </w:t>
            </w:r>
          </w:p>
        </w:tc>
      </w:tr>
      <w:tr>
        <w:trPr/>
        <w:tc>
          <w:tcPr>
            <w:tcW w:w="4082" w:type="dxa"/>
            <w:tcBorders/>
            <w:shd w:fill="E5FFFF" w:val="clear"/>
            <w:vAlign w:val="bottom"/>
          </w:tcPr>
          <w:p>
            <w:pPr>
              <w:pStyle w:val="TableContents"/>
              <w:spacing w:before="0" w:after="283"/>
              <w:jc w:val="left"/>
              <w:rPr>
                <w:rFonts w:ascii="Arial" w:hAnsi="Arial"/>
              </w:rPr>
            </w:pPr>
            <w:r>
              <w:rPr>
                <w:rFonts w:ascii="Arial" w:hAnsi="Arial"/>
              </w:rPr>
              <w:t>Asbestos related litigation charges, net of insurance</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126</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10</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76</w:t>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jc w:val="left"/>
              <w:rPr>
                <w:rFonts w:ascii="Arial" w:hAnsi="Arial"/>
              </w:rPr>
            </w:pPr>
            <w:r>
              <w:rPr>
                <w:rFonts w:ascii="Arial" w:hAnsi="Arial"/>
              </w:rPr>
              <w:t>Probable and reasonably estimable environmental liabilities</w:t>
            </w:r>
          </w:p>
        </w:tc>
        <w:tc>
          <w:tcPr>
            <w:tcW w:w="271"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210</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186</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536</w:t>
            </w:r>
          </w:p>
        </w:tc>
        <w:tc>
          <w:tcPr>
            <w:tcW w:w="151" w:type="dxa"/>
            <w:tcBorders/>
            <w:shd w:fill="FFFFFF" w:val="clear"/>
            <w:vAlign w:val="center"/>
          </w:tcPr>
          <w:p>
            <w:pPr>
              <w:pStyle w:val="TableContents"/>
              <w:spacing w:before="0" w:after="283"/>
              <w:rPr/>
            </w:pPr>
            <w:r>
              <w:rPr/>
              <w:t> </w:t>
            </w:r>
          </w:p>
        </w:tc>
      </w:tr>
      <w:tr>
        <w:trPr/>
        <w:tc>
          <w:tcPr>
            <w:tcW w:w="4082" w:type="dxa"/>
            <w:tcBorders/>
            <w:shd w:fill="E5FFFF" w:val="clear"/>
            <w:vAlign w:val="bottom"/>
          </w:tcPr>
          <w:p>
            <w:pPr>
              <w:pStyle w:val="TableContents"/>
              <w:spacing w:before="0" w:after="283"/>
              <w:jc w:val="left"/>
              <w:rPr>
                <w:rFonts w:ascii="Arial" w:hAnsi="Arial"/>
              </w:rPr>
            </w:pPr>
            <w:r>
              <w:rPr>
                <w:rFonts w:ascii="Arial" w:hAnsi="Arial"/>
              </w:rPr>
              <w:t>Business impairment charges</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12</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23</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42</w:t>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jc w:val="left"/>
              <w:rPr>
                <w:rFonts w:ascii="Arial" w:hAnsi="Arial"/>
              </w:rPr>
            </w:pPr>
            <w:r>
              <w:rPr>
                <w:rFonts w:ascii="Arial" w:hAnsi="Arial"/>
              </w:rPr>
              <w:t>Arbitration award related to phenol supply agreement</w:t>
            </w:r>
          </w:p>
        </w:tc>
        <w:tc>
          <w:tcPr>
            <w:tcW w:w="271"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(18</w:t>
            </w:r>
          </w:p>
        </w:tc>
        <w:tc>
          <w:tcPr>
            <w:tcW w:w="144"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rFonts w:ascii="Arial" w:hAnsi="Arial"/>
              </w:rPr>
            </w:pPr>
            <w:r>
              <w:rPr>
                <w:rFonts w:ascii="Arial" w:hAnsi="Arial"/>
              </w:rPr>
              <w:t>(67</w:t>
            </w:r>
          </w:p>
        </w:tc>
        <w:tc>
          <w:tcPr>
            <w:tcW w:w="144"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bottom"/>
          </w:tcPr>
          <w:p>
            <w:pPr>
              <w:pStyle w:val="TableContents"/>
              <w:spacing w:before="0" w:after="283"/>
              <w:jc w:val="right"/>
              <w:rPr/>
            </w:pPr>
            <w:r>
              <w:rPr/>
              <w:t>—</w:t>
            </w:r>
          </w:p>
        </w:tc>
        <w:tc>
          <w:tcPr>
            <w:tcW w:w="151" w:type="dxa"/>
            <w:tcBorders/>
            <w:shd w:fill="FFFFFF" w:val="clear"/>
            <w:vAlign w:val="center"/>
          </w:tcPr>
          <w:p>
            <w:pPr>
              <w:pStyle w:val="TableContents"/>
              <w:spacing w:before="0" w:after="283"/>
              <w:rPr/>
            </w:pPr>
            <w:r>
              <w:rPr/>
              <w:t> </w:t>
            </w:r>
          </w:p>
        </w:tc>
      </w:tr>
      <w:tr>
        <w:trPr/>
        <w:tc>
          <w:tcPr>
            <w:tcW w:w="4082" w:type="dxa"/>
            <w:tcBorders/>
            <w:shd w:fill="E5FFFF" w:val="clear"/>
            <w:vAlign w:val="bottom"/>
          </w:tcPr>
          <w:p>
            <w:pPr>
              <w:pStyle w:val="TableContents"/>
              <w:spacing w:before="0" w:after="283"/>
              <w:jc w:val="left"/>
              <w:rPr>
                <w:rFonts w:ascii="Arial" w:hAnsi="Arial"/>
              </w:rPr>
            </w:pPr>
            <w:r>
              <w:rPr>
                <w:rFonts w:ascii="Arial" w:hAnsi="Arial"/>
              </w:rPr>
              <w:t>Other</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51</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18</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TableContents"/>
              <w:spacing w:before="0" w:after="283"/>
              <w:jc w:val="right"/>
              <w:rPr>
                <w:rFonts w:ascii="Arial" w:hAnsi="Arial"/>
              </w:rPr>
            </w:pPr>
            <w:r>
              <w:rPr>
                <w:rFonts w:ascii="Arial" w:hAnsi="Arial"/>
              </w:rPr>
              <w:t>33</w:t>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r>
      <w:tr>
        <w:trPr/>
        <w:tc>
          <w:tcPr>
            <w:tcW w:w="4082" w:type="dxa"/>
            <w:tcBorders/>
            <w:shd w:fill="E5FFFF" w:val="clear"/>
            <w:vAlign w:val="center"/>
          </w:tcPr>
          <w:p>
            <w:pPr>
              <w:pStyle w:val="TableContents"/>
              <w:spacing w:before="0" w:after="283"/>
              <w:rPr/>
            </w:pPr>
            <w:r>
              <w:rPr/>
              <w:t> </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6"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6"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6" w:space="0" w:color="000000"/>
              </w:pBdr>
              <w:spacing w:before="0" w:after="283"/>
              <w:rPr/>
            </w:pPr>
            <w:r>
              <w:rPr/>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jc w:val="left"/>
              <w:rPr>
                <w:rFonts w:ascii="Arial" w:hAnsi="Arial"/>
              </w:rPr>
            </w:pPr>
            <w:r>
              <w:rPr>
                <w:rFonts w:ascii="Arial" w:hAnsi="Arial"/>
              </w:rPr>
              <w:t>Total net repositioning and other charges</w:t>
            </w:r>
          </w:p>
        </w:tc>
        <w:tc>
          <w:tcPr>
            <w:tcW w:w="271"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1284" w:type="dxa"/>
            <w:tcBorders/>
            <w:shd w:fill="FFFFFF" w:val="clear"/>
            <w:vAlign w:val="bottom"/>
          </w:tcPr>
          <w:p>
            <w:pPr>
              <w:pStyle w:val="TableContents"/>
              <w:spacing w:before="0" w:after="283"/>
              <w:jc w:val="right"/>
              <w:rPr>
                <w:rFonts w:ascii="Arial" w:hAnsi="Arial"/>
              </w:rPr>
            </w:pPr>
            <w:r>
              <w:rPr>
                <w:rFonts w:ascii="Arial" w:hAnsi="Arial"/>
              </w:rPr>
              <w:t>483</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1284" w:type="dxa"/>
            <w:tcBorders/>
            <w:shd w:fill="FFFFFF" w:val="clear"/>
            <w:vAlign w:val="bottom"/>
          </w:tcPr>
          <w:p>
            <w:pPr>
              <w:pStyle w:val="TableContents"/>
              <w:spacing w:before="0" w:after="283"/>
              <w:jc w:val="right"/>
              <w:rPr>
                <w:rFonts w:ascii="Arial" w:hAnsi="Arial"/>
              </w:rPr>
            </w:pPr>
            <w:r>
              <w:rPr>
                <w:rFonts w:ascii="Arial" w:hAnsi="Arial"/>
              </w:rPr>
              <w:t>412</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1284" w:type="dxa"/>
            <w:tcBorders/>
            <w:shd w:fill="FFFFFF" w:val="clear"/>
            <w:vAlign w:val="bottom"/>
          </w:tcPr>
          <w:p>
            <w:pPr>
              <w:pStyle w:val="TableContents"/>
              <w:spacing w:before="0" w:after="283"/>
              <w:jc w:val="right"/>
              <w:rPr>
                <w:rFonts w:ascii="Arial" w:hAnsi="Arial"/>
              </w:rPr>
            </w:pPr>
            <w:r>
              <w:rPr>
                <w:rFonts w:ascii="Arial" w:hAnsi="Arial"/>
              </w:rPr>
              <w:t>775</w:t>
            </w:r>
          </w:p>
        </w:tc>
        <w:tc>
          <w:tcPr>
            <w:tcW w:w="151" w:type="dxa"/>
            <w:tcBorders/>
            <w:shd w:fill="FFFFFF" w:val="clear"/>
            <w:vAlign w:val="center"/>
          </w:tcPr>
          <w:p>
            <w:pPr>
              <w:pStyle w:val="TableContents"/>
              <w:spacing w:before="0" w:after="283"/>
              <w:rPr/>
            </w:pPr>
            <w:r>
              <w:rPr/>
              <w:t> </w:t>
            </w:r>
          </w:p>
        </w:tc>
      </w:tr>
      <w:tr>
        <w:trPr/>
        <w:tc>
          <w:tcPr>
            <w:tcW w:w="4082" w:type="dxa"/>
            <w:tcBorders/>
            <w:shd w:fill="E5FFFF" w:val="clear"/>
            <w:vAlign w:val="center"/>
          </w:tcPr>
          <w:p>
            <w:pPr>
              <w:pStyle w:val="TableContents"/>
              <w:spacing w:before="0" w:after="283"/>
              <w:rPr/>
            </w:pPr>
            <w:r>
              <w:rPr/>
              <w:t> </w:t>
            </w:r>
          </w:p>
        </w:tc>
        <w:tc>
          <w:tcPr>
            <w:tcW w:w="271"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18"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18"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284" w:type="dxa"/>
            <w:tcBorders/>
            <w:shd w:fill="E5FFFF" w:val="clear"/>
            <w:vAlign w:val="bottom"/>
          </w:tcPr>
          <w:p>
            <w:pPr>
              <w:pStyle w:val="HorizontalLine"/>
              <w:pBdr>
                <w:bottom w:val="single" w:sz="18" w:space="0" w:color="000000"/>
              </w:pBdr>
              <w:spacing w:before="0" w:after="283"/>
              <w:rPr/>
            </w:pPr>
            <w:r>
              <w:rPr/>
            </w:r>
          </w:p>
        </w:tc>
        <w:tc>
          <w:tcPr>
            <w:tcW w:w="151" w:type="dxa"/>
            <w:tcBorders/>
            <w:shd w:fill="E5FFFF" w:val="clear"/>
            <w:vAlign w:val="center"/>
          </w:tcPr>
          <w:p>
            <w:pPr>
              <w:pStyle w:val="TableContents"/>
              <w:spacing w:before="0" w:after="283"/>
              <w:rPr/>
            </w:pPr>
            <w:r>
              <w:rPr/>
              <w:t> </w:t>
            </w:r>
          </w:p>
        </w:tc>
      </w:tr>
      <w:tr>
        <w:trPr/>
        <w:tc>
          <w:tcPr>
            <w:tcW w:w="4082" w:type="dxa"/>
            <w:tcBorders/>
            <w:shd w:fill="FFFFFF" w:val="clear"/>
            <w:vAlign w:val="bottom"/>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284"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following table summarizes the pretax distribution of total net repositioning and other charges by income statement classification.</w:t>
      </w:r>
    </w:p>
    <w:tbl>
      <w:tblPr>
        <w:tblW w:w="5000" w:type="pct"/>
        <w:jc w:val="left"/>
        <w:tblInd w:w="0" w:type="dxa"/>
        <w:tblCellMar>
          <w:top w:w="0" w:type="dxa"/>
          <w:left w:w="0" w:type="dxa"/>
          <w:bottom w:w="0" w:type="dxa"/>
          <w:right w:w="0" w:type="dxa"/>
        </w:tblCellMar>
      </w:tblPr>
      <w:tblGrid>
        <w:gridCol w:w="4112"/>
        <w:gridCol w:w="272"/>
        <w:gridCol w:w="198"/>
        <w:gridCol w:w="1303"/>
        <w:gridCol w:w="114"/>
        <w:gridCol w:w="483"/>
        <w:gridCol w:w="198"/>
        <w:gridCol w:w="1303"/>
        <w:gridCol w:w="114"/>
        <w:gridCol w:w="483"/>
        <w:gridCol w:w="198"/>
        <w:gridCol w:w="1303"/>
        <w:gridCol w:w="124"/>
      </w:tblGrid>
      <w:tr>
        <w:trPr/>
        <w:tc>
          <w:tcPr>
            <w:tcW w:w="4112"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5821"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112"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61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3" w:type="dxa"/>
            <w:tcBorders/>
            <w:shd w:fill="FFFFFF" w:val="clear"/>
            <w:vAlign w:val="center"/>
          </w:tcPr>
          <w:p>
            <w:pPr>
              <w:pStyle w:val="TableContents"/>
              <w:spacing w:before="0" w:after="283"/>
              <w:rPr/>
            </w:pPr>
            <w:r>
              <w:rPr/>
              <w:t> </w:t>
            </w:r>
          </w:p>
        </w:tc>
        <w:tc>
          <w:tcPr>
            <w:tcW w:w="161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3" w:type="dxa"/>
            <w:tcBorders/>
            <w:shd w:fill="FFFFFF" w:val="clear"/>
            <w:vAlign w:val="center"/>
          </w:tcPr>
          <w:p>
            <w:pPr>
              <w:pStyle w:val="TableContents"/>
              <w:spacing w:before="0" w:after="283"/>
              <w:rPr/>
            </w:pPr>
            <w:r>
              <w:rPr/>
              <w:t> </w:t>
            </w:r>
          </w:p>
        </w:tc>
        <w:tc>
          <w:tcPr>
            <w:tcW w:w="1625"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112"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5821"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4112" w:type="dxa"/>
            <w:tcBorders/>
            <w:shd w:fill="E5FFFF" w:val="clear"/>
            <w:vAlign w:val="bottom"/>
          </w:tcPr>
          <w:p>
            <w:pPr>
              <w:pStyle w:val="TableContents"/>
              <w:spacing w:before="0" w:after="283"/>
              <w:jc w:val="left"/>
              <w:rPr>
                <w:rFonts w:ascii="Arial" w:hAnsi="Arial"/>
              </w:rPr>
            </w:pPr>
            <w:r>
              <w:rPr>
                <w:rFonts w:ascii="Arial" w:hAnsi="Arial"/>
              </w:rPr>
              <w:t>Cost of products and services sold</w:t>
            </w:r>
          </w:p>
        </w:tc>
        <w:tc>
          <w:tcPr>
            <w:tcW w:w="272"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1303" w:type="dxa"/>
            <w:tcBorders/>
            <w:shd w:fill="E5FFFF" w:val="clear"/>
            <w:vAlign w:val="bottom"/>
          </w:tcPr>
          <w:p>
            <w:pPr>
              <w:pStyle w:val="TableContents"/>
              <w:spacing w:before="0" w:after="283"/>
              <w:jc w:val="right"/>
              <w:rPr>
                <w:rFonts w:ascii="Arial" w:hAnsi="Arial"/>
              </w:rPr>
            </w:pPr>
            <w:r>
              <w:rPr>
                <w:rFonts w:ascii="Arial" w:hAnsi="Arial"/>
              </w:rPr>
              <w:t>472</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1303" w:type="dxa"/>
            <w:tcBorders/>
            <w:shd w:fill="E5FFFF" w:val="clear"/>
            <w:vAlign w:val="bottom"/>
          </w:tcPr>
          <w:p>
            <w:pPr>
              <w:pStyle w:val="TableContents"/>
              <w:spacing w:before="0" w:after="283"/>
              <w:jc w:val="right"/>
              <w:rPr>
                <w:rFonts w:ascii="Arial" w:hAnsi="Arial"/>
              </w:rPr>
            </w:pPr>
            <w:r>
              <w:rPr>
                <w:rFonts w:ascii="Arial" w:hAnsi="Arial"/>
              </w:rPr>
              <w:t>357</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1303" w:type="dxa"/>
            <w:tcBorders/>
            <w:shd w:fill="E5FFFF" w:val="clear"/>
            <w:vAlign w:val="bottom"/>
          </w:tcPr>
          <w:p>
            <w:pPr>
              <w:pStyle w:val="TableContents"/>
              <w:spacing w:before="0" w:after="283"/>
              <w:jc w:val="right"/>
              <w:rPr>
                <w:rFonts w:ascii="Arial" w:hAnsi="Arial"/>
              </w:rPr>
            </w:pPr>
            <w:r>
              <w:rPr>
                <w:rFonts w:ascii="Arial" w:hAnsi="Arial"/>
              </w:rPr>
              <w:t>739</w:t>
            </w:r>
          </w:p>
        </w:tc>
        <w:tc>
          <w:tcPr>
            <w:tcW w:w="124" w:type="dxa"/>
            <w:tcBorders/>
            <w:shd w:fill="E5FFFF" w:val="clear"/>
            <w:vAlign w:val="center"/>
          </w:tcPr>
          <w:p>
            <w:pPr>
              <w:pStyle w:val="TableContents"/>
              <w:spacing w:before="0" w:after="283"/>
              <w:rPr/>
            </w:pPr>
            <w:r>
              <w:rPr/>
              <w:t> </w:t>
            </w:r>
          </w:p>
        </w:tc>
      </w:tr>
      <w:tr>
        <w:trPr/>
        <w:tc>
          <w:tcPr>
            <w:tcW w:w="4112" w:type="dxa"/>
            <w:tcBorders/>
            <w:shd w:fill="auto" w:val="clear"/>
            <w:vAlign w:val="bottom"/>
          </w:tcPr>
          <w:p>
            <w:pPr>
              <w:pStyle w:val="TableContents"/>
              <w:spacing w:before="0" w:after="283"/>
              <w:jc w:val="left"/>
              <w:rPr>
                <w:rFonts w:ascii="Arial" w:hAnsi="Arial"/>
              </w:rPr>
            </w:pPr>
            <w:r>
              <w:rPr>
                <w:rFonts w:ascii="Arial" w:hAnsi="Arial"/>
              </w:rPr>
              <w:t>Selling, general and administrative expenses</w:t>
            </w:r>
          </w:p>
        </w:tc>
        <w:tc>
          <w:tcPr>
            <w:tcW w:w="272" w:type="dxa"/>
            <w:tcBorders/>
            <w:shd w:fill="auto"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TableContents"/>
              <w:spacing w:before="0" w:after="283"/>
              <w:jc w:val="right"/>
              <w:rPr>
                <w:rFonts w:ascii="Arial" w:hAnsi="Arial"/>
              </w:rPr>
            </w:pPr>
            <w:r>
              <w:rPr>
                <w:rFonts w:ascii="Arial" w:hAnsi="Arial"/>
              </w:rPr>
              <w:t>11</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TableContents"/>
              <w:spacing w:before="0" w:after="283"/>
              <w:jc w:val="right"/>
              <w:rPr>
                <w:rFonts w:ascii="Arial" w:hAnsi="Arial"/>
              </w:rPr>
            </w:pPr>
            <w:r>
              <w:rPr>
                <w:rFonts w:ascii="Arial" w:hAnsi="Arial"/>
              </w:rPr>
              <w:t>43</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TableContents"/>
              <w:spacing w:before="0" w:after="283"/>
              <w:jc w:val="right"/>
              <w:rPr>
                <w:rFonts w:ascii="Arial" w:hAnsi="Arial"/>
              </w:rPr>
            </w:pPr>
            <w:r>
              <w:rPr>
                <w:rFonts w:ascii="Arial" w:hAnsi="Arial"/>
              </w:rPr>
              <w:t>25</w:t>
            </w:r>
          </w:p>
        </w:tc>
        <w:tc>
          <w:tcPr>
            <w:tcW w:w="124" w:type="dxa"/>
            <w:tcBorders/>
            <w:shd w:fill="FFFFFF" w:val="clear"/>
            <w:vAlign w:val="center"/>
          </w:tcPr>
          <w:p>
            <w:pPr>
              <w:pStyle w:val="TableContents"/>
              <w:spacing w:before="0" w:after="283"/>
              <w:rPr/>
            </w:pPr>
            <w:r>
              <w:rPr/>
              <w:t> </w:t>
            </w:r>
          </w:p>
        </w:tc>
      </w:tr>
      <w:tr>
        <w:trPr/>
        <w:tc>
          <w:tcPr>
            <w:tcW w:w="4112" w:type="dxa"/>
            <w:tcBorders/>
            <w:shd w:fill="E5FFFF" w:val="clear"/>
            <w:vAlign w:val="bottom"/>
          </w:tcPr>
          <w:p>
            <w:pPr>
              <w:pStyle w:val="TableContents"/>
              <w:spacing w:before="0" w:after="283"/>
              <w:jc w:val="left"/>
              <w:rPr>
                <w:rFonts w:ascii="Arial" w:hAnsi="Arial"/>
              </w:rPr>
            </w:pPr>
            <w:r>
              <w:rPr>
                <w:rFonts w:ascii="Arial" w:hAnsi="Arial"/>
              </w:rPr>
              <w:t>Other (income) expense</w:t>
            </w:r>
          </w:p>
        </w:tc>
        <w:tc>
          <w:tcPr>
            <w:tcW w:w="272"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1303" w:type="dxa"/>
            <w:tcBorders/>
            <w:shd w:fill="E5FFFF" w:val="clear"/>
            <w:vAlign w:val="bottom"/>
          </w:tcPr>
          <w:p>
            <w:pPr>
              <w:pStyle w:val="TableContents"/>
              <w:spacing w:before="0" w:after="283"/>
              <w:jc w:val="right"/>
              <w:rPr/>
            </w:pPr>
            <w:r>
              <w:rPr/>
              <w:t>—</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1303" w:type="dxa"/>
            <w:tcBorders/>
            <w:shd w:fill="E5FFFF" w:val="clear"/>
            <w:vAlign w:val="bottom"/>
          </w:tcPr>
          <w:p>
            <w:pPr>
              <w:pStyle w:val="TableContents"/>
              <w:spacing w:before="0" w:after="283"/>
              <w:jc w:val="right"/>
              <w:rPr>
                <w:rFonts w:ascii="Arial" w:hAnsi="Arial"/>
              </w:rPr>
            </w:pPr>
            <w:r>
              <w:rPr>
                <w:rFonts w:ascii="Arial" w:hAnsi="Arial"/>
              </w:rPr>
              <w:t>12</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1303" w:type="dxa"/>
            <w:tcBorders/>
            <w:shd w:fill="E5FFFF" w:val="clear"/>
            <w:vAlign w:val="bottom"/>
          </w:tcPr>
          <w:p>
            <w:pPr>
              <w:pStyle w:val="TableContents"/>
              <w:spacing w:before="0" w:after="283"/>
              <w:jc w:val="right"/>
              <w:rPr>
                <w:rFonts w:ascii="Arial" w:hAnsi="Arial"/>
              </w:rPr>
            </w:pPr>
            <w:r>
              <w:rPr>
                <w:rFonts w:ascii="Arial" w:hAnsi="Arial"/>
              </w:rPr>
              <w:t>11</w:t>
            </w:r>
          </w:p>
        </w:tc>
        <w:tc>
          <w:tcPr>
            <w:tcW w:w="124" w:type="dxa"/>
            <w:tcBorders/>
            <w:shd w:fill="E5FFFF" w:val="clear"/>
            <w:vAlign w:val="center"/>
          </w:tcPr>
          <w:p>
            <w:pPr>
              <w:pStyle w:val="TableContents"/>
              <w:spacing w:before="0" w:after="283"/>
              <w:rPr/>
            </w:pPr>
            <w:r>
              <w:rPr/>
              <w:t> </w:t>
            </w:r>
          </w:p>
        </w:tc>
      </w:tr>
      <w:tr>
        <w:trPr/>
        <w:tc>
          <w:tcPr>
            <w:tcW w:w="4112"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HorizontalLine"/>
              <w:pBdr>
                <w:bottom w:val="single" w:sz="6"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HorizontalLine"/>
              <w:pBdr>
                <w:bottom w:val="single" w:sz="6"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HorizontalLine"/>
              <w:pBdr>
                <w:bottom w:val="single" w:sz="6" w:space="0" w:color="000000"/>
              </w:pBdr>
              <w:spacing w:before="0" w:after="283"/>
              <w:rPr/>
            </w:pPr>
            <w:r>
              <w:rPr/>
            </w:r>
          </w:p>
        </w:tc>
        <w:tc>
          <w:tcPr>
            <w:tcW w:w="124" w:type="dxa"/>
            <w:tcBorders/>
            <w:shd w:fill="FFFFFF" w:val="clear"/>
            <w:vAlign w:val="center"/>
          </w:tcPr>
          <w:p>
            <w:pPr>
              <w:pStyle w:val="TableContents"/>
              <w:spacing w:before="0" w:after="283"/>
              <w:rPr/>
            </w:pPr>
            <w:r>
              <w:rPr/>
              <w:t> </w:t>
            </w:r>
          </w:p>
        </w:tc>
      </w:tr>
      <w:tr>
        <w:trPr/>
        <w:tc>
          <w:tcPr>
            <w:tcW w:w="4112" w:type="dxa"/>
            <w:tcBorders/>
            <w:shd w:fill="E5FFFF" w:val="clear"/>
            <w:vAlign w:val="bottom"/>
          </w:tcPr>
          <w:p>
            <w:pPr>
              <w:pStyle w:val="TableContents"/>
              <w:spacing w:before="0" w:after="283"/>
              <w:rPr>
                <w:sz w:val="4"/>
                <w:szCs w:val="4"/>
              </w:rPr>
            </w:pPr>
            <w:r>
              <w:rPr>
                <w:sz w:val="4"/>
                <w:szCs w:val="4"/>
              </w:rPr>
            </w:r>
          </w:p>
        </w:tc>
        <w:tc>
          <w:tcPr>
            <w:tcW w:w="272"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1303" w:type="dxa"/>
            <w:tcBorders/>
            <w:shd w:fill="E5FFFF" w:val="clear"/>
            <w:vAlign w:val="bottom"/>
          </w:tcPr>
          <w:p>
            <w:pPr>
              <w:pStyle w:val="TableContents"/>
              <w:spacing w:before="0" w:after="283"/>
              <w:jc w:val="right"/>
              <w:rPr>
                <w:rFonts w:ascii="Arial" w:hAnsi="Arial"/>
              </w:rPr>
            </w:pPr>
            <w:r>
              <w:rPr>
                <w:rFonts w:ascii="Arial" w:hAnsi="Arial"/>
              </w:rPr>
              <w:t>483</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1303" w:type="dxa"/>
            <w:tcBorders/>
            <w:shd w:fill="E5FFFF" w:val="clear"/>
            <w:vAlign w:val="bottom"/>
          </w:tcPr>
          <w:p>
            <w:pPr>
              <w:pStyle w:val="TableContents"/>
              <w:spacing w:before="0" w:after="283"/>
              <w:jc w:val="right"/>
              <w:rPr>
                <w:rFonts w:ascii="Arial" w:hAnsi="Arial"/>
              </w:rPr>
            </w:pPr>
            <w:r>
              <w:rPr>
                <w:rFonts w:ascii="Arial" w:hAnsi="Arial"/>
              </w:rPr>
              <w:t>412</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1303" w:type="dxa"/>
            <w:tcBorders/>
            <w:shd w:fill="E5FFFF" w:val="clear"/>
            <w:vAlign w:val="bottom"/>
          </w:tcPr>
          <w:p>
            <w:pPr>
              <w:pStyle w:val="TableContents"/>
              <w:spacing w:before="0" w:after="283"/>
              <w:jc w:val="right"/>
              <w:rPr>
                <w:rFonts w:ascii="Arial" w:hAnsi="Arial"/>
              </w:rPr>
            </w:pPr>
            <w:r>
              <w:rPr>
                <w:rFonts w:ascii="Arial" w:hAnsi="Arial"/>
              </w:rPr>
              <w:t>775</w:t>
            </w:r>
          </w:p>
        </w:tc>
        <w:tc>
          <w:tcPr>
            <w:tcW w:w="124" w:type="dxa"/>
            <w:tcBorders/>
            <w:shd w:fill="E5FFFF" w:val="clear"/>
            <w:vAlign w:val="center"/>
          </w:tcPr>
          <w:p>
            <w:pPr>
              <w:pStyle w:val="TableContents"/>
              <w:spacing w:before="0" w:after="283"/>
              <w:rPr/>
            </w:pPr>
            <w:r>
              <w:rPr/>
              <w:t> </w:t>
            </w:r>
          </w:p>
        </w:tc>
      </w:tr>
      <w:tr>
        <w:trPr/>
        <w:tc>
          <w:tcPr>
            <w:tcW w:w="4112"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HorizontalLine"/>
              <w:pBdr>
                <w:bottom w:val="single" w:sz="18"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HorizontalLine"/>
              <w:pBdr>
                <w:bottom w:val="single" w:sz="18"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bottom"/>
          </w:tcPr>
          <w:p>
            <w:pPr>
              <w:pStyle w:val="HorizontalLine"/>
              <w:pBdr>
                <w:bottom w:val="single" w:sz="18" w:space="0" w:color="000000"/>
              </w:pBdr>
              <w:spacing w:before="0" w:after="283"/>
              <w:rPr/>
            </w:pPr>
            <w:r>
              <w:rPr/>
            </w:r>
          </w:p>
        </w:tc>
        <w:tc>
          <w:tcPr>
            <w:tcW w:w="124" w:type="dxa"/>
            <w:tcBorders/>
            <w:shd w:fill="FFFFFF" w:val="clear"/>
            <w:vAlign w:val="center"/>
          </w:tcPr>
          <w:p>
            <w:pPr>
              <w:pStyle w:val="TableContents"/>
              <w:spacing w:before="0" w:after="283"/>
              <w:rPr/>
            </w:pPr>
            <w:r>
              <w:rPr/>
              <w:t> </w:t>
            </w:r>
          </w:p>
        </w:tc>
      </w:tr>
      <w:tr>
        <w:trPr/>
        <w:tc>
          <w:tcPr>
            <w:tcW w:w="4112"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1303"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following tables provide details of the pretax impact of total net repositioning and other charges by reportable segment.</w:t>
      </w:r>
    </w:p>
    <w:tbl>
      <w:tblPr>
        <w:tblW w:w="5000" w:type="pct"/>
        <w:jc w:val="left"/>
        <w:tblInd w:w="0" w:type="dxa"/>
        <w:tblCellMar>
          <w:top w:w="0" w:type="dxa"/>
          <w:left w:w="0" w:type="dxa"/>
          <w:bottom w:w="0" w:type="dxa"/>
          <w:right w:w="0" w:type="dxa"/>
        </w:tblCellMar>
      </w:tblPr>
      <w:tblGrid>
        <w:gridCol w:w="622"/>
        <w:gridCol w:w="3684"/>
        <w:gridCol w:w="272"/>
        <w:gridCol w:w="225"/>
        <w:gridCol w:w="1134"/>
        <w:gridCol w:w="114"/>
        <w:gridCol w:w="484"/>
        <w:gridCol w:w="225"/>
        <w:gridCol w:w="1134"/>
        <w:gridCol w:w="114"/>
        <w:gridCol w:w="484"/>
        <w:gridCol w:w="197"/>
        <w:gridCol w:w="1363"/>
        <w:gridCol w:w="153"/>
      </w:tblGrid>
      <w:tr>
        <w:trPr/>
        <w:tc>
          <w:tcPr>
            <w:tcW w:w="622" w:type="dxa"/>
            <w:tcBorders/>
            <w:shd w:fill="FFFFFF" w:val="clear"/>
            <w:vAlign w:val="center"/>
          </w:tcPr>
          <w:p>
            <w:pPr>
              <w:pStyle w:val="TableContents"/>
              <w:spacing w:before="0" w:after="283"/>
              <w:rPr/>
            </w:pPr>
            <w:r>
              <w:rPr/>
              <w:t> </w:t>
            </w:r>
          </w:p>
        </w:tc>
        <w:tc>
          <w:tcPr>
            <w:tcW w:w="3684"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5627"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22" w:type="dxa"/>
            <w:tcBorders/>
            <w:shd w:fill="FFFFFF" w:val="clear"/>
            <w:vAlign w:val="center"/>
          </w:tcPr>
          <w:p>
            <w:pPr>
              <w:pStyle w:val="TableContents"/>
              <w:spacing w:before="0" w:after="283"/>
              <w:rPr/>
            </w:pPr>
            <w:r>
              <w:rPr/>
              <w:t> </w:t>
            </w:r>
          </w:p>
        </w:tc>
        <w:tc>
          <w:tcPr>
            <w:tcW w:w="3684"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473"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4" w:type="dxa"/>
            <w:tcBorders/>
            <w:shd w:fill="FFFFFF" w:val="clear"/>
            <w:vAlign w:val="center"/>
          </w:tcPr>
          <w:p>
            <w:pPr>
              <w:pStyle w:val="TableContents"/>
              <w:spacing w:before="0" w:after="283"/>
              <w:rPr/>
            </w:pPr>
            <w:r>
              <w:rPr/>
              <w:t> </w:t>
            </w:r>
          </w:p>
        </w:tc>
        <w:tc>
          <w:tcPr>
            <w:tcW w:w="147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4" w:type="dxa"/>
            <w:tcBorders/>
            <w:shd w:fill="FFFFFF" w:val="clear"/>
            <w:vAlign w:val="center"/>
          </w:tcPr>
          <w:p>
            <w:pPr>
              <w:pStyle w:val="TableContents"/>
              <w:spacing w:before="0" w:after="283"/>
              <w:rPr/>
            </w:pPr>
            <w:r>
              <w:rPr/>
              <w:t> </w:t>
            </w:r>
          </w:p>
        </w:tc>
        <w:tc>
          <w:tcPr>
            <w:tcW w:w="1713"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22" w:type="dxa"/>
            <w:tcBorders/>
            <w:shd w:fill="FFFFFF" w:val="clear"/>
            <w:vAlign w:val="center"/>
          </w:tcPr>
          <w:p>
            <w:pPr>
              <w:pStyle w:val="TableContents"/>
              <w:spacing w:before="0" w:after="283"/>
              <w:rPr/>
            </w:pPr>
            <w:r>
              <w:rPr/>
              <w:t> </w:t>
            </w:r>
          </w:p>
        </w:tc>
        <w:tc>
          <w:tcPr>
            <w:tcW w:w="3684"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5627"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22" w:type="dxa"/>
            <w:tcBorders/>
            <w:shd w:fill="E5FFFF" w:val="clear"/>
            <w:vAlign w:val="bottom"/>
          </w:tcPr>
          <w:p>
            <w:pPr>
              <w:pStyle w:val="TableContents"/>
              <w:spacing w:before="0" w:after="283"/>
              <w:jc w:val="left"/>
              <w:rPr/>
            </w:pPr>
            <w:r>
              <w:rPr/>
              <w:t>      </w:t>
            </w:r>
          </w:p>
        </w:tc>
        <w:tc>
          <w:tcPr>
            <w:tcW w:w="3684" w:type="dxa"/>
            <w:tcBorders/>
            <w:shd w:fill="E5FFFF" w:val="clear"/>
            <w:vAlign w:val="bottom"/>
          </w:tcPr>
          <w:p>
            <w:pPr>
              <w:pStyle w:val="TableContents"/>
              <w:spacing w:before="0" w:after="283"/>
              <w:jc w:val="left"/>
              <w:rPr>
                <w:rFonts w:ascii="Arial" w:hAnsi="Arial"/>
                <w:b/>
              </w:rPr>
            </w:pPr>
            <w:r>
              <w:rPr>
                <w:rFonts w:ascii="Arial" w:hAnsi="Arial"/>
                <w:b/>
              </w:rPr>
              <w:t>Aerospace</w:t>
            </w:r>
          </w:p>
        </w:tc>
        <w:tc>
          <w:tcPr>
            <w:tcW w:w="272" w:type="dxa"/>
            <w:tcBorders/>
            <w:shd w:fill="E5FFFF" w:val="clear"/>
            <w:vAlign w:val="center"/>
          </w:tcPr>
          <w:p>
            <w:pPr>
              <w:pStyle w:val="TableContents"/>
              <w:spacing w:before="0" w:after="283"/>
              <w:rPr/>
            </w:pPr>
            <w:r>
              <w:rPr/>
              <w:t> </w:t>
            </w:r>
          </w:p>
        </w:tc>
        <w:tc>
          <w:tcPr>
            <w:tcW w:w="225" w:type="dxa"/>
            <w:tcBorders/>
            <w:shd w:fill="E5FFFF" w:val="clear"/>
            <w:vAlign w:val="center"/>
          </w:tcPr>
          <w:p>
            <w:pPr>
              <w:pStyle w:val="TableContents"/>
              <w:spacing w:before="0" w:after="283"/>
              <w:rPr/>
            </w:pPr>
            <w:r>
              <w:rPr/>
              <w:t> </w:t>
            </w:r>
          </w:p>
        </w:tc>
        <w:tc>
          <w:tcPr>
            <w:tcW w:w="1134" w:type="dxa"/>
            <w:tcBorders/>
            <w:shd w:fill="E5FFFF" w:val="clear"/>
            <w:vAlign w:val="center"/>
          </w:tcPr>
          <w:p>
            <w:pPr>
              <w:pStyle w:val="TableContents"/>
              <w:spacing w:before="0" w:after="283"/>
              <w:rPr/>
            </w:pPr>
            <w:r>
              <w:rPr/>
              <w:t> </w:t>
            </w:r>
          </w:p>
        </w:tc>
        <w:tc>
          <w:tcPr>
            <w:tcW w:w="114" w:type="dxa"/>
            <w:tcBorders/>
            <w:shd w:fill="E5FFFF" w:val="clear"/>
            <w:vAlign w:val="center"/>
          </w:tcPr>
          <w:p>
            <w:pPr>
              <w:pStyle w:val="TableContents"/>
              <w:spacing w:before="0" w:after="283"/>
              <w:rPr/>
            </w:pPr>
            <w:r>
              <w:rPr/>
              <w:t> </w:t>
            </w:r>
          </w:p>
        </w:tc>
        <w:tc>
          <w:tcPr>
            <w:tcW w:w="484" w:type="dxa"/>
            <w:tcBorders/>
            <w:shd w:fill="E5FFFF" w:val="clear"/>
            <w:vAlign w:val="center"/>
          </w:tcPr>
          <w:p>
            <w:pPr>
              <w:pStyle w:val="TableContents"/>
              <w:spacing w:before="0" w:after="283"/>
              <w:rPr/>
            </w:pPr>
            <w:r>
              <w:rPr/>
              <w:t> </w:t>
            </w:r>
          </w:p>
        </w:tc>
        <w:tc>
          <w:tcPr>
            <w:tcW w:w="225" w:type="dxa"/>
            <w:tcBorders/>
            <w:shd w:fill="E5FFFF" w:val="clear"/>
            <w:vAlign w:val="center"/>
          </w:tcPr>
          <w:p>
            <w:pPr>
              <w:pStyle w:val="TableContents"/>
              <w:spacing w:before="0" w:after="283"/>
              <w:rPr/>
            </w:pPr>
            <w:r>
              <w:rPr/>
              <w:t> </w:t>
            </w:r>
          </w:p>
        </w:tc>
        <w:tc>
          <w:tcPr>
            <w:tcW w:w="1134" w:type="dxa"/>
            <w:tcBorders/>
            <w:shd w:fill="E5FFFF" w:val="clear"/>
            <w:vAlign w:val="center"/>
          </w:tcPr>
          <w:p>
            <w:pPr>
              <w:pStyle w:val="TableContents"/>
              <w:spacing w:before="0" w:after="283"/>
              <w:rPr/>
            </w:pPr>
            <w:r>
              <w:rPr/>
              <w:t> </w:t>
            </w:r>
          </w:p>
        </w:tc>
        <w:tc>
          <w:tcPr>
            <w:tcW w:w="114" w:type="dxa"/>
            <w:tcBorders/>
            <w:shd w:fill="E5FFFF" w:val="clear"/>
            <w:vAlign w:val="center"/>
          </w:tcPr>
          <w:p>
            <w:pPr>
              <w:pStyle w:val="TableContents"/>
              <w:spacing w:before="0" w:after="283"/>
              <w:rPr/>
            </w:pPr>
            <w:r>
              <w:rPr/>
              <w:t> </w:t>
            </w:r>
          </w:p>
        </w:tc>
        <w:tc>
          <w:tcPr>
            <w:tcW w:w="484" w:type="dxa"/>
            <w:tcBorders/>
            <w:shd w:fill="E5FFFF" w:val="clear"/>
            <w:vAlign w:val="center"/>
          </w:tcPr>
          <w:p>
            <w:pPr>
              <w:pStyle w:val="TableContents"/>
              <w:spacing w:before="0" w:after="283"/>
              <w:rPr/>
            </w:pPr>
            <w:r>
              <w:rPr/>
              <w:t> </w:t>
            </w:r>
          </w:p>
        </w:tc>
        <w:tc>
          <w:tcPr>
            <w:tcW w:w="197" w:type="dxa"/>
            <w:tcBorders/>
            <w:shd w:fill="E5FFFF" w:val="clear"/>
            <w:vAlign w:val="center"/>
          </w:tcPr>
          <w:p>
            <w:pPr>
              <w:pStyle w:val="TableContents"/>
              <w:spacing w:before="0" w:after="283"/>
              <w:rPr/>
            </w:pPr>
            <w:r>
              <w:rPr/>
              <w:t> </w:t>
            </w:r>
          </w:p>
        </w:tc>
        <w:tc>
          <w:tcPr>
            <w:tcW w:w="1363" w:type="dxa"/>
            <w:tcBorders/>
            <w:shd w:fill="E5FFFF" w:val="clear"/>
            <w:vAlign w:val="center"/>
          </w:tcPr>
          <w:p>
            <w:pPr>
              <w:pStyle w:val="TableContents"/>
              <w:spacing w:before="0" w:after="283"/>
              <w:rPr/>
            </w:pPr>
            <w:r>
              <w:rPr/>
              <w:t> </w:t>
            </w:r>
          </w:p>
        </w:tc>
        <w:tc>
          <w:tcPr>
            <w:tcW w:w="153" w:type="dxa"/>
            <w:tcBorders/>
            <w:shd w:fill="E5FFFF" w:val="clear"/>
            <w:vAlign w:val="center"/>
          </w:tcPr>
          <w:p>
            <w:pPr>
              <w:pStyle w:val="TableContents"/>
              <w:spacing w:before="0" w:after="283"/>
              <w:rPr/>
            </w:pPr>
            <w:r>
              <w:rPr/>
              <w:t> </w:t>
            </w:r>
          </w:p>
        </w:tc>
      </w:tr>
      <w:tr>
        <w:trPr/>
        <w:tc>
          <w:tcPr>
            <w:tcW w:w="622" w:type="dxa"/>
            <w:tcBorders/>
            <w:shd w:fill="FFFFFF" w:val="clear"/>
            <w:vAlign w:val="bottom"/>
          </w:tcPr>
          <w:p>
            <w:pPr>
              <w:pStyle w:val="TableContents"/>
              <w:spacing w:before="0" w:after="283"/>
              <w:jc w:val="left"/>
              <w:rPr/>
            </w:pPr>
            <w:r>
              <w:rPr/>
              <w:t>      </w:t>
            </w:r>
          </w:p>
        </w:tc>
        <w:tc>
          <w:tcPr>
            <w:tcW w:w="3684" w:type="dxa"/>
            <w:tcBorders/>
            <w:shd w:fill="FFFFFF" w:val="clear"/>
            <w:vAlign w:val="bottom"/>
          </w:tcPr>
          <w:p>
            <w:pPr>
              <w:pStyle w:val="TableContents"/>
              <w:spacing w:before="0" w:after="283"/>
              <w:jc w:val="left"/>
              <w:rPr>
                <w:rFonts w:ascii="Arial" w:hAnsi="Arial"/>
              </w:rPr>
            </w:pPr>
            <w:r>
              <w:rPr>
                <w:rFonts w:ascii="Arial" w:hAnsi="Arial"/>
              </w:rPr>
              <w:t>Net repositioning charge</w:t>
            </w:r>
          </w:p>
        </w:tc>
        <w:tc>
          <w:tcPr>
            <w:tcW w:w="272" w:type="dxa"/>
            <w:tcBorders/>
            <w:shd w:fill="FFFFFF" w:val="clear"/>
            <w:vAlign w:val="bottom"/>
          </w:tcPr>
          <w:p>
            <w:pPr>
              <w:pStyle w:val="TableContents"/>
              <w:spacing w:before="0" w:after="283"/>
              <w:jc w:val="right"/>
              <w:rPr/>
            </w:pPr>
            <w:r>
              <w:rPr/>
              <w:t>    </w:t>
            </w:r>
          </w:p>
        </w:tc>
        <w:tc>
          <w:tcPr>
            <w:tcW w:w="225" w:type="dxa"/>
            <w:tcBorders/>
            <w:shd w:fill="FFFFFF" w:val="clear"/>
            <w:vAlign w:val="bottom"/>
          </w:tcPr>
          <w:p>
            <w:pPr>
              <w:pStyle w:val="TableContents"/>
              <w:spacing w:before="0" w:after="283"/>
              <w:jc w:val="right"/>
              <w:rPr>
                <w:rFonts w:ascii="Arial" w:hAnsi="Arial"/>
              </w:rPr>
            </w:pPr>
            <w:r>
              <w:rPr>
                <w:rFonts w:ascii="Arial" w:hAnsi="Arial"/>
              </w:rPr>
              <w:t>$</w:t>
            </w:r>
          </w:p>
        </w:tc>
        <w:tc>
          <w:tcPr>
            <w:tcW w:w="1134" w:type="dxa"/>
            <w:tcBorders/>
            <w:shd w:fill="FFFFFF" w:val="clear"/>
            <w:vAlign w:val="bottom"/>
          </w:tcPr>
          <w:p>
            <w:pPr>
              <w:pStyle w:val="TableContents"/>
              <w:spacing w:before="0" w:after="283"/>
              <w:jc w:val="right"/>
              <w:rPr>
                <w:rFonts w:ascii="Arial" w:hAnsi="Arial"/>
              </w:rPr>
            </w:pPr>
            <w:r>
              <w:rPr>
                <w:rFonts w:ascii="Arial" w:hAnsi="Arial"/>
              </w:rPr>
              <w:t>10</w:t>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225" w:type="dxa"/>
            <w:tcBorders/>
            <w:shd w:fill="FFFFFF" w:val="clear"/>
            <w:vAlign w:val="bottom"/>
          </w:tcPr>
          <w:p>
            <w:pPr>
              <w:pStyle w:val="TableContents"/>
              <w:spacing w:before="0" w:after="283"/>
              <w:jc w:val="right"/>
              <w:rPr>
                <w:rFonts w:ascii="Arial" w:hAnsi="Arial"/>
              </w:rPr>
            </w:pPr>
            <w:r>
              <w:rPr>
                <w:rFonts w:ascii="Arial" w:hAnsi="Arial"/>
              </w:rPr>
              <w:t>$</w:t>
            </w:r>
          </w:p>
        </w:tc>
        <w:tc>
          <w:tcPr>
            <w:tcW w:w="1134" w:type="dxa"/>
            <w:tcBorders/>
            <w:shd w:fill="FFFFFF" w:val="clear"/>
            <w:vAlign w:val="bottom"/>
          </w:tcPr>
          <w:p>
            <w:pPr>
              <w:pStyle w:val="TableContents"/>
              <w:spacing w:before="0" w:after="283"/>
              <w:jc w:val="right"/>
              <w:rPr>
                <w:rFonts w:ascii="Arial" w:hAnsi="Arial"/>
              </w:rPr>
            </w:pPr>
            <w:r>
              <w:rPr>
                <w:rFonts w:ascii="Arial" w:hAnsi="Arial"/>
              </w:rPr>
              <w:t>96</w:t>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1363" w:type="dxa"/>
            <w:tcBorders/>
            <w:shd w:fill="FFFFFF" w:val="clear"/>
            <w:vAlign w:val="bottom"/>
          </w:tcPr>
          <w:p>
            <w:pPr>
              <w:pStyle w:val="TableContents"/>
              <w:spacing w:before="0" w:after="283"/>
              <w:jc w:val="right"/>
              <w:rPr>
                <w:rFonts w:ascii="Arial" w:hAnsi="Arial"/>
              </w:rPr>
            </w:pPr>
            <w:r>
              <w:rPr>
                <w:rFonts w:ascii="Arial" w:hAnsi="Arial"/>
              </w:rPr>
              <w:t>5</w:t>
            </w:r>
          </w:p>
        </w:tc>
        <w:tc>
          <w:tcPr>
            <w:tcW w:w="153" w:type="dxa"/>
            <w:tcBorders/>
            <w:shd w:fill="FFFFFF" w:val="clear"/>
            <w:vAlign w:val="center"/>
          </w:tcPr>
          <w:p>
            <w:pPr>
              <w:pStyle w:val="TableContents"/>
              <w:spacing w:before="0" w:after="283"/>
              <w:rPr/>
            </w:pPr>
            <w:r>
              <w:rPr/>
              <w:t> </w:t>
            </w:r>
          </w:p>
        </w:tc>
      </w:tr>
      <w:tr>
        <w:trPr/>
        <w:tc>
          <w:tcPr>
            <w:tcW w:w="622" w:type="dxa"/>
            <w:tcBorders/>
            <w:shd w:fill="E5FFFF" w:val="clear"/>
            <w:vAlign w:val="bottom"/>
          </w:tcPr>
          <w:p>
            <w:pPr>
              <w:pStyle w:val="TableContents"/>
              <w:spacing w:before="0" w:after="283"/>
              <w:jc w:val="left"/>
              <w:rPr/>
            </w:pPr>
            <w:r>
              <w:rPr/>
              <w:t>      </w:t>
            </w:r>
          </w:p>
        </w:tc>
        <w:tc>
          <w:tcPr>
            <w:tcW w:w="3684" w:type="dxa"/>
            <w:tcBorders/>
            <w:shd w:fill="E5FFFF" w:val="clear"/>
            <w:vAlign w:val="bottom"/>
          </w:tcPr>
          <w:p>
            <w:pPr>
              <w:pStyle w:val="TableContents"/>
              <w:spacing w:before="0" w:after="283"/>
              <w:jc w:val="left"/>
              <w:rPr>
                <w:rFonts w:ascii="Arial" w:hAnsi="Arial"/>
              </w:rPr>
            </w:pPr>
            <w:r>
              <w:rPr>
                <w:rFonts w:ascii="Arial" w:hAnsi="Arial"/>
              </w:rPr>
              <w:t>Other</w:t>
            </w:r>
          </w:p>
        </w:tc>
        <w:tc>
          <w:tcPr>
            <w:tcW w:w="272" w:type="dxa"/>
            <w:tcBorders/>
            <w:shd w:fill="E5FFFF" w:val="clear"/>
            <w:vAlign w:val="bottom"/>
          </w:tcPr>
          <w:p>
            <w:pPr>
              <w:pStyle w:val="TableContents"/>
              <w:spacing w:before="0" w:after="283"/>
              <w:jc w:val="right"/>
              <w:rPr/>
            </w:pPr>
            <w:r>
              <w:rPr/>
              <w:t>    </w:t>
            </w:r>
          </w:p>
        </w:tc>
        <w:tc>
          <w:tcPr>
            <w:tcW w:w="225" w:type="dxa"/>
            <w:tcBorders/>
            <w:shd w:fill="E5FFFF" w:val="clear"/>
            <w:vAlign w:val="center"/>
          </w:tcPr>
          <w:p>
            <w:pPr>
              <w:pStyle w:val="TableContents"/>
              <w:spacing w:before="0" w:after="283"/>
              <w:rPr/>
            </w:pPr>
            <w:r>
              <w:rPr/>
              <w:t> </w:t>
            </w:r>
          </w:p>
        </w:tc>
        <w:tc>
          <w:tcPr>
            <w:tcW w:w="1134" w:type="dxa"/>
            <w:tcBorders/>
            <w:shd w:fill="E5FFFF" w:val="clear"/>
            <w:vAlign w:val="bottom"/>
          </w:tcPr>
          <w:p>
            <w:pPr>
              <w:pStyle w:val="TableContents"/>
              <w:spacing w:before="0" w:after="283"/>
              <w:jc w:val="right"/>
              <w:rPr/>
            </w:pPr>
            <w:r>
              <w:rPr/>
              <w:t>—</w:t>
            </w:r>
          </w:p>
        </w:tc>
        <w:tc>
          <w:tcPr>
            <w:tcW w:w="114"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225" w:type="dxa"/>
            <w:tcBorders/>
            <w:shd w:fill="E5FFFF" w:val="clear"/>
            <w:vAlign w:val="center"/>
          </w:tcPr>
          <w:p>
            <w:pPr>
              <w:pStyle w:val="TableContents"/>
              <w:spacing w:before="0" w:after="283"/>
              <w:rPr/>
            </w:pPr>
            <w:r>
              <w:rPr/>
              <w:t> </w:t>
            </w:r>
          </w:p>
        </w:tc>
        <w:tc>
          <w:tcPr>
            <w:tcW w:w="1134" w:type="dxa"/>
            <w:tcBorders/>
            <w:shd w:fill="E5FFFF" w:val="clear"/>
            <w:vAlign w:val="bottom"/>
          </w:tcPr>
          <w:p>
            <w:pPr>
              <w:pStyle w:val="TableContents"/>
              <w:spacing w:before="0" w:after="283"/>
              <w:jc w:val="right"/>
              <w:rPr/>
            </w:pPr>
            <w:r>
              <w:rPr/>
              <w:t>—</w:t>
            </w:r>
          </w:p>
        </w:tc>
        <w:tc>
          <w:tcPr>
            <w:tcW w:w="114"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363" w:type="dxa"/>
            <w:tcBorders/>
            <w:shd w:fill="E5FFFF" w:val="clear"/>
            <w:vAlign w:val="bottom"/>
          </w:tcPr>
          <w:p>
            <w:pPr>
              <w:pStyle w:val="TableContents"/>
              <w:spacing w:before="0" w:after="283"/>
              <w:jc w:val="right"/>
              <w:rPr>
                <w:rFonts w:ascii="Arial" w:hAnsi="Arial"/>
              </w:rPr>
            </w:pPr>
            <w:r>
              <w:rPr>
                <w:rFonts w:ascii="Arial" w:hAnsi="Arial"/>
              </w:rPr>
              <w:t>(10</w:t>
            </w:r>
          </w:p>
        </w:tc>
        <w:tc>
          <w:tcPr>
            <w:tcW w:w="153"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22" w:type="dxa"/>
            <w:tcBorders/>
            <w:shd w:fill="FFFFFF" w:val="clear"/>
            <w:vAlign w:val="center"/>
          </w:tcPr>
          <w:p>
            <w:pPr>
              <w:pStyle w:val="TableContents"/>
              <w:spacing w:before="0" w:after="283"/>
              <w:rPr/>
            </w:pPr>
            <w:r>
              <w:rPr/>
              <w:t> </w:t>
            </w:r>
          </w:p>
        </w:tc>
        <w:tc>
          <w:tcPr>
            <w:tcW w:w="3684"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134" w:type="dxa"/>
            <w:tcBorders/>
            <w:shd w:fill="FFFFFF" w:val="clear"/>
            <w:vAlign w:val="bottom"/>
          </w:tcPr>
          <w:p>
            <w:pPr>
              <w:pStyle w:val="HorizontalLine"/>
              <w:pBdr>
                <w:bottom w:val="single" w:sz="6"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134" w:type="dxa"/>
            <w:tcBorders/>
            <w:shd w:fill="FFFFFF" w:val="clear"/>
            <w:vAlign w:val="bottom"/>
          </w:tcPr>
          <w:p>
            <w:pPr>
              <w:pStyle w:val="HorizontalLine"/>
              <w:pBdr>
                <w:bottom w:val="single" w:sz="6"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363" w:type="dxa"/>
            <w:tcBorders/>
            <w:shd w:fill="FFFFFF" w:val="clear"/>
            <w:vAlign w:val="bottom"/>
          </w:tcPr>
          <w:p>
            <w:pPr>
              <w:pStyle w:val="HorizontalLine"/>
              <w:pBdr>
                <w:bottom w:val="single" w:sz="6" w:space="0" w:color="000000"/>
              </w:pBdr>
              <w:spacing w:before="0" w:after="283"/>
              <w:rPr/>
            </w:pPr>
            <w:r>
              <w:rPr/>
            </w:r>
          </w:p>
        </w:tc>
        <w:tc>
          <w:tcPr>
            <w:tcW w:w="153" w:type="dxa"/>
            <w:tcBorders/>
            <w:shd w:fill="FFFFFF" w:val="clear"/>
            <w:vAlign w:val="center"/>
          </w:tcPr>
          <w:p>
            <w:pPr>
              <w:pStyle w:val="TableContents"/>
              <w:spacing w:before="0" w:after="283"/>
              <w:rPr/>
            </w:pPr>
            <w:r>
              <w:rPr/>
              <w:t> </w:t>
            </w:r>
          </w:p>
        </w:tc>
      </w:tr>
      <w:tr>
        <w:trPr/>
        <w:tc>
          <w:tcPr>
            <w:tcW w:w="622" w:type="dxa"/>
            <w:tcBorders/>
            <w:shd w:fill="E5FFFF" w:val="clear"/>
            <w:vAlign w:val="bottom"/>
          </w:tcPr>
          <w:p>
            <w:pPr>
              <w:pStyle w:val="TableContents"/>
              <w:spacing w:before="0" w:after="283"/>
              <w:jc w:val="left"/>
              <w:rPr/>
            </w:pPr>
            <w:r>
              <w:rPr/>
              <w:t>      </w:t>
            </w:r>
          </w:p>
        </w:tc>
        <w:tc>
          <w:tcPr>
            <w:tcW w:w="3684" w:type="dxa"/>
            <w:tcBorders/>
            <w:shd w:fill="E5FFFF" w:val="clear"/>
            <w:vAlign w:val="bottom"/>
          </w:tcPr>
          <w:p>
            <w:pPr>
              <w:pStyle w:val="TableContents"/>
              <w:spacing w:before="0" w:after="283"/>
              <w:rPr>
                <w:sz w:val="4"/>
                <w:szCs w:val="4"/>
              </w:rPr>
            </w:pPr>
            <w:r>
              <w:rPr>
                <w:sz w:val="4"/>
                <w:szCs w:val="4"/>
              </w:rPr>
            </w:r>
          </w:p>
        </w:tc>
        <w:tc>
          <w:tcPr>
            <w:tcW w:w="272" w:type="dxa"/>
            <w:tcBorders/>
            <w:shd w:fill="E5FFFF" w:val="clear"/>
            <w:vAlign w:val="bottom"/>
          </w:tcPr>
          <w:p>
            <w:pPr>
              <w:pStyle w:val="TableContents"/>
              <w:spacing w:before="0" w:after="283"/>
              <w:jc w:val="right"/>
              <w:rPr/>
            </w:pPr>
            <w:r>
              <w:rPr/>
              <w:t>    </w:t>
            </w:r>
          </w:p>
        </w:tc>
        <w:tc>
          <w:tcPr>
            <w:tcW w:w="225" w:type="dxa"/>
            <w:tcBorders/>
            <w:shd w:fill="E5FFFF" w:val="clear"/>
            <w:vAlign w:val="bottom"/>
          </w:tcPr>
          <w:p>
            <w:pPr>
              <w:pStyle w:val="TableContents"/>
              <w:spacing w:before="0" w:after="283"/>
              <w:jc w:val="right"/>
              <w:rPr>
                <w:rFonts w:ascii="Arial" w:hAnsi="Arial"/>
              </w:rPr>
            </w:pPr>
            <w:r>
              <w:rPr>
                <w:rFonts w:ascii="Arial" w:hAnsi="Arial"/>
              </w:rPr>
              <w:t>$</w:t>
            </w:r>
          </w:p>
        </w:tc>
        <w:tc>
          <w:tcPr>
            <w:tcW w:w="1134" w:type="dxa"/>
            <w:tcBorders/>
            <w:shd w:fill="E5FFFF" w:val="clear"/>
            <w:vAlign w:val="bottom"/>
          </w:tcPr>
          <w:p>
            <w:pPr>
              <w:pStyle w:val="TableContents"/>
              <w:spacing w:before="0" w:after="283"/>
              <w:jc w:val="right"/>
              <w:rPr>
                <w:rFonts w:ascii="Arial" w:hAnsi="Arial"/>
              </w:rPr>
            </w:pPr>
            <w:r>
              <w:rPr>
                <w:rFonts w:ascii="Arial" w:hAnsi="Arial"/>
              </w:rPr>
              <w:t>10</w:t>
            </w:r>
          </w:p>
        </w:tc>
        <w:tc>
          <w:tcPr>
            <w:tcW w:w="114"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225" w:type="dxa"/>
            <w:tcBorders/>
            <w:shd w:fill="E5FFFF" w:val="clear"/>
            <w:vAlign w:val="bottom"/>
          </w:tcPr>
          <w:p>
            <w:pPr>
              <w:pStyle w:val="TableContents"/>
              <w:spacing w:before="0" w:after="283"/>
              <w:jc w:val="right"/>
              <w:rPr>
                <w:rFonts w:ascii="Arial" w:hAnsi="Arial"/>
              </w:rPr>
            </w:pPr>
            <w:r>
              <w:rPr>
                <w:rFonts w:ascii="Arial" w:hAnsi="Arial"/>
              </w:rPr>
              <w:t>$</w:t>
            </w:r>
          </w:p>
        </w:tc>
        <w:tc>
          <w:tcPr>
            <w:tcW w:w="1134" w:type="dxa"/>
            <w:tcBorders/>
            <w:shd w:fill="E5FFFF" w:val="clear"/>
            <w:vAlign w:val="bottom"/>
          </w:tcPr>
          <w:p>
            <w:pPr>
              <w:pStyle w:val="TableContents"/>
              <w:spacing w:before="0" w:after="283"/>
              <w:jc w:val="right"/>
              <w:rPr>
                <w:rFonts w:ascii="Arial" w:hAnsi="Arial"/>
              </w:rPr>
            </w:pPr>
            <w:r>
              <w:rPr>
                <w:rFonts w:ascii="Arial" w:hAnsi="Arial"/>
              </w:rPr>
              <w:t>96</w:t>
            </w:r>
          </w:p>
        </w:tc>
        <w:tc>
          <w:tcPr>
            <w:tcW w:w="114"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363" w:type="dxa"/>
            <w:tcBorders/>
            <w:shd w:fill="E5FFFF" w:val="clear"/>
            <w:vAlign w:val="bottom"/>
          </w:tcPr>
          <w:p>
            <w:pPr>
              <w:pStyle w:val="TableContents"/>
              <w:spacing w:before="0" w:after="283"/>
              <w:jc w:val="right"/>
              <w:rPr>
                <w:rFonts w:ascii="Arial" w:hAnsi="Arial"/>
              </w:rPr>
            </w:pPr>
            <w:r>
              <w:rPr>
                <w:rFonts w:ascii="Arial" w:hAnsi="Arial"/>
              </w:rPr>
              <w:t>(5</w:t>
            </w:r>
          </w:p>
        </w:tc>
        <w:tc>
          <w:tcPr>
            <w:tcW w:w="153"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22" w:type="dxa"/>
            <w:tcBorders/>
            <w:shd w:fill="FFFFFF" w:val="clear"/>
            <w:vAlign w:val="center"/>
          </w:tcPr>
          <w:p>
            <w:pPr>
              <w:pStyle w:val="TableContents"/>
              <w:spacing w:before="0" w:after="283"/>
              <w:rPr/>
            </w:pPr>
            <w:r>
              <w:rPr/>
              <w:t> </w:t>
            </w:r>
          </w:p>
        </w:tc>
        <w:tc>
          <w:tcPr>
            <w:tcW w:w="3684"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134" w:type="dxa"/>
            <w:tcBorders/>
            <w:shd w:fill="FFFFFF" w:val="clear"/>
            <w:vAlign w:val="bottom"/>
          </w:tcPr>
          <w:p>
            <w:pPr>
              <w:pStyle w:val="HorizontalLine"/>
              <w:pBdr>
                <w:bottom w:val="single" w:sz="18"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134" w:type="dxa"/>
            <w:tcBorders/>
            <w:shd w:fill="FFFFFF" w:val="clear"/>
            <w:vAlign w:val="bottom"/>
          </w:tcPr>
          <w:p>
            <w:pPr>
              <w:pStyle w:val="HorizontalLine"/>
              <w:pBdr>
                <w:bottom w:val="single" w:sz="18"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363" w:type="dxa"/>
            <w:tcBorders/>
            <w:shd w:fill="FFFFFF" w:val="clear"/>
            <w:vAlign w:val="bottom"/>
          </w:tcPr>
          <w:p>
            <w:pPr>
              <w:pStyle w:val="HorizontalLine"/>
              <w:pBdr>
                <w:bottom w:val="single" w:sz="18" w:space="0" w:color="000000"/>
              </w:pBdr>
              <w:spacing w:before="0" w:after="283"/>
              <w:rPr/>
            </w:pPr>
            <w:r>
              <w:rPr/>
            </w:r>
          </w:p>
        </w:tc>
        <w:tc>
          <w:tcPr>
            <w:tcW w:w="153" w:type="dxa"/>
            <w:tcBorders/>
            <w:shd w:fill="FFFFFF" w:val="clear"/>
            <w:vAlign w:val="center"/>
          </w:tcPr>
          <w:p>
            <w:pPr>
              <w:pStyle w:val="TableContents"/>
              <w:spacing w:before="0" w:after="283"/>
              <w:rPr/>
            </w:pPr>
            <w:r>
              <w:rPr/>
              <w:t> </w:t>
            </w:r>
          </w:p>
        </w:tc>
      </w:tr>
      <w:tr>
        <w:trPr/>
        <w:tc>
          <w:tcPr>
            <w:tcW w:w="622" w:type="dxa"/>
            <w:tcBorders/>
            <w:shd w:fill="FFFFFF" w:val="clear"/>
            <w:vAlign w:val="bottom"/>
          </w:tcPr>
          <w:p>
            <w:pPr>
              <w:pStyle w:val="TableContents"/>
              <w:spacing w:before="0" w:after="283"/>
              <w:jc w:val="left"/>
              <w:rPr/>
            </w:pPr>
            <w:r>
              <w:rPr/>
              <w:t>      </w:t>
            </w:r>
          </w:p>
        </w:tc>
        <w:tc>
          <w:tcPr>
            <w:tcW w:w="3684" w:type="dxa"/>
            <w:tcBorders/>
            <w:shd w:fill="FFFFFF" w:val="clear"/>
            <w:vAlign w:val="bottom"/>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134"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134"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484"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363"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30</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622"/>
        <w:gridCol w:w="5209"/>
        <w:gridCol w:w="272"/>
        <w:gridCol w:w="232"/>
        <w:gridCol w:w="697"/>
        <w:gridCol w:w="113"/>
        <w:gridCol w:w="484"/>
        <w:gridCol w:w="232"/>
        <w:gridCol w:w="697"/>
        <w:gridCol w:w="113"/>
        <w:gridCol w:w="484"/>
        <w:gridCol w:w="232"/>
        <w:gridCol w:w="697"/>
        <w:gridCol w:w="121"/>
      </w:tblGrid>
      <w:tr>
        <w:trPr/>
        <w:tc>
          <w:tcPr>
            <w:tcW w:w="622" w:type="dxa"/>
            <w:tcBorders/>
            <w:shd w:fill="FFFFFF" w:val="clear"/>
            <w:vAlign w:val="center"/>
          </w:tcPr>
          <w:p>
            <w:pPr>
              <w:pStyle w:val="TableContents"/>
              <w:pageBreakBefore/>
              <w:spacing w:before="0" w:after="283"/>
              <w:rPr/>
            </w:pPr>
            <w:r>
              <w:rPr/>
              <w:t> </w:t>
            </w:r>
          </w:p>
        </w:tc>
        <w:tc>
          <w:tcPr>
            <w:tcW w:w="5209"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4102"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22" w:type="dxa"/>
            <w:tcBorders/>
            <w:shd w:fill="FFFFFF" w:val="clear"/>
            <w:vAlign w:val="center"/>
          </w:tcPr>
          <w:p>
            <w:pPr>
              <w:pStyle w:val="TableContents"/>
              <w:spacing w:before="0" w:after="283"/>
              <w:rPr/>
            </w:pPr>
            <w:r>
              <w:rPr/>
              <w:t> </w:t>
            </w:r>
          </w:p>
        </w:tc>
        <w:tc>
          <w:tcPr>
            <w:tcW w:w="5209"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04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4" w:type="dxa"/>
            <w:tcBorders/>
            <w:shd w:fill="FFFFFF" w:val="clear"/>
            <w:vAlign w:val="center"/>
          </w:tcPr>
          <w:p>
            <w:pPr>
              <w:pStyle w:val="TableContents"/>
              <w:spacing w:before="0" w:after="283"/>
              <w:rPr/>
            </w:pPr>
            <w:r>
              <w:rPr/>
              <w:t> </w:t>
            </w:r>
          </w:p>
        </w:tc>
        <w:tc>
          <w:tcPr>
            <w:tcW w:w="104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4" w:type="dxa"/>
            <w:tcBorders/>
            <w:shd w:fill="FFFFFF" w:val="clear"/>
            <w:vAlign w:val="center"/>
          </w:tcPr>
          <w:p>
            <w:pPr>
              <w:pStyle w:val="TableContents"/>
              <w:spacing w:before="0" w:after="283"/>
              <w:rPr/>
            </w:pPr>
            <w:r>
              <w:rPr/>
              <w:t> </w:t>
            </w:r>
          </w:p>
        </w:tc>
        <w:tc>
          <w:tcPr>
            <w:tcW w:w="105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22" w:type="dxa"/>
            <w:tcBorders/>
            <w:shd w:fill="FFFFFF" w:val="clear"/>
            <w:vAlign w:val="center"/>
          </w:tcPr>
          <w:p>
            <w:pPr>
              <w:pStyle w:val="TableContents"/>
              <w:spacing w:before="0" w:after="283"/>
              <w:rPr/>
            </w:pPr>
            <w:r>
              <w:rPr/>
              <w:t> </w:t>
            </w:r>
          </w:p>
        </w:tc>
        <w:tc>
          <w:tcPr>
            <w:tcW w:w="5209"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4102"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22" w:type="dxa"/>
            <w:tcBorders/>
            <w:shd w:fill="E5FFFF" w:val="clear"/>
            <w:vAlign w:val="bottom"/>
          </w:tcPr>
          <w:p>
            <w:pPr>
              <w:pStyle w:val="TableContents"/>
              <w:spacing w:before="0" w:after="283"/>
              <w:jc w:val="left"/>
              <w:rPr/>
            </w:pPr>
            <w:r>
              <w:rPr/>
              <w:t>      </w:t>
            </w:r>
          </w:p>
        </w:tc>
        <w:tc>
          <w:tcPr>
            <w:tcW w:w="5209" w:type="dxa"/>
            <w:tcBorders/>
            <w:shd w:fill="E5FFFF" w:val="clear"/>
            <w:vAlign w:val="bottom"/>
          </w:tcPr>
          <w:p>
            <w:pPr>
              <w:pStyle w:val="TableContents"/>
              <w:spacing w:before="0" w:after="283"/>
              <w:jc w:val="left"/>
              <w:rPr>
                <w:rFonts w:ascii="Arial" w:hAnsi="Arial"/>
                <w:b/>
              </w:rPr>
            </w:pPr>
            <w:r>
              <w:rPr>
                <w:rFonts w:ascii="Arial" w:hAnsi="Arial"/>
                <w:b/>
              </w:rPr>
              <w:t>Automation and Control Solutions</w:t>
            </w:r>
          </w:p>
        </w:tc>
        <w:tc>
          <w:tcPr>
            <w:tcW w:w="272" w:type="dxa"/>
            <w:tcBorders/>
            <w:shd w:fill="E5FFFF" w:val="clear"/>
            <w:vAlign w:val="center"/>
          </w:tcPr>
          <w:p>
            <w:pPr>
              <w:pStyle w:val="TableContents"/>
              <w:spacing w:before="0" w:after="283"/>
              <w:rPr/>
            </w:pPr>
            <w:r>
              <w:rPr/>
              <w:t> </w:t>
            </w:r>
          </w:p>
        </w:tc>
        <w:tc>
          <w:tcPr>
            <w:tcW w:w="232"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113" w:type="dxa"/>
            <w:tcBorders/>
            <w:shd w:fill="E5FFFF" w:val="clear"/>
            <w:vAlign w:val="center"/>
          </w:tcPr>
          <w:p>
            <w:pPr>
              <w:pStyle w:val="TableContents"/>
              <w:spacing w:before="0" w:after="283"/>
              <w:rPr/>
            </w:pPr>
            <w:r>
              <w:rPr/>
              <w:t> </w:t>
            </w:r>
          </w:p>
        </w:tc>
        <w:tc>
          <w:tcPr>
            <w:tcW w:w="484" w:type="dxa"/>
            <w:tcBorders/>
            <w:shd w:fill="E5FFFF" w:val="clear"/>
            <w:vAlign w:val="center"/>
          </w:tcPr>
          <w:p>
            <w:pPr>
              <w:pStyle w:val="TableContents"/>
              <w:spacing w:before="0" w:after="283"/>
              <w:rPr/>
            </w:pPr>
            <w:r>
              <w:rPr/>
              <w:t> </w:t>
            </w:r>
          </w:p>
        </w:tc>
        <w:tc>
          <w:tcPr>
            <w:tcW w:w="232"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113" w:type="dxa"/>
            <w:tcBorders/>
            <w:shd w:fill="E5FFFF" w:val="clear"/>
            <w:vAlign w:val="center"/>
          </w:tcPr>
          <w:p>
            <w:pPr>
              <w:pStyle w:val="TableContents"/>
              <w:spacing w:before="0" w:after="283"/>
              <w:rPr/>
            </w:pPr>
            <w:r>
              <w:rPr/>
              <w:t> </w:t>
            </w:r>
          </w:p>
        </w:tc>
        <w:tc>
          <w:tcPr>
            <w:tcW w:w="484" w:type="dxa"/>
            <w:tcBorders/>
            <w:shd w:fill="E5FFFF" w:val="clear"/>
            <w:vAlign w:val="center"/>
          </w:tcPr>
          <w:p>
            <w:pPr>
              <w:pStyle w:val="TableContents"/>
              <w:spacing w:before="0" w:after="283"/>
              <w:rPr/>
            </w:pPr>
            <w:r>
              <w:rPr/>
              <w:t> </w:t>
            </w:r>
          </w:p>
        </w:tc>
        <w:tc>
          <w:tcPr>
            <w:tcW w:w="232"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121" w:type="dxa"/>
            <w:tcBorders/>
            <w:shd w:fill="E5FFFF" w:val="clear"/>
            <w:vAlign w:val="center"/>
          </w:tcPr>
          <w:p>
            <w:pPr>
              <w:pStyle w:val="TableContents"/>
              <w:spacing w:before="0" w:after="283"/>
              <w:rPr/>
            </w:pPr>
            <w:r>
              <w:rPr/>
              <w:t> </w:t>
            </w:r>
          </w:p>
        </w:tc>
      </w:tr>
      <w:tr>
        <w:trPr/>
        <w:tc>
          <w:tcPr>
            <w:tcW w:w="622" w:type="dxa"/>
            <w:tcBorders/>
            <w:shd w:fill="auto" w:val="clear"/>
            <w:vAlign w:val="bottom"/>
          </w:tcPr>
          <w:p>
            <w:pPr>
              <w:pStyle w:val="TableContents"/>
              <w:spacing w:before="0" w:after="283"/>
              <w:jc w:val="left"/>
              <w:rPr/>
            </w:pPr>
            <w:r>
              <w:rPr/>
              <w:t>      </w:t>
            </w:r>
          </w:p>
        </w:tc>
        <w:tc>
          <w:tcPr>
            <w:tcW w:w="5209" w:type="dxa"/>
            <w:tcBorders/>
            <w:shd w:fill="auto" w:val="clear"/>
            <w:vAlign w:val="bottom"/>
          </w:tcPr>
          <w:p>
            <w:pPr>
              <w:pStyle w:val="TableContents"/>
              <w:spacing w:before="0" w:after="283"/>
              <w:jc w:val="left"/>
              <w:rPr>
                <w:rFonts w:ascii="Arial" w:hAnsi="Arial"/>
              </w:rPr>
            </w:pPr>
            <w:r>
              <w:rPr>
                <w:rFonts w:ascii="Arial" w:hAnsi="Arial"/>
              </w:rPr>
              <w:t>Net repositioning charge</w:t>
            </w:r>
          </w:p>
        </w:tc>
        <w:tc>
          <w:tcPr>
            <w:tcW w:w="272" w:type="dxa"/>
            <w:tcBorders/>
            <w:shd w:fill="auto" w:val="cle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jc w:val="right"/>
              <w:rPr>
                <w:rFonts w:ascii="Arial" w:hAnsi="Arial"/>
              </w:rPr>
            </w:pPr>
            <w:r>
              <w:rPr>
                <w:rFonts w:ascii="Arial" w:hAnsi="Arial"/>
              </w:rPr>
              <w:t>$</w:t>
            </w:r>
          </w:p>
        </w:tc>
        <w:tc>
          <w:tcPr>
            <w:tcW w:w="697" w:type="dxa"/>
            <w:tcBorders/>
            <w:shd w:fill="auto" w:val="clear"/>
            <w:vAlign w:val="bottom"/>
          </w:tcPr>
          <w:p>
            <w:pPr>
              <w:pStyle w:val="TableContents"/>
              <w:spacing w:before="0" w:after="283"/>
              <w:jc w:val="right"/>
              <w:rPr>
                <w:rFonts w:ascii="Arial" w:hAnsi="Arial"/>
              </w:rPr>
            </w:pPr>
            <w:r>
              <w:rPr>
                <w:rFonts w:ascii="Arial" w:hAnsi="Arial"/>
              </w:rPr>
              <w:t>39</w:t>
            </w:r>
          </w:p>
        </w:tc>
        <w:tc>
          <w:tcPr>
            <w:tcW w:w="113"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jc w:val="right"/>
              <w:rPr>
                <w:rFonts w:ascii="Arial" w:hAnsi="Arial"/>
              </w:rPr>
            </w:pPr>
            <w:r>
              <w:rPr>
                <w:rFonts w:ascii="Arial" w:hAnsi="Arial"/>
              </w:rPr>
              <w:t>$</w:t>
            </w:r>
          </w:p>
        </w:tc>
        <w:tc>
          <w:tcPr>
            <w:tcW w:w="697" w:type="dxa"/>
            <w:tcBorders/>
            <w:shd w:fill="auto" w:val="clear"/>
            <w:vAlign w:val="bottom"/>
          </w:tcPr>
          <w:p>
            <w:pPr>
              <w:pStyle w:val="TableContents"/>
              <w:spacing w:before="0" w:after="283"/>
              <w:jc w:val="right"/>
              <w:rPr>
                <w:rFonts w:ascii="Arial" w:hAnsi="Arial"/>
              </w:rPr>
            </w:pPr>
            <w:r>
              <w:rPr>
                <w:rFonts w:ascii="Arial" w:hAnsi="Arial"/>
              </w:rPr>
              <w:t>84</w:t>
            </w:r>
          </w:p>
        </w:tc>
        <w:tc>
          <w:tcPr>
            <w:tcW w:w="113"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232" w:type="dxa"/>
            <w:tcBorders/>
            <w:shd w:fill="auto" w:val="clear"/>
            <w:vAlign w:val="bottom"/>
          </w:tcPr>
          <w:p>
            <w:pPr>
              <w:pStyle w:val="TableContents"/>
              <w:spacing w:before="0" w:after="283"/>
              <w:jc w:val="right"/>
              <w:rPr>
                <w:rFonts w:ascii="Arial" w:hAnsi="Arial"/>
              </w:rPr>
            </w:pPr>
            <w:r>
              <w:rPr>
                <w:rFonts w:ascii="Arial" w:hAnsi="Arial"/>
              </w:rPr>
              <w:t>$</w:t>
            </w:r>
          </w:p>
        </w:tc>
        <w:tc>
          <w:tcPr>
            <w:tcW w:w="697" w:type="dxa"/>
            <w:tcBorders/>
            <w:shd w:fill="auto" w:val="clear"/>
            <w:vAlign w:val="bottom"/>
          </w:tcPr>
          <w:p>
            <w:pPr>
              <w:pStyle w:val="TableContents"/>
              <w:spacing w:before="0" w:after="283"/>
              <w:jc w:val="right"/>
              <w:rPr>
                <w:rFonts w:ascii="Arial" w:hAnsi="Arial"/>
              </w:rPr>
            </w:pPr>
            <w:r>
              <w:rPr>
                <w:rFonts w:ascii="Arial" w:hAnsi="Arial"/>
              </w:rPr>
              <w:t>15</w:t>
            </w:r>
          </w:p>
        </w:tc>
        <w:tc>
          <w:tcPr>
            <w:tcW w:w="121" w:type="dxa"/>
            <w:tcBorders/>
            <w:shd w:fill="auto" w:val="clear"/>
            <w:vAlign w:val="center"/>
          </w:tcPr>
          <w:p>
            <w:pPr>
              <w:pStyle w:val="TableContents"/>
              <w:spacing w:before="0" w:after="283"/>
              <w:rPr/>
            </w:pPr>
            <w:r>
              <w:rPr/>
              <w:t> </w:t>
            </w:r>
          </w:p>
        </w:tc>
      </w:tr>
      <w:tr>
        <w:trPr/>
        <w:tc>
          <w:tcPr>
            <w:tcW w:w="622" w:type="dxa"/>
            <w:tcBorders/>
            <w:shd w:fill="E5FFFF" w:val="clear"/>
            <w:vAlign w:val="bottom"/>
          </w:tcPr>
          <w:p>
            <w:pPr>
              <w:pStyle w:val="TableContents"/>
              <w:spacing w:before="0" w:after="283"/>
              <w:jc w:val="left"/>
              <w:rPr/>
            </w:pPr>
            <w:r>
              <w:rPr/>
              <w:t>      </w:t>
            </w:r>
          </w:p>
        </w:tc>
        <w:tc>
          <w:tcPr>
            <w:tcW w:w="5209" w:type="dxa"/>
            <w:tcBorders/>
            <w:shd w:fill="E5FFFF" w:val="clear"/>
            <w:vAlign w:val="bottom"/>
          </w:tcPr>
          <w:p>
            <w:pPr>
              <w:pStyle w:val="TableContents"/>
              <w:spacing w:before="0" w:after="283"/>
              <w:jc w:val="left"/>
              <w:rPr>
                <w:rFonts w:ascii="Arial" w:hAnsi="Arial"/>
              </w:rPr>
            </w:pPr>
            <w:r>
              <w:rPr>
                <w:rFonts w:ascii="Arial" w:hAnsi="Arial"/>
              </w:rPr>
              <w:t>Other</w:t>
            </w:r>
          </w:p>
        </w:tc>
        <w:tc>
          <w:tcPr>
            <w:tcW w:w="272"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697" w:type="dxa"/>
            <w:tcBorders/>
            <w:shd w:fill="E5FFFF" w:val="clear"/>
            <w:vAlign w:val="bottom"/>
          </w:tcPr>
          <w:p>
            <w:pPr>
              <w:pStyle w:val="TableContents"/>
              <w:spacing w:before="0" w:after="283"/>
              <w:jc w:val="right"/>
              <w:rPr/>
            </w:pPr>
            <w:r>
              <w:rPr/>
              <w:t>—</w:t>
            </w:r>
          </w:p>
        </w:tc>
        <w:tc>
          <w:tcPr>
            <w:tcW w:w="113"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697" w:type="dxa"/>
            <w:tcBorders/>
            <w:shd w:fill="E5FFFF" w:val="clear"/>
            <w:vAlign w:val="bottom"/>
          </w:tcPr>
          <w:p>
            <w:pPr>
              <w:pStyle w:val="TableContents"/>
              <w:spacing w:before="0" w:after="283"/>
              <w:jc w:val="right"/>
              <w:rPr>
                <w:rFonts w:ascii="Arial" w:hAnsi="Arial"/>
              </w:rPr>
            </w:pPr>
            <w:r>
              <w:rPr>
                <w:rFonts w:ascii="Arial" w:hAnsi="Arial"/>
              </w:rPr>
              <w:t>1</w:t>
            </w:r>
          </w:p>
        </w:tc>
        <w:tc>
          <w:tcPr>
            <w:tcW w:w="113"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697" w:type="dxa"/>
            <w:tcBorders/>
            <w:shd w:fill="E5FFFF" w:val="clear"/>
            <w:vAlign w:val="bottom"/>
          </w:tcPr>
          <w:p>
            <w:pPr>
              <w:pStyle w:val="TableContents"/>
              <w:spacing w:before="0" w:after="283"/>
              <w:jc w:val="right"/>
              <w:rPr>
                <w:rFonts w:ascii="Arial" w:hAnsi="Arial"/>
              </w:rPr>
            </w:pPr>
            <w:r>
              <w:rPr>
                <w:rFonts w:ascii="Arial" w:hAnsi="Arial"/>
              </w:rPr>
              <w:t>13</w:t>
            </w:r>
          </w:p>
        </w:tc>
        <w:tc>
          <w:tcPr>
            <w:tcW w:w="121" w:type="dxa"/>
            <w:tcBorders/>
            <w:shd w:fill="E5FFFF" w:val="clear"/>
            <w:vAlign w:val="center"/>
          </w:tcPr>
          <w:p>
            <w:pPr>
              <w:pStyle w:val="TableContents"/>
              <w:spacing w:before="0" w:after="283"/>
              <w:rPr/>
            </w:pPr>
            <w:r>
              <w:rPr/>
              <w:t> </w:t>
            </w:r>
          </w:p>
        </w:tc>
      </w:tr>
      <w:tr>
        <w:trPr/>
        <w:tc>
          <w:tcPr>
            <w:tcW w:w="622" w:type="dxa"/>
            <w:tcBorders/>
            <w:shd w:fill="auto" w:val="clear"/>
            <w:vAlign w:val="center"/>
          </w:tcPr>
          <w:p>
            <w:pPr>
              <w:pStyle w:val="TableContents"/>
              <w:spacing w:before="0" w:after="283"/>
              <w:rPr/>
            </w:pPr>
            <w:r>
              <w:rPr/>
              <w:t> </w:t>
            </w:r>
          </w:p>
        </w:tc>
        <w:tc>
          <w:tcPr>
            <w:tcW w:w="5209"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232" w:type="dxa"/>
            <w:tcBorders/>
            <w:shd w:fill="auto" w:val="clear"/>
            <w:vAlign w:val="center"/>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center"/>
          </w:tcPr>
          <w:p>
            <w:pPr>
              <w:pStyle w:val="TableContents"/>
              <w:spacing w:before="0" w:after="283"/>
              <w:rPr/>
            </w:pPr>
            <w:r>
              <w:rPr/>
              <w:t> </w:t>
            </w:r>
          </w:p>
        </w:tc>
      </w:tr>
      <w:tr>
        <w:trPr/>
        <w:tc>
          <w:tcPr>
            <w:tcW w:w="622" w:type="dxa"/>
            <w:tcBorders/>
            <w:shd w:fill="E5FFFF" w:val="clear"/>
            <w:vAlign w:val="bottom"/>
          </w:tcPr>
          <w:p>
            <w:pPr>
              <w:pStyle w:val="TableContents"/>
              <w:spacing w:before="0" w:after="283"/>
              <w:jc w:val="left"/>
              <w:rPr/>
            </w:pPr>
            <w:r>
              <w:rPr/>
              <w:t>      </w:t>
            </w:r>
          </w:p>
        </w:tc>
        <w:tc>
          <w:tcPr>
            <w:tcW w:w="5209" w:type="dxa"/>
            <w:tcBorders/>
            <w:shd w:fill="E5FFFF" w:val="clear"/>
            <w:vAlign w:val="bottom"/>
          </w:tcPr>
          <w:p>
            <w:pPr>
              <w:pStyle w:val="TableContents"/>
              <w:spacing w:before="0" w:after="283"/>
              <w:rPr>
                <w:sz w:val="4"/>
                <w:szCs w:val="4"/>
              </w:rPr>
            </w:pPr>
            <w:r>
              <w:rPr>
                <w:sz w:val="4"/>
                <w:szCs w:val="4"/>
              </w:rPr>
            </w:r>
          </w:p>
        </w:tc>
        <w:tc>
          <w:tcPr>
            <w:tcW w:w="272" w:type="dxa"/>
            <w:tcBorders/>
            <w:shd w:fill="E5FFFF" w:val="clear"/>
            <w:vAlign w:val="bottom"/>
          </w:tcPr>
          <w:p>
            <w:pPr>
              <w:pStyle w:val="TableContents"/>
              <w:spacing w:before="0" w:after="283"/>
              <w:jc w:val="right"/>
              <w:rPr/>
            </w:pPr>
            <w:r>
              <w:rPr/>
              <w:t>    </w:t>
            </w:r>
          </w:p>
        </w:tc>
        <w:tc>
          <w:tcPr>
            <w:tcW w:w="232" w:type="dxa"/>
            <w:tcBorders/>
            <w:shd w:fill="E5FFFF" w:val="clear"/>
            <w:vAlign w:val="bottom"/>
          </w:tcPr>
          <w:p>
            <w:pPr>
              <w:pStyle w:val="TableContents"/>
              <w:spacing w:before="0" w:after="283"/>
              <w:jc w:val="right"/>
              <w:rPr>
                <w:rFonts w:ascii="Arial" w:hAnsi="Arial"/>
              </w:rPr>
            </w:pPr>
            <w:r>
              <w:rPr>
                <w:rFonts w:ascii="Arial" w:hAnsi="Arial"/>
              </w:rPr>
              <w:t>$</w:t>
            </w:r>
          </w:p>
        </w:tc>
        <w:tc>
          <w:tcPr>
            <w:tcW w:w="697" w:type="dxa"/>
            <w:tcBorders/>
            <w:shd w:fill="E5FFFF" w:val="clear"/>
            <w:vAlign w:val="bottom"/>
          </w:tcPr>
          <w:p>
            <w:pPr>
              <w:pStyle w:val="TableContents"/>
              <w:spacing w:before="0" w:after="283"/>
              <w:jc w:val="right"/>
              <w:rPr>
                <w:rFonts w:ascii="Arial" w:hAnsi="Arial"/>
              </w:rPr>
            </w:pPr>
            <w:r>
              <w:rPr>
                <w:rFonts w:ascii="Arial" w:hAnsi="Arial"/>
              </w:rPr>
              <w:t>39</w:t>
            </w:r>
          </w:p>
        </w:tc>
        <w:tc>
          <w:tcPr>
            <w:tcW w:w="113"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232" w:type="dxa"/>
            <w:tcBorders/>
            <w:shd w:fill="E5FFFF" w:val="clear"/>
            <w:vAlign w:val="bottom"/>
          </w:tcPr>
          <w:p>
            <w:pPr>
              <w:pStyle w:val="TableContents"/>
              <w:spacing w:before="0" w:after="283"/>
              <w:jc w:val="right"/>
              <w:rPr>
                <w:rFonts w:ascii="Arial" w:hAnsi="Arial"/>
              </w:rPr>
            </w:pPr>
            <w:r>
              <w:rPr>
                <w:rFonts w:ascii="Arial" w:hAnsi="Arial"/>
              </w:rPr>
              <w:t>$</w:t>
            </w:r>
          </w:p>
        </w:tc>
        <w:tc>
          <w:tcPr>
            <w:tcW w:w="697" w:type="dxa"/>
            <w:tcBorders/>
            <w:shd w:fill="E5FFFF" w:val="clear"/>
            <w:vAlign w:val="bottom"/>
          </w:tcPr>
          <w:p>
            <w:pPr>
              <w:pStyle w:val="TableContents"/>
              <w:spacing w:before="0" w:after="283"/>
              <w:jc w:val="right"/>
              <w:rPr>
                <w:rFonts w:ascii="Arial" w:hAnsi="Arial"/>
              </w:rPr>
            </w:pPr>
            <w:r>
              <w:rPr>
                <w:rFonts w:ascii="Arial" w:hAnsi="Arial"/>
              </w:rPr>
              <w:t>85</w:t>
            </w:r>
          </w:p>
        </w:tc>
        <w:tc>
          <w:tcPr>
            <w:tcW w:w="113"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232" w:type="dxa"/>
            <w:tcBorders/>
            <w:shd w:fill="E5FFFF" w:val="clear"/>
            <w:vAlign w:val="bottom"/>
          </w:tcPr>
          <w:p>
            <w:pPr>
              <w:pStyle w:val="TableContents"/>
              <w:spacing w:before="0" w:after="283"/>
              <w:jc w:val="right"/>
              <w:rPr>
                <w:rFonts w:ascii="Arial" w:hAnsi="Arial"/>
              </w:rPr>
            </w:pPr>
            <w:r>
              <w:rPr>
                <w:rFonts w:ascii="Arial" w:hAnsi="Arial"/>
              </w:rPr>
              <w:t>$</w:t>
            </w:r>
          </w:p>
        </w:tc>
        <w:tc>
          <w:tcPr>
            <w:tcW w:w="697" w:type="dxa"/>
            <w:tcBorders/>
            <w:shd w:fill="E5FFFF" w:val="clear"/>
            <w:vAlign w:val="bottom"/>
          </w:tcPr>
          <w:p>
            <w:pPr>
              <w:pStyle w:val="TableContents"/>
              <w:spacing w:before="0" w:after="283"/>
              <w:jc w:val="right"/>
              <w:rPr>
                <w:rFonts w:ascii="Arial" w:hAnsi="Arial"/>
              </w:rPr>
            </w:pPr>
            <w:r>
              <w:rPr>
                <w:rFonts w:ascii="Arial" w:hAnsi="Arial"/>
              </w:rPr>
              <w:t>28</w:t>
            </w:r>
          </w:p>
        </w:tc>
        <w:tc>
          <w:tcPr>
            <w:tcW w:w="121" w:type="dxa"/>
            <w:tcBorders/>
            <w:shd w:fill="E5FFFF" w:val="clear"/>
            <w:vAlign w:val="center"/>
          </w:tcPr>
          <w:p>
            <w:pPr>
              <w:pStyle w:val="TableContents"/>
              <w:spacing w:before="0" w:after="283"/>
              <w:rPr/>
            </w:pPr>
            <w:r>
              <w:rPr/>
              <w:t> </w:t>
            </w:r>
          </w:p>
        </w:tc>
      </w:tr>
      <w:tr>
        <w:trPr/>
        <w:tc>
          <w:tcPr>
            <w:tcW w:w="622" w:type="dxa"/>
            <w:tcBorders/>
            <w:shd w:fill="FFFFFF" w:val="clear"/>
            <w:vAlign w:val="bottom"/>
          </w:tcPr>
          <w:p>
            <w:pPr>
              <w:pStyle w:val="TableContents"/>
              <w:spacing w:before="0" w:after="283"/>
              <w:jc w:val="left"/>
              <w:rPr/>
            </w:pPr>
            <w:r>
              <w:rPr/>
              <w:t>      </w:t>
            </w:r>
          </w:p>
        </w:tc>
        <w:tc>
          <w:tcPr>
            <w:tcW w:w="5209" w:type="dxa"/>
            <w:tcBorders/>
            <w:shd w:fill="FFFFFF" w:val="clear"/>
            <w:vAlign w:val="bottom"/>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rPr/>
            </w:pPr>
            <w:r>
              <w:rPr/>
              <w:t> </w:t>
            </w:r>
          </w:p>
        </w:tc>
        <w:tc>
          <w:tcPr>
            <w:tcW w:w="484"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rPr/>
            </w:pPr>
            <w:r>
              <w:rPr/>
              <w:t> </w:t>
            </w:r>
          </w:p>
        </w:tc>
        <w:tc>
          <w:tcPr>
            <w:tcW w:w="484"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r>
      <w:tr>
        <w:trPr/>
        <w:tc>
          <w:tcPr>
            <w:tcW w:w="622" w:type="dxa"/>
            <w:tcBorders/>
            <w:shd w:fill="FFFFFF" w:val="clear"/>
            <w:vAlign w:val="center"/>
          </w:tcPr>
          <w:p>
            <w:pPr>
              <w:pStyle w:val="TableContents"/>
              <w:spacing w:before="0" w:after="283"/>
              <w:rPr/>
            </w:pPr>
            <w:r>
              <w:rPr/>
              <w:t> </w:t>
            </w:r>
          </w:p>
        </w:tc>
        <w:tc>
          <w:tcPr>
            <w:tcW w:w="5209"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HorizontalLine"/>
              <w:pBdr>
                <w:bottom w:val="single" w:sz="18" w:space="0" w:color="000000"/>
              </w:pBdr>
              <w:spacing w:before="0" w:after="283"/>
              <w:rPr/>
            </w:pPr>
            <w:r>
              <w:rPr/>
            </w:r>
          </w:p>
        </w:tc>
        <w:tc>
          <w:tcPr>
            <w:tcW w:w="113"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HorizontalLine"/>
              <w:pBdr>
                <w:bottom w:val="single" w:sz="18" w:space="0" w:color="000000"/>
              </w:pBdr>
              <w:spacing w:before="0" w:after="283"/>
              <w:rPr/>
            </w:pPr>
            <w:r>
              <w:rPr/>
            </w:r>
          </w:p>
        </w:tc>
        <w:tc>
          <w:tcPr>
            <w:tcW w:w="113" w:type="dxa"/>
            <w:tcBorders/>
            <w:shd w:fill="FFFFFF" w:val="clear"/>
            <w:vAlign w:val="center"/>
          </w:tcPr>
          <w:p>
            <w:pPr>
              <w:pStyle w:val="TableContents"/>
              <w:spacing w:before="0" w:after="283"/>
              <w:rPr/>
            </w:pPr>
            <w:r>
              <w:rPr/>
              <w:t> </w:t>
            </w:r>
          </w:p>
        </w:tc>
        <w:tc>
          <w:tcPr>
            <w:tcW w:w="484"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HorizontalLine"/>
              <w:pBdr>
                <w:bottom w:val="single" w:sz="18" w:space="0" w:color="000000"/>
              </w:pBdr>
              <w:spacing w:before="0" w:after="283"/>
              <w:rPr/>
            </w:pPr>
            <w:r>
              <w:rPr/>
            </w:r>
          </w:p>
        </w:tc>
        <w:tc>
          <w:tcPr>
            <w:tcW w:w="121"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23"/>
        <w:gridCol w:w="5222"/>
        <w:gridCol w:w="273"/>
        <w:gridCol w:w="198"/>
        <w:gridCol w:w="751"/>
        <w:gridCol w:w="145"/>
        <w:gridCol w:w="485"/>
        <w:gridCol w:w="198"/>
        <w:gridCol w:w="751"/>
        <w:gridCol w:w="145"/>
        <w:gridCol w:w="485"/>
        <w:gridCol w:w="217"/>
        <w:gridCol w:w="591"/>
        <w:gridCol w:w="121"/>
      </w:tblGrid>
      <w:tr>
        <w:trPr/>
        <w:tc>
          <w:tcPr>
            <w:tcW w:w="623" w:type="dxa"/>
            <w:tcBorders/>
            <w:shd w:fill="FFFFFF" w:val="clear"/>
            <w:vAlign w:val="center"/>
          </w:tcPr>
          <w:p>
            <w:pPr>
              <w:pStyle w:val="TableContents"/>
              <w:spacing w:before="0" w:after="283"/>
              <w:rPr/>
            </w:pPr>
            <w:r>
              <w:rPr/>
              <w:t> </w:t>
            </w:r>
          </w:p>
        </w:tc>
        <w:tc>
          <w:tcPr>
            <w:tcW w:w="5222"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rPr/>
            </w:pPr>
            <w:r>
              <w:rPr/>
              <w:t> </w:t>
            </w:r>
          </w:p>
        </w:tc>
        <w:tc>
          <w:tcPr>
            <w:tcW w:w="4087"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23" w:type="dxa"/>
            <w:tcBorders/>
            <w:shd w:fill="FFFFFF" w:val="clear"/>
            <w:vAlign w:val="center"/>
          </w:tcPr>
          <w:p>
            <w:pPr>
              <w:pStyle w:val="TableContents"/>
              <w:spacing w:before="0" w:after="283"/>
              <w:rPr/>
            </w:pPr>
            <w:r>
              <w:rPr/>
              <w:t> </w:t>
            </w:r>
          </w:p>
        </w:tc>
        <w:tc>
          <w:tcPr>
            <w:tcW w:w="5222"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rPr/>
            </w:pPr>
            <w:r>
              <w:rPr/>
              <w:t> </w:t>
            </w:r>
          </w:p>
        </w:tc>
        <w:tc>
          <w:tcPr>
            <w:tcW w:w="109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09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929"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23" w:type="dxa"/>
            <w:tcBorders/>
            <w:shd w:fill="FFFFFF" w:val="clear"/>
            <w:vAlign w:val="center"/>
          </w:tcPr>
          <w:p>
            <w:pPr>
              <w:pStyle w:val="TableContents"/>
              <w:spacing w:before="0" w:after="283"/>
              <w:rPr/>
            </w:pPr>
            <w:r>
              <w:rPr/>
              <w:t> </w:t>
            </w:r>
          </w:p>
        </w:tc>
        <w:tc>
          <w:tcPr>
            <w:tcW w:w="5222" w:type="dxa"/>
            <w:tcBorders/>
            <w:shd w:fill="FFFFFF" w:val="clear"/>
            <w:vAlign w:val="center"/>
          </w:tcPr>
          <w:p>
            <w:pPr>
              <w:pStyle w:val="TableContents"/>
              <w:spacing w:before="0" w:after="283"/>
              <w:rPr/>
            </w:pPr>
            <w:r>
              <w:rPr/>
              <w:t> </w:t>
            </w:r>
          </w:p>
        </w:tc>
        <w:tc>
          <w:tcPr>
            <w:tcW w:w="273" w:type="dxa"/>
            <w:tcBorders/>
            <w:shd w:fill="FFFFFF" w:val="clear"/>
            <w:vAlign w:val="center"/>
          </w:tcPr>
          <w:p>
            <w:pPr>
              <w:pStyle w:val="TableContents"/>
              <w:spacing w:before="0" w:after="283"/>
              <w:rPr/>
            </w:pPr>
            <w:r>
              <w:rPr/>
              <w:t> </w:t>
            </w:r>
          </w:p>
        </w:tc>
        <w:tc>
          <w:tcPr>
            <w:tcW w:w="4087"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23" w:type="dxa"/>
            <w:tcBorders/>
            <w:shd w:fill="E5FFFF" w:val="clear"/>
            <w:vAlign w:val="bottom"/>
          </w:tcPr>
          <w:p>
            <w:pPr>
              <w:pStyle w:val="TableContents"/>
              <w:spacing w:before="0" w:after="283"/>
              <w:jc w:val="left"/>
              <w:rPr/>
            </w:pPr>
            <w:r>
              <w:rPr/>
              <w:t>      </w:t>
            </w:r>
          </w:p>
        </w:tc>
        <w:tc>
          <w:tcPr>
            <w:tcW w:w="5222" w:type="dxa"/>
            <w:tcBorders/>
            <w:shd w:fill="E5FFFF" w:val="clear"/>
            <w:vAlign w:val="bottom"/>
          </w:tcPr>
          <w:p>
            <w:pPr>
              <w:pStyle w:val="TableContents"/>
              <w:spacing w:before="0" w:after="283"/>
              <w:jc w:val="left"/>
              <w:rPr>
                <w:rFonts w:ascii="Arial" w:hAnsi="Arial"/>
                <w:b/>
              </w:rPr>
            </w:pPr>
            <w:r>
              <w:rPr>
                <w:rFonts w:ascii="Arial" w:hAnsi="Arial"/>
                <w:b/>
              </w:rPr>
              <w:t>Specialty Materials</w:t>
            </w:r>
          </w:p>
        </w:tc>
        <w:tc>
          <w:tcPr>
            <w:tcW w:w="273" w:type="dxa"/>
            <w:tcBorders/>
            <w:shd w:fill="E5FFFF" w:val="clear"/>
            <w:vAlign w:val="center"/>
          </w:tcPr>
          <w:p>
            <w:pPr>
              <w:pStyle w:val="TableContents"/>
              <w:spacing w:before="0" w:after="283"/>
              <w:rPr/>
            </w:pPr>
            <w:r>
              <w:rPr/>
              <w:t> </w:t>
            </w:r>
          </w:p>
        </w:tc>
        <w:tc>
          <w:tcPr>
            <w:tcW w:w="198" w:type="dxa"/>
            <w:tcBorders/>
            <w:shd w:fill="E5FFFF" w:val="clear"/>
            <w:vAlign w:val="center"/>
          </w:tcPr>
          <w:p>
            <w:pPr>
              <w:pStyle w:val="TableContents"/>
              <w:spacing w:before="0" w:after="283"/>
              <w:rPr/>
            </w:pPr>
            <w:r>
              <w:rPr/>
              <w:t> </w:t>
            </w:r>
          </w:p>
        </w:tc>
        <w:tc>
          <w:tcPr>
            <w:tcW w:w="751" w:type="dxa"/>
            <w:tcBorders/>
            <w:shd w:fill="E5FFFF" w:val="clear"/>
            <w:vAlign w:val="center"/>
          </w:tcPr>
          <w:p>
            <w:pPr>
              <w:pStyle w:val="TableContents"/>
              <w:spacing w:before="0" w:after="283"/>
              <w:rPr/>
            </w:pPr>
            <w:r>
              <w:rPr/>
              <w:t> </w:t>
            </w:r>
          </w:p>
        </w:tc>
        <w:tc>
          <w:tcPr>
            <w:tcW w:w="145" w:type="dxa"/>
            <w:tcBorders/>
            <w:shd w:fill="E5FFFF" w:val="clear"/>
            <w:vAlign w:val="center"/>
          </w:tcPr>
          <w:p>
            <w:pPr>
              <w:pStyle w:val="TableContents"/>
              <w:spacing w:before="0" w:after="283"/>
              <w:rPr/>
            </w:pPr>
            <w:r>
              <w:rPr/>
              <w:t> </w:t>
            </w:r>
          </w:p>
        </w:tc>
        <w:tc>
          <w:tcPr>
            <w:tcW w:w="485" w:type="dxa"/>
            <w:tcBorders/>
            <w:shd w:fill="E5FFFF" w:val="clear"/>
            <w:vAlign w:val="center"/>
          </w:tcPr>
          <w:p>
            <w:pPr>
              <w:pStyle w:val="TableContents"/>
              <w:spacing w:before="0" w:after="283"/>
              <w:rPr/>
            </w:pPr>
            <w:r>
              <w:rPr/>
              <w:t> </w:t>
            </w:r>
          </w:p>
        </w:tc>
        <w:tc>
          <w:tcPr>
            <w:tcW w:w="198" w:type="dxa"/>
            <w:tcBorders/>
            <w:shd w:fill="E5FFFF" w:val="clear"/>
            <w:vAlign w:val="center"/>
          </w:tcPr>
          <w:p>
            <w:pPr>
              <w:pStyle w:val="TableContents"/>
              <w:spacing w:before="0" w:after="283"/>
              <w:rPr/>
            </w:pPr>
            <w:r>
              <w:rPr/>
              <w:t> </w:t>
            </w:r>
          </w:p>
        </w:tc>
        <w:tc>
          <w:tcPr>
            <w:tcW w:w="751" w:type="dxa"/>
            <w:tcBorders/>
            <w:shd w:fill="E5FFFF" w:val="clear"/>
            <w:vAlign w:val="center"/>
          </w:tcPr>
          <w:p>
            <w:pPr>
              <w:pStyle w:val="TableContents"/>
              <w:spacing w:before="0" w:after="283"/>
              <w:rPr/>
            </w:pPr>
            <w:r>
              <w:rPr/>
              <w:t> </w:t>
            </w:r>
          </w:p>
        </w:tc>
        <w:tc>
          <w:tcPr>
            <w:tcW w:w="145" w:type="dxa"/>
            <w:tcBorders/>
            <w:shd w:fill="E5FFFF" w:val="clear"/>
            <w:vAlign w:val="center"/>
          </w:tcPr>
          <w:p>
            <w:pPr>
              <w:pStyle w:val="TableContents"/>
              <w:spacing w:before="0" w:after="283"/>
              <w:rPr/>
            </w:pPr>
            <w:r>
              <w:rPr/>
              <w:t> </w:t>
            </w:r>
          </w:p>
        </w:tc>
        <w:tc>
          <w:tcPr>
            <w:tcW w:w="485"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591" w:type="dxa"/>
            <w:tcBorders/>
            <w:shd w:fill="E5FFFF" w:val="clear"/>
            <w:vAlign w:val="center"/>
          </w:tcPr>
          <w:p>
            <w:pPr>
              <w:pStyle w:val="TableContents"/>
              <w:spacing w:before="0" w:after="283"/>
              <w:rPr/>
            </w:pPr>
            <w:r>
              <w:rPr/>
              <w:t> </w:t>
            </w:r>
          </w:p>
        </w:tc>
        <w:tc>
          <w:tcPr>
            <w:tcW w:w="121" w:type="dxa"/>
            <w:tcBorders/>
            <w:shd w:fill="E5FFFF" w:val="clear"/>
            <w:vAlign w:val="center"/>
          </w:tcPr>
          <w:p>
            <w:pPr>
              <w:pStyle w:val="TableContents"/>
              <w:spacing w:before="0" w:after="283"/>
              <w:rPr/>
            </w:pPr>
            <w:r>
              <w:rPr/>
              <w:t> </w:t>
            </w:r>
          </w:p>
        </w:tc>
      </w:tr>
      <w:tr>
        <w:trPr/>
        <w:tc>
          <w:tcPr>
            <w:tcW w:w="623" w:type="dxa"/>
            <w:tcBorders/>
            <w:shd w:fill="FFFFFF" w:val="clear"/>
            <w:vAlign w:val="bottom"/>
          </w:tcPr>
          <w:p>
            <w:pPr>
              <w:pStyle w:val="TableContents"/>
              <w:spacing w:before="0" w:after="283"/>
              <w:jc w:val="left"/>
              <w:rPr/>
            </w:pPr>
            <w:r>
              <w:rPr/>
              <w:t>      </w:t>
            </w:r>
          </w:p>
        </w:tc>
        <w:tc>
          <w:tcPr>
            <w:tcW w:w="5222" w:type="dxa"/>
            <w:tcBorders/>
            <w:shd w:fill="FFFFFF" w:val="clear"/>
            <w:vAlign w:val="bottom"/>
          </w:tcPr>
          <w:p>
            <w:pPr>
              <w:pStyle w:val="TableContents"/>
              <w:spacing w:before="0" w:after="283"/>
              <w:jc w:val="left"/>
              <w:rPr>
                <w:rFonts w:ascii="Arial" w:hAnsi="Arial"/>
              </w:rPr>
            </w:pPr>
            <w:r>
              <w:rPr>
                <w:rFonts w:ascii="Arial" w:hAnsi="Arial"/>
              </w:rPr>
              <w:t>Net repositioning charge</w:t>
            </w:r>
          </w:p>
        </w:tc>
        <w:tc>
          <w:tcPr>
            <w:tcW w:w="273" w:type="dxa"/>
            <w:tcBorders/>
            <w:shd w:fill="FFFFFF" w:val="clear"/>
            <w:vAlign w:val="bottom"/>
          </w:tcPr>
          <w:p>
            <w:pPr>
              <w:pStyle w:val="TableContents"/>
              <w:spacing w:before="0" w:after="283"/>
              <w:jc w:val="right"/>
              <w:rPr/>
            </w:pPr>
            <w:r>
              <w:rPr/>
              <w:t>    </w:t>
            </w:r>
          </w:p>
        </w:tc>
        <w:tc>
          <w:tcPr>
            <w:tcW w:w="198" w:type="dxa"/>
            <w:tcBorders/>
            <w:shd w:fill="FFFFFF" w:val="clear"/>
            <w:vAlign w:val="bottom"/>
          </w:tcPr>
          <w:p>
            <w:pPr>
              <w:pStyle w:val="TableContents"/>
              <w:spacing w:before="0" w:after="283"/>
              <w:jc w:val="right"/>
              <w:rPr>
                <w:rFonts w:ascii="Arial" w:hAnsi="Arial"/>
              </w:rPr>
            </w:pPr>
            <w:r>
              <w:rPr>
                <w:rFonts w:ascii="Arial" w:hAnsi="Arial"/>
              </w:rPr>
              <w:t>$</w:t>
            </w:r>
          </w:p>
        </w:tc>
        <w:tc>
          <w:tcPr>
            <w:tcW w:w="751" w:type="dxa"/>
            <w:tcBorders/>
            <w:shd w:fill="FFFFFF" w:val="clear"/>
            <w:vAlign w:val="bottom"/>
          </w:tcPr>
          <w:p>
            <w:pPr>
              <w:pStyle w:val="TableContents"/>
              <w:spacing w:before="0" w:after="283"/>
              <w:jc w:val="right"/>
              <w:rPr>
                <w:rFonts w:ascii="Arial" w:hAnsi="Arial"/>
              </w:rPr>
            </w:pPr>
            <w:r>
              <w:rPr>
                <w:rFonts w:ascii="Arial" w:hAnsi="Arial"/>
              </w:rPr>
              <w:t>11</w:t>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8" w:type="dxa"/>
            <w:tcBorders/>
            <w:shd w:fill="FFFFFF" w:val="clear"/>
            <w:vAlign w:val="bottom"/>
          </w:tcPr>
          <w:p>
            <w:pPr>
              <w:pStyle w:val="TableContents"/>
              <w:spacing w:before="0" w:after="283"/>
              <w:jc w:val="right"/>
              <w:rPr>
                <w:rFonts w:ascii="Arial" w:hAnsi="Arial"/>
              </w:rPr>
            </w:pPr>
            <w:r>
              <w:rPr>
                <w:rFonts w:ascii="Arial" w:hAnsi="Arial"/>
              </w:rPr>
              <w:t>$</w:t>
            </w:r>
          </w:p>
        </w:tc>
        <w:tc>
          <w:tcPr>
            <w:tcW w:w="751" w:type="dxa"/>
            <w:tcBorders/>
            <w:shd w:fill="FFFFFF" w:val="clear"/>
            <w:vAlign w:val="bottom"/>
          </w:tcPr>
          <w:p>
            <w:pPr>
              <w:pStyle w:val="TableContents"/>
              <w:spacing w:before="0" w:after="283"/>
              <w:jc w:val="right"/>
              <w:rPr>
                <w:rFonts w:ascii="Arial" w:hAnsi="Arial"/>
              </w:rPr>
            </w:pPr>
            <w:r>
              <w:rPr>
                <w:rFonts w:ascii="Arial" w:hAnsi="Arial"/>
              </w:rPr>
              <w:t>14</w:t>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217" w:type="dxa"/>
            <w:tcBorders/>
            <w:shd w:fill="FFFFFF" w:val="clear"/>
            <w:vAlign w:val="bottom"/>
          </w:tcPr>
          <w:p>
            <w:pPr>
              <w:pStyle w:val="TableContents"/>
              <w:spacing w:before="0" w:after="283"/>
              <w:jc w:val="right"/>
              <w:rPr>
                <w:rFonts w:ascii="Arial" w:hAnsi="Arial"/>
              </w:rPr>
            </w:pPr>
            <w:r>
              <w:rPr>
                <w:rFonts w:ascii="Arial" w:hAnsi="Arial"/>
              </w:rPr>
              <w:t>$</w:t>
            </w:r>
          </w:p>
        </w:tc>
        <w:tc>
          <w:tcPr>
            <w:tcW w:w="591" w:type="dxa"/>
            <w:tcBorders/>
            <w:shd w:fill="FFFFFF" w:val="clear"/>
            <w:vAlign w:val="bottom"/>
          </w:tcPr>
          <w:p>
            <w:pPr>
              <w:pStyle w:val="TableContents"/>
              <w:spacing w:before="0" w:after="283"/>
              <w:jc w:val="right"/>
              <w:rPr>
                <w:rFonts w:ascii="Arial" w:hAnsi="Arial"/>
              </w:rPr>
            </w:pPr>
            <w:r>
              <w:rPr>
                <w:rFonts w:ascii="Arial" w:hAnsi="Arial"/>
              </w:rPr>
              <w:t>36</w:t>
            </w:r>
          </w:p>
        </w:tc>
        <w:tc>
          <w:tcPr>
            <w:tcW w:w="121" w:type="dxa"/>
            <w:tcBorders/>
            <w:shd w:fill="FFFFFF" w:val="clear"/>
            <w:vAlign w:val="center"/>
          </w:tcPr>
          <w:p>
            <w:pPr>
              <w:pStyle w:val="TableContents"/>
              <w:spacing w:before="0" w:after="283"/>
              <w:rPr/>
            </w:pPr>
            <w:r>
              <w:rPr/>
              <w:t> </w:t>
            </w:r>
          </w:p>
        </w:tc>
      </w:tr>
      <w:tr>
        <w:trPr/>
        <w:tc>
          <w:tcPr>
            <w:tcW w:w="623" w:type="dxa"/>
            <w:tcBorders/>
            <w:shd w:fill="E5FFFF" w:val="clear"/>
            <w:vAlign w:val="bottom"/>
          </w:tcPr>
          <w:p>
            <w:pPr>
              <w:pStyle w:val="TableContents"/>
              <w:spacing w:before="0" w:after="283"/>
              <w:jc w:val="left"/>
              <w:rPr/>
            </w:pPr>
            <w:r>
              <w:rPr/>
              <w:t>      </w:t>
            </w:r>
          </w:p>
        </w:tc>
        <w:tc>
          <w:tcPr>
            <w:tcW w:w="5222" w:type="dxa"/>
            <w:tcBorders/>
            <w:shd w:fill="E5FFFF" w:val="clear"/>
            <w:vAlign w:val="bottom"/>
          </w:tcPr>
          <w:p>
            <w:pPr>
              <w:pStyle w:val="TableContents"/>
              <w:spacing w:before="0" w:after="283"/>
              <w:jc w:val="left"/>
              <w:rPr>
                <w:rFonts w:ascii="Arial" w:hAnsi="Arial"/>
              </w:rPr>
            </w:pPr>
            <w:r>
              <w:rPr>
                <w:rFonts w:ascii="Arial" w:hAnsi="Arial"/>
              </w:rPr>
              <w:t>Business impairment charges</w:t>
            </w:r>
          </w:p>
        </w:tc>
        <w:tc>
          <w:tcPr>
            <w:tcW w:w="273"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751" w:type="dxa"/>
            <w:tcBorders/>
            <w:shd w:fill="E5FFFF" w:val="clear"/>
            <w:vAlign w:val="bottom"/>
          </w:tcPr>
          <w:p>
            <w:pPr>
              <w:pStyle w:val="TableContents"/>
              <w:spacing w:before="0" w:after="283"/>
              <w:jc w:val="right"/>
              <w:rPr>
                <w:rFonts w:ascii="Arial" w:hAnsi="Arial"/>
              </w:rPr>
            </w:pPr>
            <w:r>
              <w:rPr>
                <w:rFonts w:ascii="Arial" w:hAnsi="Arial"/>
              </w:rPr>
              <w:t>12</w:t>
            </w:r>
          </w:p>
        </w:tc>
        <w:tc>
          <w:tcPr>
            <w:tcW w:w="145"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751" w:type="dxa"/>
            <w:tcBorders/>
            <w:shd w:fill="E5FFFF" w:val="clear"/>
            <w:vAlign w:val="bottom"/>
          </w:tcPr>
          <w:p>
            <w:pPr>
              <w:pStyle w:val="TableContents"/>
              <w:spacing w:before="0" w:after="283"/>
              <w:jc w:val="right"/>
              <w:rPr>
                <w:rFonts w:ascii="Arial" w:hAnsi="Arial"/>
              </w:rPr>
            </w:pPr>
            <w:r>
              <w:rPr>
                <w:rFonts w:ascii="Arial" w:hAnsi="Arial"/>
              </w:rPr>
              <w:t>23</w:t>
            </w:r>
          </w:p>
        </w:tc>
        <w:tc>
          <w:tcPr>
            <w:tcW w:w="145"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591" w:type="dxa"/>
            <w:tcBorders/>
            <w:shd w:fill="E5FFFF" w:val="clear"/>
            <w:vAlign w:val="bottom"/>
          </w:tcPr>
          <w:p>
            <w:pPr>
              <w:pStyle w:val="TableContents"/>
              <w:spacing w:before="0" w:after="283"/>
              <w:jc w:val="right"/>
              <w:rPr>
                <w:rFonts w:ascii="Arial" w:hAnsi="Arial"/>
              </w:rPr>
            </w:pPr>
            <w:r>
              <w:rPr>
                <w:rFonts w:ascii="Arial" w:hAnsi="Arial"/>
              </w:rPr>
              <w:t>42</w:t>
            </w:r>
          </w:p>
        </w:tc>
        <w:tc>
          <w:tcPr>
            <w:tcW w:w="121" w:type="dxa"/>
            <w:tcBorders/>
            <w:shd w:fill="E5FFFF" w:val="clear"/>
            <w:vAlign w:val="center"/>
          </w:tcPr>
          <w:p>
            <w:pPr>
              <w:pStyle w:val="TableContents"/>
              <w:spacing w:before="0" w:after="283"/>
              <w:rPr/>
            </w:pPr>
            <w:r>
              <w:rPr/>
              <w:t> </w:t>
            </w:r>
          </w:p>
        </w:tc>
      </w:tr>
      <w:tr>
        <w:trPr/>
        <w:tc>
          <w:tcPr>
            <w:tcW w:w="623" w:type="dxa"/>
            <w:tcBorders/>
            <w:shd w:fill="FFFFFF" w:val="clear"/>
            <w:vAlign w:val="bottom"/>
          </w:tcPr>
          <w:p>
            <w:pPr>
              <w:pStyle w:val="TableContents"/>
              <w:spacing w:before="0" w:after="283"/>
              <w:jc w:val="left"/>
              <w:rPr/>
            </w:pPr>
            <w:r>
              <w:rPr/>
              <w:t>      </w:t>
            </w:r>
          </w:p>
        </w:tc>
        <w:tc>
          <w:tcPr>
            <w:tcW w:w="5222" w:type="dxa"/>
            <w:tcBorders/>
            <w:shd w:fill="FFFFFF" w:val="clear"/>
            <w:vAlign w:val="bottom"/>
          </w:tcPr>
          <w:p>
            <w:pPr>
              <w:pStyle w:val="TableContents"/>
              <w:spacing w:before="0" w:after="283"/>
              <w:jc w:val="left"/>
              <w:rPr>
                <w:rFonts w:ascii="Arial" w:hAnsi="Arial"/>
              </w:rPr>
            </w:pPr>
            <w:r>
              <w:rPr>
                <w:rFonts w:ascii="Arial" w:hAnsi="Arial"/>
              </w:rPr>
              <w:t>Arbitration award related to phenol supply agreement</w:t>
            </w:r>
          </w:p>
        </w:tc>
        <w:tc>
          <w:tcPr>
            <w:tcW w:w="27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bottom"/>
          </w:tcPr>
          <w:p>
            <w:pPr>
              <w:pStyle w:val="TableContents"/>
              <w:spacing w:before="0" w:after="283"/>
              <w:jc w:val="right"/>
              <w:rPr>
                <w:rFonts w:ascii="Arial" w:hAnsi="Arial"/>
              </w:rPr>
            </w:pPr>
            <w:r>
              <w:rPr>
                <w:rFonts w:ascii="Arial" w:hAnsi="Arial"/>
              </w:rPr>
              <w:t>(18</w:t>
            </w:r>
          </w:p>
        </w:tc>
        <w:tc>
          <w:tcPr>
            <w:tcW w:w="145"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bottom"/>
          </w:tcPr>
          <w:p>
            <w:pPr>
              <w:pStyle w:val="TableContents"/>
              <w:spacing w:before="0" w:after="283"/>
              <w:jc w:val="right"/>
              <w:rPr>
                <w:rFonts w:ascii="Arial" w:hAnsi="Arial"/>
              </w:rPr>
            </w:pPr>
            <w:r>
              <w:rPr>
                <w:rFonts w:ascii="Arial" w:hAnsi="Arial"/>
              </w:rPr>
              <w:t>(67</w:t>
            </w:r>
          </w:p>
        </w:tc>
        <w:tc>
          <w:tcPr>
            <w:tcW w:w="145"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591"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r>
      <w:tr>
        <w:trPr/>
        <w:tc>
          <w:tcPr>
            <w:tcW w:w="623" w:type="dxa"/>
            <w:tcBorders/>
            <w:shd w:fill="E5FFFF" w:val="clear"/>
            <w:vAlign w:val="bottom"/>
          </w:tcPr>
          <w:p>
            <w:pPr>
              <w:pStyle w:val="TableContents"/>
              <w:spacing w:before="0" w:after="283"/>
              <w:jc w:val="left"/>
              <w:rPr/>
            </w:pPr>
            <w:r>
              <w:rPr/>
              <w:t>      </w:t>
            </w:r>
          </w:p>
        </w:tc>
        <w:tc>
          <w:tcPr>
            <w:tcW w:w="5222" w:type="dxa"/>
            <w:tcBorders/>
            <w:shd w:fill="E5FFFF" w:val="clear"/>
            <w:vAlign w:val="bottom"/>
          </w:tcPr>
          <w:p>
            <w:pPr>
              <w:pStyle w:val="TableContents"/>
              <w:spacing w:before="0" w:after="283"/>
              <w:jc w:val="left"/>
              <w:rPr>
                <w:rFonts w:ascii="Arial" w:hAnsi="Arial"/>
              </w:rPr>
            </w:pPr>
            <w:r>
              <w:rPr>
                <w:rFonts w:ascii="Arial" w:hAnsi="Arial"/>
              </w:rPr>
              <w:t>Other</w:t>
            </w:r>
          </w:p>
        </w:tc>
        <w:tc>
          <w:tcPr>
            <w:tcW w:w="273"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751" w:type="dxa"/>
            <w:tcBorders/>
            <w:shd w:fill="E5FFFF" w:val="clear"/>
            <w:vAlign w:val="bottom"/>
          </w:tcPr>
          <w:p>
            <w:pPr>
              <w:pStyle w:val="TableContents"/>
              <w:spacing w:before="0" w:after="283"/>
              <w:jc w:val="right"/>
              <w:rPr/>
            </w:pPr>
            <w:r>
              <w:rPr/>
              <w:t>—</w:t>
            </w:r>
          </w:p>
        </w:tc>
        <w:tc>
          <w:tcPr>
            <w:tcW w:w="145"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8" w:type="dxa"/>
            <w:tcBorders/>
            <w:shd w:fill="E5FFFF" w:val="clear"/>
            <w:vAlign w:val="center"/>
          </w:tcPr>
          <w:p>
            <w:pPr>
              <w:pStyle w:val="TableContents"/>
              <w:spacing w:before="0" w:after="283"/>
              <w:rPr/>
            </w:pPr>
            <w:r>
              <w:rPr/>
              <w:t> </w:t>
            </w:r>
          </w:p>
        </w:tc>
        <w:tc>
          <w:tcPr>
            <w:tcW w:w="751" w:type="dxa"/>
            <w:tcBorders/>
            <w:shd w:fill="E5FFFF" w:val="clear"/>
            <w:vAlign w:val="bottom"/>
          </w:tcPr>
          <w:p>
            <w:pPr>
              <w:pStyle w:val="TableContents"/>
              <w:spacing w:before="0" w:after="283"/>
              <w:jc w:val="right"/>
              <w:rPr>
                <w:rFonts w:ascii="Arial" w:hAnsi="Arial"/>
              </w:rPr>
            </w:pPr>
            <w:r>
              <w:rPr>
                <w:rFonts w:ascii="Arial" w:hAnsi="Arial"/>
              </w:rPr>
              <w:t>(4</w:t>
            </w:r>
          </w:p>
        </w:tc>
        <w:tc>
          <w:tcPr>
            <w:tcW w:w="145" w:type="dxa"/>
            <w:tcBorders/>
            <w:shd w:fill="E5FFFF" w:val="clear"/>
            <w:vAlign w:val="bottom"/>
          </w:tcPr>
          <w:p>
            <w:pPr>
              <w:pStyle w:val="TableContents"/>
              <w:spacing w:before="0" w:after="283"/>
              <w:jc w:val="left"/>
              <w:rPr>
                <w:rFonts w:ascii="Arial" w:hAnsi="Arial"/>
              </w:rPr>
            </w:pPr>
            <w:r>
              <w:rPr>
                <w:rFonts w:ascii="Arial" w:hAnsi="Arial"/>
              </w:rPr>
              <w:t>)</w:t>
            </w:r>
          </w:p>
        </w:tc>
        <w:tc>
          <w:tcPr>
            <w:tcW w:w="485"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591" w:type="dxa"/>
            <w:tcBorders/>
            <w:shd w:fill="E5FFFF" w:val="clear"/>
            <w:vAlign w:val="bottom"/>
          </w:tcPr>
          <w:p>
            <w:pPr>
              <w:pStyle w:val="TableContents"/>
              <w:spacing w:before="0" w:after="283"/>
              <w:jc w:val="right"/>
              <w:rPr>
                <w:rFonts w:ascii="Arial" w:hAnsi="Arial"/>
              </w:rPr>
            </w:pPr>
            <w:r>
              <w:rPr>
                <w:rFonts w:ascii="Arial" w:hAnsi="Arial"/>
              </w:rPr>
              <w:t>12</w:t>
            </w:r>
          </w:p>
        </w:tc>
        <w:tc>
          <w:tcPr>
            <w:tcW w:w="121" w:type="dxa"/>
            <w:tcBorders/>
            <w:shd w:fill="E5FFFF" w:val="clear"/>
            <w:vAlign w:val="center"/>
          </w:tcPr>
          <w:p>
            <w:pPr>
              <w:pStyle w:val="TableContents"/>
              <w:spacing w:before="0" w:after="283"/>
              <w:rPr/>
            </w:pPr>
            <w:r>
              <w:rPr/>
              <w:t> </w:t>
            </w:r>
          </w:p>
        </w:tc>
      </w:tr>
      <w:tr>
        <w:trPr/>
        <w:tc>
          <w:tcPr>
            <w:tcW w:w="623" w:type="dxa"/>
            <w:tcBorders/>
            <w:shd w:fill="FFFFFF" w:val="clear"/>
            <w:vAlign w:val="center"/>
          </w:tcPr>
          <w:p>
            <w:pPr>
              <w:pStyle w:val="TableContents"/>
              <w:spacing w:before="0" w:after="283"/>
              <w:rPr/>
            </w:pPr>
            <w:r>
              <w:rPr/>
              <w:t> </w:t>
            </w:r>
          </w:p>
        </w:tc>
        <w:tc>
          <w:tcPr>
            <w:tcW w:w="5222" w:type="dxa"/>
            <w:tcBorders/>
            <w:shd w:fill="FFFFFF" w:val="clear"/>
            <w:vAlign w:val="center"/>
          </w:tcPr>
          <w:p>
            <w:pPr>
              <w:pStyle w:val="TableContents"/>
              <w:spacing w:before="0" w:after="283"/>
              <w:rPr/>
            </w:pPr>
            <w:r>
              <w:rPr/>
              <w:t> </w:t>
            </w:r>
          </w:p>
        </w:tc>
        <w:tc>
          <w:tcPr>
            <w:tcW w:w="27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bottom"/>
          </w:tcPr>
          <w:p>
            <w:pPr>
              <w:pStyle w:val="HorizontalLine"/>
              <w:pBdr>
                <w:bottom w:val="single" w:sz="6" w:space="0" w:color="000000"/>
              </w:pBdr>
              <w:spacing w:before="0" w:after="283"/>
              <w:rPr/>
            </w:pPr>
            <w:r>
              <w:rPr/>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bottom"/>
          </w:tcPr>
          <w:p>
            <w:pPr>
              <w:pStyle w:val="HorizontalLine"/>
              <w:pBdr>
                <w:bottom w:val="single" w:sz="6" w:space="0" w:color="000000"/>
              </w:pBdr>
              <w:spacing w:before="0" w:after="283"/>
              <w:rPr/>
            </w:pPr>
            <w:r>
              <w:rPr/>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591" w:type="dxa"/>
            <w:tcBorders/>
            <w:shd w:fill="FFFFFF" w:val="clear"/>
            <w:vAlign w:val="bottom"/>
          </w:tcPr>
          <w:p>
            <w:pPr>
              <w:pStyle w:val="HorizontalLine"/>
              <w:pBdr>
                <w:bottom w:val="single" w:sz="6" w:space="0" w:color="000000"/>
              </w:pBdr>
              <w:spacing w:before="0" w:after="283"/>
              <w:rPr/>
            </w:pPr>
            <w:r>
              <w:rPr/>
            </w:r>
          </w:p>
        </w:tc>
        <w:tc>
          <w:tcPr>
            <w:tcW w:w="121" w:type="dxa"/>
            <w:tcBorders/>
            <w:shd w:fill="FFFFFF" w:val="clear"/>
            <w:vAlign w:val="center"/>
          </w:tcPr>
          <w:p>
            <w:pPr>
              <w:pStyle w:val="TableContents"/>
              <w:spacing w:before="0" w:after="283"/>
              <w:rPr/>
            </w:pPr>
            <w:r>
              <w:rPr/>
              <w:t> </w:t>
            </w:r>
          </w:p>
        </w:tc>
      </w:tr>
      <w:tr>
        <w:trPr/>
        <w:tc>
          <w:tcPr>
            <w:tcW w:w="623" w:type="dxa"/>
            <w:tcBorders/>
            <w:shd w:fill="E5FFFF" w:val="clear"/>
            <w:vAlign w:val="bottom"/>
          </w:tcPr>
          <w:p>
            <w:pPr>
              <w:pStyle w:val="TableContents"/>
              <w:spacing w:before="0" w:after="283"/>
              <w:jc w:val="left"/>
              <w:rPr/>
            </w:pPr>
            <w:r>
              <w:rPr/>
              <w:t>      </w:t>
            </w:r>
          </w:p>
        </w:tc>
        <w:tc>
          <w:tcPr>
            <w:tcW w:w="5222" w:type="dxa"/>
            <w:tcBorders/>
            <w:shd w:fill="E5FFFF" w:val="clear"/>
            <w:vAlign w:val="bottom"/>
          </w:tcPr>
          <w:p>
            <w:pPr>
              <w:pStyle w:val="TableContents"/>
              <w:spacing w:before="0" w:after="283"/>
              <w:rPr>
                <w:sz w:val="4"/>
                <w:szCs w:val="4"/>
              </w:rPr>
            </w:pPr>
            <w:r>
              <w:rPr>
                <w:sz w:val="4"/>
                <w:szCs w:val="4"/>
              </w:rPr>
            </w:r>
          </w:p>
        </w:tc>
        <w:tc>
          <w:tcPr>
            <w:tcW w:w="273"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751" w:type="dxa"/>
            <w:tcBorders/>
            <w:shd w:fill="E5FFFF" w:val="clear"/>
            <w:vAlign w:val="bottom"/>
          </w:tcPr>
          <w:p>
            <w:pPr>
              <w:pStyle w:val="TableContents"/>
              <w:spacing w:before="0" w:after="283"/>
              <w:jc w:val="right"/>
              <w:rPr>
                <w:rFonts w:ascii="Arial" w:hAnsi="Arial"/>
              </w:rPr>
            </w:pPr>
            <w:r>
              <w:rPr>
                <w:rFonts w:ascii="Arial" w:hAnsi="Arial"/>
              </w:rPr>
              <w:t>5</w:t>
            </w:r>
          </w:p>
        </w:tc>
        <w:tc>
          <w:tcPr>
            <w:tcW w:w="145"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8" w:type="dxa"/>
            <w:tcBorders/>
            <w:shd w:fill="E5FFFF" w:val="clear"/>
            <w:vAlign w:val="bottom"/>
          </w:tcPr>
          <w:p>
            <w:pPr>
              <w:pStyle w:val="TableContents"/>
              <w:spacing w:before="0" w:after="283"/>
              <w:jc w:val="right"/>
              <w:rPr>
                <w:rFonts w:ascii="Arial" w:hAnsi="Arial"/>
              </w:rPr>
            </w:pPr>
            <w:r>
              <w:rPr>
                <w:rFonts w:ascii="Arial" w:hAnsi="Arial"/>
              </w:rPr>
              <w:t>$</w:t>
            </w:r>
          </w:p>
        </w:tc>
        <w:tc>
          <w:tcPr>
            <w:tcW w:w="751" w:type="dxa"/>
            <w:tcBorders/>
            <w:shd w:fill="E5FFFF" w:val="clear"/>
            <w:vAlign w:val="bottom"/>
          </w:tcPr>
          <w:p>
            <w:pPr>
              <w:pStyle w:val="TableContents"/>
              <w:spacing w:before="0" w:after="283"/>
              <w:jc w:val="right"/>
              <w:rPr>
                <w:rFonts w:ascii="Arial" w:hAnsi="Arial"/>
              </w:rPr>
            </w:pPr>
            <w:r>
              <w:rPr>
                <w:rFonts w:ascii="Arial" w:hAnsi="Arial"/>
              </w:rPr>
              <w:t>(34</w:t>
            </w:r>
          </w:p>
        </w:tc>
        <w:tc>
          <w:tcPr>
            <w:tcW w:w="145" w:type="dxa"/>
            <w:tcBorders/>
            <w:shd w:fill="E5FFFF" w:val="clear"/>
            <w:vAlign w:val="bottom"/>
          </w:tcPr>
          <w:p>
            <w:pPr>
              <w:pStyle w:val="TableContents"/>
              <w:spacing w:before="0" w:after="283"/>
              <w:jc w:val="left"/>
              <w:rPr>
                <w:rFonts w:ascii="Arial" w:hAnsi="Arial"/>
              </w:rPr>
            </w:pPr>
            <w:r>
              <w:rPr>
                <w:rFonts w:ascii="Arial" w:hAnsi="Arial"/>
              </w:rPr>
              <w:t>)</w:t>
            </w:r>
          </w:p>
        </w:tc>
        <w:tc>
          <w:tcPr>
            <w:tcW w:w="485" w:type="dxa"/>
            <w:tcBorders/>
            <w:shd w:fill="E5FFFF" w:val="clear"/>
            <w:vAlign w:val="bottom"/>
          </w:tcPr>
          <w:p>
            <w:pPr>
              <w:pStyle w:val="TableContents"/>
              <w:spacing w:before="0" w:after="283"/>
              <w:jc w:val="right"/>
              <w:rPr/>
            </w:pPr>
            <w:r>
              <w:rPr/>
              <w:t>        </w:t>
            </w:r>
          </w:p>
        </w:tc>
        <w:tc>
          <w:tcPr>
            <w:tcW w:w="217" w:type="dxa"/>
            <w:tcBorders/>
            <w:shd w:fill="E5FFFF" w:val="clear"/>
            <w:vAlign w:val="bottom"/>
          </w:tcPr>
          <w:p>
            <w:pPr>
              <w:pStyle w:val="TableContents"/>
              <w:spacing w:before="0" w:after="283"/>
              <w:jc w:val="right"/>
              <w:rPr>
                <w:rFonts w:ascii="Arial" w:hAnsi="Arial"/>
              </w:rPr>
            </w:pPr>
            <w:r>
              <w:rPr>
                <w:rFonts w:ascii="Arial" w:hAnsi="Arial"/>
              </w:rPr>
              <w:t>$</w:t>
            </w:r>
          </w:p>
        </w:tc>
        <w:tc>
          <w:tcPr>
            <w:tcW w:w="591" w:type="dxa"/>
            <w:tcBorders/>
            <w:shd w:fill="E5FFFF" w:val="clear"/>
            <w:vAlign w:val="bottom"/>
          </w:tcPr>
          <w:p>
            <w:pPr>
              <w:pStyle w:val="TableContents"/>
              <w:spacing w:before="0" w:after="283"/>
              <w:jc w:val="right"/>
              <w:rPr>
                <w:rFonts w:ascii="Arial" w:hAnsi="Arial"/>
              </w:rPr>
            </w:pPr>
            <w:r>
              <w:rPr>
                <w:rFonts w:ascii="Arial" w:hAnsi="Arial"/>
              </w:rPr>
              <w:t>90</w:t>
            </w:r>
          </w:p>
        </w:tc>
        <w:tc>
          <w:tcPr>
            <w:tcW w:w="121" w:type="dxa"/>
            <w:tcBorders/>
            <w:shd w:fill="E5FFFF" w:val="clear"/>
            <w:vAlign w:val="center"/>
          </w:tcPr>
          <w:p>
            <w:pPr>
              <w:pStyle w:val="TableContents"/>
              <w:spacing w:before="0" w:after="283"/>
              <w:rPr/>
            </w:pPr>
            <w:r>
              <w:rPr/>
              <w:t> </w:t>
            </w:r>
          </w:p>
        </w:tc>
      </w:tr>
      <w:tr>
        <w:trPr/>
        <w:tc>
          <w:tcPr>
            <w:tcW w:w="623" w:type="dxa"/>
            <w:tcBorders/>
            <w:shd w:fill="FFFFFF" w:val="clear"/>
            <w:vAlign w:val="center"/>
          </w:tcPr>
          <w:p>
            <w:pPr>
              <w:pStyle w:val="TableContents"/>
              <w:spacing w:before="0" w:after="283"/>
              <w:rPr/>
            </w:pPr>
            <w:r>
              <w:rPr/>
              <w:t> </w:t>
            </w:r>
          </w:p>
        </w:tc>
        <w:tc>
          <w:tcPr>
            <w:tcW w:w="5222" w:type="dxa"/>
            <w:tcBorders/>
            <w:shd w:fill="FFFFFF" w:val="clear"/>
            <w:vAlign w:val="center"/>
          </w:tcPr>
          <w:p>
            <w:pPr>
              <w:pStyle w:val="TableContents"/>
              <w:spacing w:before="0" w:after="283"/>
              <w:rPr/>
            </w:pPr>
            <w:r>
              <w:rPr/>
              <w:t> </w:t>
            </w:r>
          </w:p>
        </w:tc>
        <w:tc>
          <w:tcPr>
            <w:tcW w:w="273"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bottom"/>
          </w:tcPr>
          <w:p>
            <w:pPr>
              <w:pStyle w:val="HorizontalLine"/>
              <w:pBdr>
                <w:bottom w:val="single" w:sz="18" w:space="0" w:color="000000"/>
              </w:pBdr>
              <w:spacing w:before="0" w:after="283"/>
              <w:rPr/>
            </w:pPr>
            <w:r>
              <w:rPr/>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bottom"/>
          </w:tcPr>
          <w:p>
            <w:pPr>
              <w:pStyle w:val="HorizontalLine"/>
              <w:pBdr>
                <w:bottom w:val="single" w:sz="18" w:space="0" w:color="000000"/>
              </w:pBdr>
              <w:spacing w:before="0" w:after="283"/>
              <w:rPr/>
            </w:pPr>
            <w:r>
              <w:rPr/>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591" w:type="dxa"/>
            <w:tcBorders/>
            <w:shd w:fill="FFFFFF" w:val="clear"/>
            <w:vAlign w:val="bottom"/>
          </w:tcPr>
          <w:p>
            <w:pPr>
              <w:pStyle w:val="HorizontalLine"/>
              <w:pBdr>
                <w:bottom w:val="single" w:sz="18" w:space="0" w:color="000000"/>
              </w:pBdr>
              <w:spacing w:before="0" w:after="283"/>
              <w:rPr/>
            </w:pPr>
            <w:r>
              <w:rPr/>
            </w:r>
          </w:p>
        </w:tc>
        <w:tc>
          <w:tcPr>
            <w:tcW w:w="121" w:type="dxa"/>
            <w:tcBorders/>
            <w:shd w:fill="FFFFFF" w:val="clear"/>
            <w:vAlign w:val="center"/>
          </w:tcPr>
          <w:p>
            <w:pPr>
              <w:pStyle w:val="TableContents"/>
              <w:spacing w:before="0" w:after="283"/>
              <w:rPr/>
            </w:pPr>
            <w:r>
              <w:rPr/>
              <w:t> </w:t>
            </w:r>
          </w:p>
        </w:tc>
      </w:tr>
      <w:tr>
        <w:trPr/>
        <w:tc>
          <w:tcPr>
            <w:tcW w:w="623" w:type="dxa"/>
            <w:tcBorders/>
            <w:shd w:fill="FFFFFF" w:val="clear"/>
            <w:vAlign w:val="bottom"/>
          </w:tcPr>
          <w:p>
            <w:pPr>
              <w:pStyle w:val="TableContents"/>
              <w:spacing w:before="0" w:after="283"/>
              <w:jc w:val="left"/>
              <w:rPr/>
            </w:pPr>
            <w:r>
              <w:rPr/>
              <w:t>      </w:t>
            </w:r>
          </w:p>
        </w:tc>
        <w:tc>
          <w:tcPr>
            <w:tcW w:w="5222" w:type="dxa"/>
            <w:tcBorders/>
            <w:shd w:fill="FFFFFF" w:val="clear"/>
            <w:vAlign w:val="bottom"/>
          </w:tcPr>
          <w:p>
            <w:pPr>
              <w:pStyle w:val="TableContents"/>
              <w:spacing w:before="0" w:after="283"/>
              <w:rPr>
                <w:sz w:val="4"/>
                <w:szCs w:val="4"/>
              </w:rPr>
            </w:pPr>
            <w:r>
              <w:rPr>
                <w:sz w:val="4"/>
                <w:szCs w:val="4"/>
              </w:rPr>
            </w:r>
          </w:p>
        </w:tc>
        <w:tc>
          <w:tcPr>
            <w:tcW w:w="273"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751"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591"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07"/>
        <w:gridCol w:w="5281"/>
        <w:gridCol w:w="270"/>
        <w:gridCol w:w="195"/>
        <w:gridCol w:w="781"/>
        <w:gridCol w:w="111"/>
        <w:gridCol w:w="483"/>
        <w:gridCol w:w="213"/>
        <w:gridCol w:w="577"/>
        <w:gridCol w:w="110"/>
        <w:gridCol w:w="483"/>
        <w:gridCol w:w="195"/>
        <w:gridCol w:w="781"/>
        <w:gridCol w:w="118"/>
      </w:tblGrid>
      <w:tr>
        <w:trPr/>
        <w:tc>
          <w:tcPr>
            <w:tcW w:w="607" w:type="dxa"/>
            <w:tcBorders/>
            <w:shd w:fill="FFFFFF" w:val="clear"/>
            <w:vAlign w:val="center"/>
          </w:tcPr>
          <w:p>
            <w:pPr>
              <w:pStyle w:val="TableContents"/>
              <w:spacing w:before="0" w:after="283"/>
              <w:rPr/>
            </w:pPr>
            <w:r>
              <w:rPr/>
              <w:t> </w:t>
            </w:r>
          </w:p>
        </w:tc>
        <w:tc>
          <w:tcPr>
            <w:tcW w:w="5281"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4047"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07" w:type="dxa"/>
            <w:tcBorders/>
            <w:shd w:fill="FFFFFF" w:val="clear"/>
            <w:vAlign w:val="center"/>
          </w:tcPr>
          <w:p>
            <w:pPr>
              <w:pStyle w:val="TableContents"/>
              <w:spacing w:before="0" w:after="283"/>
              <w:rPr/>
            </w:pPr>
            <w:r>
              <w:rPr/>
              <w:t> </w:t>
            </w:r>
          </w:p>
        </w:tc>
        <w:tc>
          <w:tcPr>
            <w:tcW w:w="5281"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1087"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3" w:type="dxa"/>
            <w:tcBorders/>
            <w:shd w:fill="FFFFFF" w:val="clear"/>
            <w:vAlign w:val="center"/>
          </w:tcPr>
          <w:p>
            <w:pPr>
              <w:pStyle w:val="TableContents"/>
              <w:spacing w:before="0" w:after="283"/>
              <w:rPr/>
            </w:pPr>
            <w:r>
              <w:rPr/>
              <w:t> </w:t>
            </w:r>
          </w:p>
        </w:tc>
        <w:tc>
          <w:tcPr>
            <w:tcW w:w="90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3" w:type="dxa"/>
            <w:tcBorders/>
            <w:shd w:fill="FFFFFF" w:val="clear"/>
            <w:vAlign w:val="center"/>
          </w:tcPr>
          <w:p>
            <w:pPr>
              <w:pStyle w:val="TableContents"/>
              <w:spacing w:before="0" w:after="283"/>
              <w:rPr/>
            </w:pPr>
            <w:r>
              <w:rPr/>
              <w:t> </w:t>
            </w:r>
          </w:p>
        </w:tc>
        <w:tc>
          <w:tcPr>
            <w:tcW w:w="1094"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07" w:type="dxa"/>
            <w:tcBorders/>
            <w:shd w:fill="FFFFFF" w:val="clear"/>
            <w:vAlign w:val="center"/>
          </w:tcPr>
          <w:p>
            <w:pPr>
              <w:pStyle w:val="TableContents"/>
              <w:spacing w:before="0" w:after="283"/>
              <w:rPr/>
            </w:pPr>
            <w:r>
              <w:rPr/>
              <w:t> </w:t>
            </w:r>
          </w:p>
        </w:tc>
        <w:tc>
          <w:tcPr>
            <w:tcW w:w="5281"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4047"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07" w:type="dxa"/>
            <w:tcBorders/>
            <w:shd w:fill="E5FFFF" w:val="clear"/>
            <w:vAlign w:val="bottom"/>
          </w:tcPr>
          <w:p>
            <w:pPr>
              <w:pStyle w:val="TableContents"/>
              <w:spacing w:before="0" w:after="283"/>
              <w:jc w:val="left"/>
              <w:rPr/>
            </w:pPr>
            <w:r>
              <w:rPr/>
              <w:t>      </w:t>
            </w:r>
          </w:p>
        </w:tc>
        <w:tc>
          <w:tcPr>
            <w:tcW w:w="5281" w:type="dxa"/>
            <w:tcBorders/>
            <w:shd w:fill="E5FFFF" w:val="clear"/>
            <w:vAlign w:val="bottom"/>
          </w:tcPr>
          <w:p>
            <w:pPr>
              <w:pStyle w:val="TableContents"/>
              <w:spacing w:before="0" w:after="283"/>
              <w:jc w:val="left"/>
              <w:rPr>
                <w:rFonts w:ascii="Arial" w:hAnsi="Arial"/>
                <w:b/>
              </w:rPr>
            </w:pPr>
            <w:r>
              <w:rPr>
                <w:rFonts w:ascii="Arial" w:hAnsi="Arial"/>
                <w:b/>
              </w:rPr>
              <w:t>Transportation Systems</w:t>
            </w:r>
          </w:p>
        </w:tc>
        <w:tc>
          <w:tcPr>
            <w:tcW w:w="270" w:type="dxa"/>
            <w:tcBorders/>
            <w:shd w:fill="E5FFFF" w:val="clear"/>
            <w:vAlign w:val="center"/>
          </w:tcPr>
          <w:p>
            <w:pPr>
              <w:pStyle w:val="TableContents"/>
              <w:spacing w:before="0" w:after="283"/>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center"/>
          </w:tcPr>
          <w:p>
            <w:pPr>
              <w:pStyle w:val="TableContents"/>
              <w:spacing w:before="0" w:after="283"/>
              <w:rPr/>
            </w:pPr>
            <w:r>
              <w:rPr/>
              <w:t> </w:t>
            </w:r>
          </w:p>
        </w:tc>
        <w:tc>
          <w:tcPr>
            <w:tcW w:w="111" w:type="dxa"/>
            <w:tcBorders/>
            <w:shd w:fill="E5FFFF" w:val="clear"/>
            <w:vAlign w:val="center"/>
          </w:tcPr>
          <w:p>
            <w:pPr>
              <w:pStyle w:val="TableContents"/>
              <w:spacing w:before="0" w:after="283"/>
              <w:rPr/>
            </w:pPr>
            <w:r>
              <w:rPr/>
              <w:t> </w:t>
            </w:r>
          </w:p>
        </w:tc>
        <w:tc>
          <w:tcPr>
            <w:tcW w:w="483" w:type="dxa"/>
            <w:tcBorders/>
            <w:shd w:fill="E5FFFF" w:val="clear"/>
            <w:vAlign w:val="center"/>
          </w:tcPr>
          <w:p>
            <w:pPr>
              <w:pStyle w:val="TableContents"/>
              <w:spacing w:before="0" w:after="283"/>
              <w:rPr/>
            </w:pPr>
            <w:r>
              <w:rPr/>
              <w:t> </w:t>
            </w:r>
          </w:p>
        </w:tc>
        <w:tc>
          <w:tcPr>
            <w:tcW w:w="213" w:type="dxa"/>
            <w:tcBorders/>
            <w:shd w:fill="E5FFFF" w:val="clear"/>
            <w:vAlign w:val="center"/>
          </w:tcPr>
          <w:p>
            <w:pPr>
              <w:pStyle w:val="TableContents"/>
              <w:spacing w:before="0" w:after="283"/>
              <w:rPr/>
            </w:pPr>
            <w:r>
              <w:rPr/>
              <w:t> </w:t>
            </w:r>
          </w:p>
        </w:tc>
        <w:tc>
          <w:tcPr>
            <w:tcW w:w="577" w:type="dxa"/>
            <w:tcBorders/>
            <w:shd w:fill="E5FFFF" w:val="clear"/>
            <w:vAlign w:val="center"/>
          </w:tcPr>
          <w:p>
            <w:pPr>
              <w:pStyle w:val="TableContents"/>
              <w:spacing w:before="0" w:after="283"/>
              <w:rPr/>
            </w:pPr>
            <w:r>
              <w:rPr/>
              <w:t> </w:t>
            </w:r>
          </w:p>
        </w:tc>
        <w:tc>
          <w:tcPr>
            <w:tcW w:w="110" w:type="dxa"/>
            <w:tcBorders/>
            <w:shd w:fill="E5FFFF" w:val="clear"/>
            <w:vAlign w:val="center"/>
          </w:tcPr>
          <w:p>
            <w:pPr>
              <w:pStyle w:val="TableContents"/>
              <w:spacing w:before="0" w:after="283"/>
              <w:rPr/>
            </w:pPr>
            <w:r>
              <w:rPr/>
              <w:t> </w:t>
            </w:r>
          </w:p>
        </w:tc>
        <w:tc>
          <w:tcPr>
            <w:tcW w:w="483" w:type="dxa"/>
            <w:tcBorders/>
            <w:shd w:fill="E5FFFF" w:val="clear"/>
            <w:vAlign w:val="center"/>
          </w:tcPr>
          <w:p>
            <w:pPr>
              <w:pStyle w:val="TableContents"/>
              <w:spacing w:before="0" w:after="283"/>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center"/>
          </w:tcPr>
          <w:p>
            <w:pPr>
              <w:pStyle w:val="TableContents"/>
              <w:spacing w:before="0" w:after="283"/>
              <w:rPr/>
            </w:pPr>
            <w:r>
              <w:rPr/>
              <w:t> </w:t>
            </w:r>
          </w:p>
        </w:tc>
        <w:tc>
          <w:tcPr>
            <w:tcW w:w="118" w:type="dxa"/>
            <w:tcBorders/>
            <w:shd w:fill="E5FFFF" w:val="clear"/>
            <w:vAlign w:val="center"/>
          </w:tcPr>
          <w:p>
            <w:pPr>
              <w:pStyle w:val="TableContents"/>
              <w:spacing w:before="0" w:after="283"/>
              <w:rPr/>
            </w:pPr>
            <w:r>
              <w:rPr/>
              <w:t> </w:t>
            </w:r>
          </w:p>
        </w:tc>
      </w:tr>
      <w:tr>
        <w:trPr/>
        <w:tc>
          <w:tcPr>
            <w:tcW w:w="607" w:type="dxa"/>
            <w:tcBorders/>
            <w:shd w:fill="auto" w:val="clear"/>
            <w:vAlign w:val="bottom"/>
          </w:tcPr>
          <w:p>
            <w:pPr>
              <w:pStyle w:val="TableContents"/>
              <w:spacing w:before="0" w:after="283"/>
              <w:jc w:val="left"/>
              <w:rPr/>
            </w:pPr>
            <w:r>
              <w:rPr/>
              <w:t>      </w:t>
            </w:r>
          </w:p>
        </w:tc>
        <w:tc>
          <w:tcPr>
            <w:tcW w:w="5281" w:type="dxa"/>
            <w:tcBorders/>
            <w:shd w:fill="auto" w:val="clear"/>
            <w:vAlign w:val="bottom"/>
          </w:tcPr>
          <w:p>
            <w:pPr>
              <w:pStyle w:val="TableContents"/>
              <w:spacing w:before="0" w:after="283"/>
              <w:jc w:val="left"/>
              <w:rPr>
                <w:rFonts w:ascii="Arial" w:hAnsi="Arial"/>
              </w:rPr>
            </w:pPr>
            <w:r>
              <w:rPr>
                <w:rFonts w:ascii="Arial" w:hAnsi="Arial"/>
              </w:rPr>
              <w:t>Net repositioning charge</w:t>
            </w:r>
          </w:p>
        </w:tc>
        <w:tc>
          <w:tcPr>
            <w:tcW w:w="2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right"/>
              <w:rPr>
                <w:rFonts w:ascii="Arial" w:hAnsi="Arial"/>
              </w:rPr>
            </w:pPr>
            <w:r>
              <w:rPr>
                <w:rFonts w:ascii="Arial" w:hAnsi="Arial"/>
              </w:rPr>
              <w:t>$</w:t>
            </w:r>
          </w:p>
        </w:tc>
        <w:tc>
          <w:tcPr>
            <w:tcW w:w="781" w:type="dxa"/>
            <w:tcBorders/>
            <w:shd w:fill="auto" w:val="clear"/>
            <w:vAlign w:val="bottom"/>
          </w:tcPr>
          <w:p>
            <w:pPr>
              <w:pStyle w:val="TableContents"/>
              <w:spacing w:before="0" w:after="283"/>
              <w:jc w:val="right"/>
              <w:rPr>
                <w:rFonts w:ascii="Arial" w:hAnsi="Arial"/>
              </w:rPr>
            </w:pPr>
            <w:r>
              <w:rPr>
                <w:rFonts w:ascii="Arial" w:hAnsi="Arial"/>
              </w:rPr>
              <w:t>32</w:t>
            </w:r>
          </w:p>
        </w:tc>
        <w:tc>
          <w:tcPr>
            <w:tcW w:w="111" w:type="dxa"/>
            <w:tcBorders/>
            <w:shd w:fill="auto" w:val="clear"/>
            <w:vAlign w:val="center"/>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jc w:val="right"/>
              <w:rPr>
                <w:rFonts w:ascii="Arial" w:hAnsi="Arial"/>
              </w:rPr>
            </w:pPr>
            <w:r>
              <w:rPr>
                <w:rFonts w:ascii="Arial" w:hAnsi="Arial"/>
              </w:rPr>
              <w:t>$</w:t>
            </w:r>
          </w:p>
        </w:tc>
        <w:tc>
          <w:tcPr>
            <w:tcW w:w="577" w:type="dxa"/>
            <w:tcBorders/>
            <w:shd w:fill="auto" w:val="clear"/>
            <w:vAlign w:val="bottom"/>
          </w:tcPr>
          <w:p>
            <w:pPr>
              <w:pStyle w:val="TableContents"/>
              <w:spacing w:before="0" w:after="283"/>
              <w:jc w:val="right"/>
              <w:rPr>
                <w:rFonts w:ascii="Arial" w:hAnsi="Arial"/>
              </w:rPr>
            </w:pPr>
            <w:r>
              <w:rPr>
                <w:rFonts w:ascii="Arial" w:hAnsi="Arial"/>
              </w:rPr>
              <w:t>49</w:t>
            </w:r>
          </w:p>
        </w:tc>
        <w:tc>
          <w:tcPr>
            <w:tcW w:w="110" w:type="dxa"/>
            <w:tcBorders/>
            <w:shd w:fill="auto" w:val="clear"/>
            <w:vAlign w:val="center"/>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right"/>
              <w:rPr>
                <w:rFonts w:ascii="Arial" w:hAnsi="Arial"/>
              </w:rPr>
            </w:pPr>
            <w:r>
              <w:rPr>
                <w:rFonts w:ascii="Arial" w:hAnsi="Arial"/>
              </w:rPr>
              <w:t>$</w:t>
            </w:r>
          </w:p>
        </w:tc>
        <w:tc>
          <w:tcPr>
            <w:tcW w:w="781" w:type="dxa"/>
            <w:tcBorders/>
            <w:shd w:fill="auto" w:val="clear"/>
            <w:vAlign w:val="bottom"/>
          </w:tcPr>
          <w:p>
            <w:pPr>
              <w:pStyle w:val="TableContents"/>
              <w:spacing w:before="0" w:after="283"/>
              <w:jc w:val="right"/>
              <w:rPr>
                <w:rFonts w:ascii="Arial" w:hAnsi="Arial"/>
              </w:rPr>
            </w:pPr>
            <w:r>
              <w:rPr>
                <w:rFonts w:ascii="Arial" w:hAnsi="Arial"/>
              </w:rPr>
              <w:t>26</w:t>
            </w:r>
          </w:p>
        </w:tc>
        <w:tc>
          <w:tcPr>
            <w:tcW w:w="118" w:type="dxa"/>
            <w:tcBorders/>
            <w:shd w:fill="auto" w:val="clear"/>
            <w:vAlign w:val="center"/>
          </w:tcPr>
          <w:p>
            <w:pPr>
              <w:pStyle w:val="TableContents"/>
              <w:spacing w:before="0" w:after="283"/>
              <w:rPr/>
            </w:pPr>
            <w:r>
              <w:rPr/>
              <w:t> </w:t>
            </w:r>
          </w:p>
        </w:tc>
      </w:tr>
      <w:tr>
        <w:trPr/>
        <w:tc>
          <w:tcPr>
            <w:tcW w:w="607" w:type="dxa"/>
            <w:tcBorders/>
            <w:shd w:fill="E5FFFF" w:val="clear"/>
            <w:vAlign w:val="bottom"/>
          </w:tcPr>
          <w:p>
            <w:pPr>
              <w:pStyle w:val="TableContents"/>
              <w:spacing w:before="0" w:after="283"/>
              <w:jc w:val="left"/>
              <w:rPr/>
            </w:pPr>
            <w:r>
              <w:rPr/>
              <w:t>      </w:t>
            </w:r>
          </w:p>
        </w:tc>
        <w:tc>
          <w:tcPr>
            <w:tcW w:w="5281" w:type="dxa"/>
            <w:tcBorders/>
            <w:shd w:fill="E5FFFF" w:val="clear"/>
            <w:vAlign w:val="bottom"/>
          </w:tcPr>
          <w:p>
            <w:pPr>
              <w:pStyle w:val="TableContents"/>
              <w:spacing w:before="0" w:after="283"/>
              <w:jc w:val="left"/>
              <w:rPr>
                <w:rFonts w:ascii="Arial" w:hAnsi="Arial"/>
              </w:rPr>
            </w:pPr>
            <w:r>
              <w:rPr>
                <w:rFonts w:ascii="Arial" w:hAnsi="Arial"/>
              </w:rPr>
              <w:t>Asbestos related litigation charges, net of insurance</w:t>
            </w:r>
          </w:p>
        </w:tc>
        <w:tc>
          <w:tcPr>
            <w:tcW w:w="270" w:type="dxa"/>
            <w:tcBorders/>
            <w:shd w:fill="E5FFFF" w:val="clear"/>
            <w:vAlign w:val="bottom"/>
          </w:tcPr>
          <w:p>
            <w:pPr>
              <w:pStyle w:val="TableContents"/>
              <w:spacing w:before="0" w:after="283"/>
              <w:jc w:val="right"/>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bottom"/>
          </w:tcPr>
          <w:p>
            <w:pPr>
              <w:pStyle w:val="TableContents"/>
              <w:spacing w:before="0" w:after="283"/>
              <w:jc w:val="right"/>
              <w:rPr>
                <w:rFonts w:ascii="Arial" w:hAnsi="Arial"/>
              </w:rPr>
            </w:pPr>
            <w:r>
              <w:rPr>
                <w:rFonts w:ascii="Arial" w:hAnsi="Arial"/>
              </w:rPr>
              <w:t>261</w:t>
            </w:r>
          </w:p>
        </w:tc>
        <w:tc>
          <w:tcPr>
            <w:tcW w:w="111"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213" w:type="dxa"/>
            <w:tcBorders/>
            <w:shd w:fill="E5FFFF" w:val="clear"/>
            <w:vAlign w:val="center"/>
          </w:tcPr>
          <w:p>
            <w:pPr>
              <w:pStyle w:val="TableContents"/>
              <w:spacing w:before="0" w:after="283"/>
              <w:rPr/>
            </w:pPr>
            <w:r>
              <w:rPr/>
              <w:t> </w:t>
            </w:r>
          </w:p>
        </w:tc>
        <w:tc>
          <w:tcPr>
            <w:tcW w:w="577" w:type="dxa"/>
            <w:tcBorders/>
            <w:shd w:fill="E5FFFF" w:val="clear"/>
            <w:vAlign w:val="bottom"/>
          </w:tcPr>
          <w:p>
            <w:pPr>
              <w:pStyle w:val="TableContents"/>
              <w:spacing w:before="0" w:after="283"/>
              <w:jc w:val="right"/>
              <w:rPr>
                <w:rFonts w:ascii="Arial" w:hAnsi="Arial"/>
              </w:rPr>
            </w:pPr>
            <w:r>
              <w:rPr>
                <w:rFonts w:ascii="Arial" w:hAnsi="Arial"/>
              </w:rPr>
              <w:t>31</w:t>
            </w:r>
          </w:p>
        </w:tc>
        <w:tc>
          <w:tcPr>
            <w:tcW w:w="110"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bottom"/>
          </w:tcPr>
          <w:p>
            <w:pPr>
              <w:pStyle w:val="TableContents"/>
              <w:spacing w:before="0" w:after="283"/>
              <w:jc w:val="right"/>
              <w:rPr>
                <w:rFonts w:ascii="Arial" w:hAnsi="Arial"/>
              </w:rPr>
            </w:pPr>
            <w:r>
              <w:rPr>
                <w:rFonts w:ascii="Arial" w:hAnsi="Arial"/>
              </w:rPr>
              <w:t>120</w:t>
            </w:r>
          </w:p>
        </w:tc>
        <w:tc>
          <w:tcPr>
            <w:tcW w:w="118" w:type="dxa"/>
            <w:tcBorders/>
            <w:shd w:fill="E5FFFF" w:val="clear"/>
            <w:vAlign w:val="center"/>
          </w:tcPr>
          <w:p>
            <w:pPr>
              <w:pStyle w:val="TableContents"/>
              <w:spacing w:before="0" w:after="283"/>
              <w:rPr/>
            </w:pPr>
            <w:r>
              <w:rPr/>
              <w:t> </w:t>
            </w:r>
          </w:p>
        </w:tc>
      </w:tr>
      <w:tr>
        <w:trPr/>
        <w:tc>
          <w:tcPr>
            <w:tcW w:w="607" w:type="dxa"/>
            <w:tcBorders/>
            <w:shd w:fill="auto" w:val="clear"/>
            <w:vAlign w:val="bottom"/>
          </w:tcPr>
          <w:p>
            <w:pPr>
              <w:pStyle w:val="TableContents"/>
              <w:spacing w:before="0" w:after="283"/>
              <w:jc w:val="left"/>
              <w:rPr/>
            </w:pPr>
            <w:r>
              <w:rPr/>
              <w:t>      </w:t>
            </w:r>
          </w:p>
        </w:tc>
        <w:tc>
          <w:tcPr>
            <w:tcW w:w="5281" w:type="dxa"/>
            <w:tcBorders/>
            <w:shd w:fill="auto" w:val="clear"/>
            <w:vAlign w:val="bottom"/>
          </w:tcPr>
          <w:p>
            <w:pPr>
              <w:pStyle w:val="TableContents"/>
              <w:spacing w:before="0" w:after="283"/>
              <w:jc w:val="left"/>
              <w:rPr>
                <w:rFonts w:ascii="Arial" w:hAnsi="Arial"/>
              </w:rPr>
            </w:pPr>
            <w:r>
              <w:rPr>
                <w:rFonts w:ascii="Arial" w:hAnsi="Arial"/>
              </w:rPr>
              <w:t>Other</w:t>
            </w:r>
          </w:p>
        </w:tc>
        <w:tc>
          <w:tcPr>
            <w:tcW w:w="270" w:type="dxa"/>
            <w:tcBorders/>
            <w:shd w:fill="auto" w:val="clear"/>
            <w:vAlign w:val="bottom"/>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r>
              <w:rPr/>
              <w:t>—</w:t>
            </w:r>
          </w:p>
        </w:tc>
        <w:tc>
          <w:tcPr>
            <w:tcW w:w="111" w:type="dxa"/>
            <w:tcBorders/>
            <w:shd w:fill="auto" w:val="clear"/>
            <w:vAlign w:val="center"/>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        </w:t>
            </w:r>
          </w:p>
        </w:tc>
        <w:tc>
          <w:tcPr>
            <w:tcW w:w="213"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jc w:val="right"/>
              <w:rPr>
                <w:rFonts w:ascii="Arial" w:hAnsi="Arial"/>
              </w:rPr>
            </w:pPr>
            <w:r>
              <w:rPr>
                <w:rFonts w:ascii="Arial" w:hAnsi="Arial"/>
              </w:rPr>
              <w:t>2</w:t>
            </w:r>
          </w:p>
        </w:tc>
        <w:tc>
          <w:tcPr>
            <w:tcW w:w="110" w:type="dxa"/>
            <w:tcBorders/>
            <w:shd w:fill="auto" w:val="clear"/>
            <w:vAlign w:val="center"/>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        </w:t>
            </w:r>
          </w:p>
        </w:tc>
        <w:tc>
          <w:tcPr>
            <w:tcW w:w="195" w:type="dxa"/>
            <w:tcBorders/>
            <w:shd w:fill="auto" w:val="clear"/>
            <w:vAlign w:val="center"/>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Arial" w:hAnsi="Arial"/>
              </w:rPr>
            </w:pPr>
            <w:r>
              <w:rPr>
                <w:rFonts w:ascii="Arial" w:hAnsi="Arial"/>
              </w:rPr>
              <w:t>1</w:t>
            </w:r>
          </w:p>
        </w:tc>
        <w:tc>
          <w:tcPr>
            <w:tcW w:w="118" w:type="dxa"/>
            <w:tcBorders/>
            <w:shd w:fill="auto" w:val="clear"/>
            <w:vAlign w:val="center"/>
          </w:tcPr>
          <w:p>
            <w:pPr>
              <w:pStyle w:val="TableContents"/>
              <w:spacing w:before="0" w:after="283"/>
              <w:rPr/>
            </w:pPr>
            <w:r>
              <w:rPr/>
              <w:t> </w:t>
            </w:r>
          </w:p>
        </w:tc>
      </w:tr>
      <w:tr>
        <w:trPr/>
        <w:tc>
          <w:tcPr>
            <w:tcW w:w="607" w:type="dxa"/>
            <w:tcBorders/>
            <w:shd w:fill="E5FFFF" w:val="clear"/>
            <w:vAlign w:val="center"/>
          </w:tcPr>
          <w:p>
            <w:pPr>
              <w:pStyle w:val="TableContents"/>
              <w:spacing w:before="0" w:after="283"/>
              <w:rPr/>
            </w:pPr>
            <w:r>
              <w:rPr/>
              <w:t> </w:t>
            </w:r>
          </w:p>
        </w:tc>
        <w:tc>
          <w:tcPr>
            <w:tcW w:w="5281" w:type="dxa"/>
            <w:tcBorders/>
            <w:shd w:fill="E5FFFF" w:val="clear"/>
            <w:vAlign w:val="center"/>
          </w:tcPr>
          <w:p>
            <w:pPr>
              <w:pStyle w:val="TableContents"/>
              <w:spacing w:before="0" w:after="283"/>
              <w:rPr/>
            </w:pPr>
            <w:r>
              <w:rPr/>
              <w:t> </w:t>
            </w:r>
          </w:p>
        </w:tc>
        <w:tc>
          <w:tcPr>
            <w:tcW w:w="270" w:type="dxa"/>
            <w:tcBorders/>
            <w:shd w:fill="E5FFFF" w:val="clear"/>
            <w:vAlign w:val="bottom"/>
          </w:tcPr>
          <w:p>
            <w:pPr>
              <w:pStyle w:val="TableContents"/>
              <w:spacing w:before="0" w:after="283"/>
              <w:jc w:val="right"/>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213" w:type="dxa"/>
            <w:tcBorders/>
            <w:shd w:fill="E5FFFF" w:val="clear"/>
            <w:vAlign w:val="center"/>
          </w:tcPr>
          <w:p>
            <w:pPr>
              <w:pStyle w:val="TableContents"/>
              <w:spacing w:before="0" w:after="283"/>
              <w:rPr/>
            </w:pPr>
            <w:r>
              <w:rPr/>
              <w:t> </w:t>
            </w:r>
          </w:p>
        </w:tc>
        <w:tc>
          <w:tcPr>
            <w:tcW w:w="577" w:type="dxa"/>
            <w:tcBorders/>
            <w:shd w:fill="E5FFFF" w:val="clear"/>
            <w:vAlign w:val="bottom"/>
          </w:tcPr>
          <w:p>
            <w:pPr>
              <w:pStyle w:val="HorizontalLine"/>
              <w:pBdr>
                <w:bottom w:val="single" w:sz="6" w:space="0" w:color="000000"/>
              </w:pBdr>
              <w:spacing w:before="0" w:after="283"/>
              <w:rPr/>
            </w:pPr>
            <w:r>
              <w:rPr/>
            </w:r>
          </w:p>
        </w:tc>
        <w:tc>
          <w:tcPr>
            <w:tcW w:w="110"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bottom"/>
          </w:tcPr>
          <w:p>
            <w:pPr>
              <w:pStyle w:val="HorizontalLine"/>
              <w:pBdr>
                <w:bottom w:val="single" w:sz="6" w:space="0" w:color="000000"/>
              </w:pBdr>
              <w:spacing w:before="0" w:after="283"/>
              <w:rPr/>
            </w:pPr>
            <w:r>
              <w:rPr/>
            </w:r>
          </w:p>
        </w:tc>
        <w:tc>
          <w:tcPr>
            <w:tcW w:w="118" w:type="dxa"/>
            <w:tcBorders/>
            <w:shd w:fill="E5FFFF" w:val="clear"/>
            <w:vAlign w:val="center"/>
          </w:tcPr>
          <w:p>
            <w:pPr>
              <w:pStyle w:val="TableContents"/>
              <w:spacing w:before="0" w:after="283"/>
              <w:rPr/>
            </w:pPr>
            <w:r>
              <w:rPr/>
              <w:t> </w:t>
            </w:r>
          </w:p>
        </w:tc>
      </w:tr>
      <w:tr>
        <w:trPr/>
        <w:tc>
          <w:tcPr>
            <w:tcW w:w="607" w:type="dxa"/>
            <w:tcBorders/>
            <w:shd w:fill="auto" w:val="clear"/>
            <w:vAlign w:val="bottom"/>
          </w:tcPr>
          <w:p>
            <w:pPr>
              <w:pStyle w:val="TableContents"/>
              <w:spacing w:before="0" w:after="283"/>
              <w:jc w:val="left"/>
              <w:rPr/>
            </w:pPr>
            <w:r>
              <w:rPr/>
              <w:t>      </w:t>
            </w:r>
          </w:p>
        </w:tc>
        <w:tc>
          <w:tcPr>
            <w:tcW w:w="5281"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right"/>
              <w:rPr>
                <w:rFonts w:ascii="Arial" w:hAnsi="Arial"/>
              </w:rPr>
            </w:pPr>
            <w:r>
              <w:rPr>
                <w:rFonts w:ascii="Arial" w:hAnsi="Arial"/>
              </w:rPr>
              <w:t>$</w:t>
            </w:r>
          </w:p>
        </w:tc>
        <w:tc>
          <w:tcPr>
            <w:tcW w:w="781" w:type="dxa"/>
            <w:tcBorders/>
            <w:shd w:fill="auto" w:val="clear"/>
            <w:vAlign w:val="bottom"/>
          </w:tcPr>
          <w:p>
            <w:pPr>
              <w:pStyle w:val="TableContents"/>
              <w:spacing w:before="0" w:after="283"/>
              <w:jc w:val="right"/>
              <w:rPr>
                <w:rFonts w:ascii="Arial" w:hAnsi="Arial"/>
              </w:rPr>
            </w:pPr>
            <w:r>
              <w:rPr>
                <w:rFonts w:ascii="Arial" w:hAnsi="Arial"/>
              </w:rPr>
              <w:t>293</w:t>
            </w:r>
          </w:p>
        </w:tc>
        <w:tc>
          <w:tcPr>
            <w:tcW w:w="111" w:type="dxa"/>
            <w:tcBorders/>
            <w:shd w:fill="auto" w:val="clear"/>
            <w:vAlign w:val="center"/>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jc w:val="right"/>
              <w:rPr>
                <w:rFonts w:ascii="Arial" w:hAnsi="Arial"/>
              </w:rPr>
            </w:pPr>
            <w:r>
              <w:rPr>
                <w:rFonts w:ascii="Arial" w:hAnsi="Arial"/>
              </w:rPr>
              <w:t>$</w:t>
            </w:r>
          </w:p>
        </w:tc>
        <w:tc>
          <w:tcPr>
            <w:tcW w:w="577" w:type="dxa"/>
            <w:tcBorders/>
            <w:shd w:fill="auto" w:val="clear"/>
            <w:vAlign w:val="bottom"/>
          </w:tcPr>
          <w:p>
            <w:pPr>
              <w:pStyle w:val="TableContents"/>
              <w:spacing w:before="0" w:after="283"/>
              <w:jc w:val="right"/>
              <w:rPr>
                <w:rFonts w:ascii="Arial" w:hAnsi="Arial"/>
              </w:rPr>
            </w:pPr>
            <w:r>
              <w:rPr>
                <w:rFonts w:ascii="Arial" w:hAnsi="Arial"/>
              </w:rPr>
              <w:t>82</w:t>
            </w:r>
          </w:p>
        </w:tc>
        <w:tc>
          <w:tcPr>
            <w:tcW w:w="110" w:type="dxa"/>
            <w:tcBorders/>
            <w:shd w:fill="auto" w:val="clear"/>
            <w:vAlign w:val="center"/>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right"/>
              <w:rPr>
                <w:rFonts w:ascii="Arial" w:hAnsi="Arial"/>
              </w:rPr>
            </w:pPr>
            <w:r>
              <w:rPr>
                <w:rFonts w:ascii="Arial" w:hAnsi="Arial"/>
              </w:rPr>
              <w:t>$</w:t>
            </w:r>
          </w:p>
        </w:tc>
        <w:tc>
          <w:tcPr>
            <w:tcW w:w="781" w:type="dxa"/>
            <w:tcBorders/>
            <w:shd w:fill="auto" w:val="clear"/>
            <w:vAlign w:val="bottom"/>
          </w:tcPr>
          <w:p>
            <w:pPr>
              <w:pStyle w:val="TableContents"/>
              <w:spacing w:before="0" w:after="283"/>
              <w:jc w:val="right"/>
              <w:rPr>
                <w:rFonts w:ascii="Arial" w:hAnsi="Arial"/>
              </w:rPr>
            </w:pPr>
            <w:r>
              <w:rPr>
                <w:rFonts w:ascii="Arial" w:hAnsi="Arial"/>
              </w:rPr>
              <w:t>147</w:t>
            </w:r>
          </w:p>
        </w:tc>
        <w:tc>
          <w:tcPr>
            <w:tcW w:w="118" w:type="dxa"/>
            <w:tcBorders/>
            <w:shd w:fill="auto" w:val="clear"/>
            <w:vAlign w:val="center"/>
          </w:tcPr>
          <w:p>
            <w:pPr>
              <w:pStyle w:val="TableContents"/>
              <w:spacing w:before="0" w:after="283"/>
              <w:rPr/>
            </w:pPr>
            <w:r>
              <w:rPr/>
              <w:t> </w:t>
            </w:r>
          </w:p>
        </w:tc>
      </w:tr>
      <w:tr>
        <w:trPr/>
        <w:tc>
          <w:tcPr>
            <w:tcW w:w="607" w:type="dxa"/>
            <w:tcBorders/>
            <w:shd w:fill="E5FFFF" w:val="clear"/>
            <w:vAlign w:val="center"/>
          </w:tcPr>
          <w:p>
            <w:pPr>
              <w:pStyle w:val="TableContents"/>
              <w:spacing w:before="0" w:after="283"/>
              <w:rPr/>
            </w:pPr>
            <w:r>
              <w:rPr/>
              <w:t> </w:t>
            </w:r>
          </w:p>
        </w:tc>
        <w:tc>
          <w:tcPr>
            <w:tcW w:w="5281" w:type="dxa"/>
            <w:tcBorders/>
            <w:shd w:fill="E5FFFF" w:val="clear"/>
            <w:vAlign w:val="center"/>
          </w:tcPr>
          <w:p>
            <w:pPr>
              <w:pStyle w:val="TableContents"/>
              <w:spacing w:before="0" w:after="283"/>
              <w:rPr/>
            </w:pPr>
            <w:r>
              <w:rPr/>
              <w:t> </w:t>
            </w:r>
          </w:p>
        </w:tc>
        <w:tc>
          <w:tcPr>
            <w:tcW w:w="270" w:type="dxa"/>
            <w:tcBorders/>
            <w:shd w:fill="E5FFFF" w:val="clear"/>
            <w:vAlign w:val="bottom"/>
          </w:tcPr>
          <w:p>
            <w:pPr>
              <w:pStyle w:val="TableContents"/>
              <w:spacing w:before="0" w:after="283"/>
              <w:jc w:val="right"/>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bottom"/>
          </w:tcPr>
          <w:p>
            <w:pPr>
              <w:pStyle w:val="HorizontalLine"/>
              <w:pBdr>
                <w:bottom w:val="single" w:sz="18" w:space="0" w:color="000000"/>
              </w:pBdr>
              <w:spacing w:before="0" w:after="283"/>
              <w:rPr/>
            </w:pPr>
            <w:r>
              <w:rPr/>
            </w:r>
          </w:p>
        </w:tc>
        <w:tc>
          <w:tcPr>
            <w:tcW w:w="111"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213" w:type="dxa"/>
            <w:tcBorders/>
            <w:shd w:fill="E5FFFF" w:val="clear"/>
            <w:vAlign w:val="center"/>
          </w:tcPr>
          <w:p>
            <w:pPr>
              <w:pStyle w:val="TableContents"/>
              <w:spacing w:before="0" w:after="283"/>
              <w:rPr/>
            </w:pPr>
            <w:r>
              <w:rPr/>
              <w:t> </w:t>
            </w:r>
          </w:p>
        </w:tc>
        <w:tc>
          <w:tcPr>
            <w:tcW w:w="577" w:type="dxa"/>
            <w:tcBorders/>
            <w:shd w:fill="E5FFFF" w:val="clear"/>
            <w:vAlign w:val="bottom"/>
          </w:tcPr>
          <w:p>
            <w:pPr>
              <w:pStyle w:val="HorizontalLine"/>
              <w:pBdr>
                <w:bottom w:val="single" w:sz="18" w:space="0" w:color="000000"/>
              </w:pBdr>
              <w:spacing w:before="0" w:after="283"/>
              <w:rPr/>
            </w:pPr>
            <w:r>
              <w:rPr/>
            </w:r>
          </w:p>
        </w:tc>
        <w:tc>
          <w:tcPr>
            <w:tcW w:w="110"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5" w:type="dxa"/>
            <w:tcBorders/>
            <w:shd w:fill="E5FFFF" w:val="clear"/>
            <w:vAlign w:val="center"/>
          </w:tcPr>
          <w:p>
            <w:pPr>
              <w:pStyle w:val="TableContents"/>
              <w:spacing w:before="0" w:after="283"/>
              <w:rPr/>
            </w:pPr>
            <w:r>
              <w:rPr/>
              <w:t> </w:t>
            </w:r>
          </w:p>
        </w:tc>
        <w:tc>
          <w:tcPr>
            <w:tcW w:w="781" w:type="dxa"/>
            <w:tcBorders/>
            <w:shd w:fill="E5FFFF" w:val="clear"/>
            <w:vAlign w:val="bottom"/>
          </w:tcPr>
          <w:p>
            <w:pPr>
              <w:pStyle w:val="HorizontalLine"/>
              <w:pBdr>
                <w:bottom w:val="single" w:sz="18" w:space="0" w:color="000000"/>
              </w:pBdr>
              <w:spacing w:before="0" w:after="283"/>
              <w:rPr/>
            </w:pPr>
            <w:r>
              <w:rPr/>
            </w:r>
          </w:p>
        </w:tc>
        <w:tc>
          <w:tcPr>
            <w:tcW w:w="118" w:type="dxa"/>
            <w:tcBorders/>
            <w:shd w:fill="E5FFFF" w:val="clear"/>
            <w:vAlign w:val="center"/>
          </w:tcPr>
          <w:p>
            <w:pPr>
              <w:pStyle w:val="TableContents"/>
              <w:spacing w:before="0" w:after="283"/>
              <w:rPr/>
            </w:pPr>
            <w:r>
              <w:rPr/>
              <w:t> </w:t>
            </w:r>
          </w:p>
        </w:tc>
      </w:tr>
      <w:tr>
        <w:trPr/>
        <w:tc>
          <w:tcPr>
            <w:tcW w:w="607" w:type="dxa"/>
            <w:tcBorders/>
            <w:shd w:fill="FFFFFF" w:val="clear"/>
            <w:vAlign w:val="bottom"/>
          </w:tcPr>
          <w:p>
            <w:pPr>
              <w:pStyle w:val="TableContents"/>
              <w:spacing w:before="0" w:after="283"/>
              <w:jc w:val="left"/>
              <w:rPr/>
            </w:pPr>
            <w:r>
              <w:rPr/>
              <w:t>      </w:t>
            </w:r>
          </w:p>
        </w:tc>
        <w:tc>
          <w:tcPr>
            <w:tcW w:w="5281" w:type="dxa"/>
            <w:tcBorders/>
            <w:shd w:fill="FFFFFF" w:val="clear"/>
            <w:vAlign w:val="bottom"/>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781"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c>
          <w:tcPr>
            <w:tcW w:w="483"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57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48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781"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04"/>
        <w:gridCol w:w="5067"/>
        <w:gridCol w:w="270"/>
        <w:gridCol w:w="194"/>
        <w:gridCol w:w="843"/>
        <w:gridCol w:w="141"/>
        <w:gridCol w:w="484"/>
        <w:gridCol w:w="194"/>
        <w:gridCol w:w="720"/>
        <w:gridCol w:w="141"/>
        <w:gridCol w:w="484"/>
        <w:gridCol w:w="193"/>
        <w:gridCol w:w="720"/>
        <w:gridCol w:w="150"/>
      </w:tblGrid>
      <w:tr>
        <w:trPr/>
        <w:tc>
          <w:tcPr>
            <w:tcW w:w="604" w:type="dxa"/>
            <w:tcBorders/>
            <w:shd w:fill="FFFFFF" w:val="clear"/>
            <w:vAlign w:val="center"/>
          </w:tcPr>
          <w:p>
            <w:pPr>
              <w:pStyle w:val="TableContents"/>
              <w:spacing w:before="0" w:after="283"/>
              <w:rPr/>
            </w:pPr>
            <w:r>
              <w:rPr/>
              <w:t> </w:t>
            </w:r>
          </w:p>
        </w:tc>
        <w:tc>
          <w:tcPr>
            <w:tcW w:w="5067"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4264"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04" w:type="dxa"/>
            <w:tcBorders/>
            <w:shd w:fill="FFFFFF" w:val="clear"/>
            <w:vAlign w:val="center"/>
          </w:tcPr>
          <w:p>
            <w:pPr>
              <w:pStyle w:val="TableContents"/>
              <w:spacing w:before="0" w:after="283"/>
              <w:rPr/>
            </w:pPr>
            <w:r>
              <w:rPr/>
              <w:t> </w:t>
            </w:r>
          </w:p>
        </w:tc>
        <w:tc>
          <w:tcPr>
            <w:tcW w:w="5067"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117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4" w:type="dxa"/>
            <w:tcBorders/>
            <w:shd w:fill="FFFFFF" w:val="clear"/>
            <w:vAlign w:val="center"/>
          </w:tcPr>
          <w:p>
            <w:pPr>
              <w:pStyle w:val="TableContents"/>
              <w:spacing w:before="0" w:after="283"/>
              <w:rPr/>
            </w:pPr>
            <w:r>
              <w:rPr/>
              <w:t> </w:t>
            </w:r>
          </w:p>
        </w:tc>
        <w:tc>
          <w:tcPr>
            <w:tcW w:w="105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4" w:type="dxa"/>
            <w:tcBorders/>
            <w:shd w:fill="FFFFFF" w:val="clear"/>
            <w:vAlign w:val="center"/>
          </w:tcPr>
          <w:p>
            <w:pPr>
              <w:pStyle w:val="TableContents"/>
              <w:spacing w:before="0" w:after="283"/>
              <w:rPr/>
            </w:pPr>
            <w:r>
              <w:rPr/>
              <w:t> </w:t>
            </w:r>
          </w:p>
        </w:tc>
        <w:tc>
          <w:tcPr>
            <w:tcW w:w="1063"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04" w:type="dxa"/>
            <w:tcBorders/>
            <w:shd w:fill="FFFFFF" w:val="clear"/>
            <w:vAlign w:val="center"/>
          </w:tcPr>
          <w:p>
            <w:pPr>
              <w:pStyle w:val="TableContents"/>
              <w:spacing w:before="0" w:after="283"/>
              <w:rPr/>
            </w:pPr>
            <w:r>
              <w:rPr/>
              <w:t> </w:t>
            </w:r>
          </w:p>
        </w:tc>
        <w:tc>
          <w:tcPr>
            <w:tcW w:w="5067"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4264"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04" w:type="dxa"/>
            <w:tcBorders/>
            <w:shd w:fill="E5FFFF" w:val="clear"/>
            <w:vAlign w:val="bottom"/>
          </w:tcPr>
          <w:p>
            <w:pPr>
              <w:pStyle w:val="TableContents"/>
              <w:spacing w:before="0" w:after="283"/>
              <w:jc w:val="left"/>
              <w:rPr/>
            </w:pPr>
            <w:r>
              <w:rPr/>
              <w:t>      </w:t>
            </w:r>
          </w:p>
        </w:tc>
        <w:tc>
          <w:tcPr>
            <w:tcW w:w="5067" w:type="dxa"/>
            <w:tcBorders/>
            <w:shd w:fill="E5FFFF" w:val="clear"/>
            <w:vAlign w:val="bottom"/>
          </w:tcPr>
          <w:p>
            <w:pPr>
              <w:pStyle w:val="TableContents"/>
              <w:spacing w:before="0" w:after="283"/>
              <w:jc w:val="left"/>
              <w:rPr>
                <w:rFonts w:ascii="Arial" w:hAnsi="Arial"/>
                <w:b/>
              </w:rPr>
            </w:pPr>
            <w:r>
              <w:rPr>
                <w:rFonts w:ascii="Arial" w:hAnsi="Arial"/>
                <w:b/>
              </w:rPr>
              <w:t>Corporate</w:t>
            </w:r>
          </w:p>
        </w:tc>
        <w:tc>
          <w:tcPr>
            <w:tcW w:w="270" w:type="dxa"/>
            <w:tcBorders/>
            <w:shd w:fill="E5FFFF" w:val="clear"/>
            <w:vAlign w:val="center"/>
          </w:tcPr>
          <w:p>
            <w:pPr>
              <w:pStyle w:val="TableContents"/>
              <w:spacing w:before="0" w:after="283"/>
              <w:rPr/>
            </w:pPr>
            <w:r>
              <w:rPr/>
              <w:t> </w:t>
            </w:r>
          </w:p>
        </w:tc>
        <w:tc>
          <w:tcPr>
            <w:tcW w:w="194" w:type="dxa"/>
            <w:tcBorders/>
            <w:shd w:fill="E5FFFF" w:val="clear"/>
            <w:vAlign w:val="center"/>
          </w:tcPr>
          <w:p>
            <w:pPr>
              <w:pStyle w:val="TableContents"/>
              <w:spacing w:before="0" w:after="283"/>
              <w:rPr/>
            </w:pPr>
            <w:r>
              <w:rPr/>
              <w:t> </w:t>
            </w:r>
          </w:p>
        </w:tc>
        <w:tc>
          <w:tcPr>
            <w:tcW w:w="843"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484" w:type="dxa"/>
            <w:tcBorders/>
            <w:shd w:fill="E5FFFF" w:val="clear"/>
            <w:vAlign w:val="center"/>
          </w:tcPr>
          <w:p>
            <w:pPr>
              <w:pStyle w:val="TableContents"/>
              <w:spacing w:before="0" w:after="283"/>
              <w:rPr/>
            </w:pPr>
            <w:r>
              <w:rPr/>
              <w:t> </w:t>
            </w:r>
          </w:p>
        </w:tc>
        <w:tc>
          <w:tcPr>
            <w:tcW w:w="194"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484" w:type="dxa"/>
            <w:tcBorders/>
            <w:shd w:fill="E5FFFF" w:val="clear"/>
            <w:vAlign w:val="center"/>
          </w:tcPr>
          <w:p>
            <w:pPr>
              <w:pStyle w:val="TableContents"/>
              <w:spacing w:before="0" w:after="283"/>
              <w:rPr/>
            </w:pPr>
            <w:r>
              <w:rPr/>
              <w:t> </w:t>
            </w:r>
          </w:p>
        </w:tc>
        <w:tc>
          <w:tcPr>
            <w:tcW w:w="193"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50" w:type="dxa"/>
            <w:tcBorders/>
            <w:shd w:fill="E5FFFF" w:val="clear"/>
            <w:vAlign w:val="center"/>
          </w:tcPr>
          <w:p>
            <w:pPr>
              <w:pStyle w:val="TableContents"/>
              <w:spacing w:before="0" w:after="283"/>
              <w:rPr/>
            </w:pPr>
            <w:r>
              <w:rPr/>
              <w:t> </w:t>
            </w:r>
          </w:p>
        </w:tc>
      </w:tr>
      <w:tr>
        <w:trPr/>
        <w:tc>
          <w:tcPr>
            <w:tcW w:w="604" w:type="dxa"/>
            <w:tcBorders/>
            <w:shd w:fill="auto" w:val="clear"/>
            <w:vAlign w:val="bottom"/>
          </w:tcPr>
          <w:p>
            <w:pPr>
              <w:pStyle w:val="TableContents"/>
              <w:spacing w:before="0" w:after="283"/>
              <w:jc w:val="left"/>
              <w:rPr/>
            </w:pPr>
            <w:r>
              <w:rPr/>
              <w:t>      </w:t>
            </w:r>
          </w:p>
        </w:tc>
        <w:tc>
          <w:tcPr>
            <w:tcW w:w="5067" w:type="dxa"/>
            <w:tcBorders/>
            <w:shd w:fill="auto" w:val="clear"/>
            <w:vAlign w:val="bottom"/>
          </w:tcPr>
          <w:p>
            <w:pPr>
              <w:pStyle w:val="TableContents"/>
              <w:spacing w:before="0" w:after="283"/>
              <w:jc w:val="left"/>
              <w:rPr>
                <w:rFonts w:ascii="Arial" w:hAnsi="Arial"/>
              </w:rPr>
            </w:pPr>
            <w:r>
              <w:rPr>
                <w:rFonts w:ascii="Arial" w:hAnsi="Arial"/>
              </w:rPr>
              <w:t>Net repositioning charge</w:t>
            </w:r>
          </w:p>
        </w:tc>
        <w:tc>
          <w:tcPr>
            <w:tcW w:w="27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right"/>
              <w:rPr>
                <w:rFonts w:ascii="Arial" w:hAnsi="Arial"/>
              </w:rPr>
            </w:pPr>
            <w:r>
              <w:rPr>
                <w:rFonts w:ascii="Arial" w:hAnsi="Arial"/>
              </w:rPr>
              <w:t>$</w:t>
            </w:r>
          </w:p>
        </w:tc>
        <w:tc>
          <w:tcPr>
            <w:tcW w:w="843" w:type="dxa"/>
            <w:tcBorders/>
            <w:shd w:fill="auto" w:val="clear"/>
            <w:vAlign w:val="bottom"/>
          </w:tcPr>
          <w:p>
            <w:pPr>
              <w:pStyle w:val="TableContents"/>
              <w:spacing w:before="0" w:after="283"/>
              <w:jc w:val="right"/>
              <w:rPr>
                <w:rFonts w:ascii="Arial" w:hAnsi="Arial"/>
              </w:rPr>
            </w:pPr>
            <w:r>
              <w:rPr>
                <w:rFonts w:ascii="Arial" w:hAnsi="Arial"/>
              </w:rPr>
              <w:t>10</w:t>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right"/>
              <w:rPr>
                <w:rFonts w:ascii="Arial" w:hAnsi="Arial"/>
              </w:rPr>
            </w:pPr>
            <w:r>
              <w:rPr>
                <w:rFonts w:ascii="Arial" w:hAnsi="Arial"/>
              </w:rPr>
              <w:t>$</w:t>
            </w:r>
          </w:p>
        </w:tc>
        <w:tc>
          <w:tcPr>
            <w:tcW w:w="720" w:type="dxa"/>
            <w:tcBorders/>
            <w:shd w:fill="auto" w:val="clear"/>
            <w:vAlign w:val="bottom"/>
          </w:tcPr>
          <w:p>
            <w:pPr>
              <w:pStyle w:val="TableContents"/>
              <w:spacing w:before="0" w:after="283"/>
              <w:jc w:val="right"/>
              <w:rPr>
                <w:rFonts w:ascii="Arial" w:hAnsi="Arial"/>
              </w:rPr>
            </w:pPr>
            <w:r>
              <w:rPr>
                <w:rFonts w:ascii="Arial" w:hAnsi="Arial"/>
              </w:rPr>
              <w:t>(1</w:t>
            </w:r>
          </w:p>
        </w:tc>
        <w:tc>
          <w:tcPr>
            <w:tcW w:w="141" w:type="dxa"/>
            <w:tcBorders/>
            <w:shd w:fill="auto" w:val="clear"/>
            <w:vAlign w:val="bottom"/>
          </w:tcPr>
          <w:p>
            <w:pPr>
              <w:pStyle w:val="TableContents"/>
              <w:spacing w:before="0" w:after="283"/>
              <w:jc w:val="left"/>
              <w:rPr>
                <w:rFonts w:ascii="Arial" w:hAnsi="Arial"/>
              </w:rPr>
            </w:pPr>
            <w:r>
              <w:rPr>
                <w:rFonts w:ascii="Arial" w:hAnsi="Arial"/>
              </w:rPr>
              <w:t>)</w:t>
            </w:r>
          </w:p>
        </w:tc>
        <w:tc>
          <w:tcPr>
            <w:tcW w:w="484"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right"/>
              <w:rPr>
                <w:rFonts w:ascii="Arial" w:hAnsi="Arial"/>
              </w:rPr>
            </w:pPr>
            <w:r>
              <w:rPr>
                <w:rFonts w:ascii="Arial" w:hAnsi="Arial"/>
              </w:rPr>
              <w:t>$</w:t>
            </w:r>
          </w:p>
        </w:tc>
        <w:tc>
          <w:tcPr>
            <w:tcW w:w="720" w:type="dxa"/>
            <w:tcBorders/>
            <w:shd w:fill="auto" w:val="clear"/>
            <w:vAlign w:val="bottom"/>
          </w:tcPr>
          <w:p>
            <w:pPr>
              <w:pStyle w:val="TableContents"/>
              <w:spacing w:before="0" w:after="283"/>
              <w:jc w:val="right"/>
              <w:rPr>
                <w:rFonts w:ascii="Arial" w:hAnsi="Arial"/>
              </w:rPr>
            </w:pPr>
            <w:r>
              <w:rPr>
                <w:rFonts w:ascii="Arial" w:hAnsi="Arial"/>
              </w:rPr>
              <w:t>6</w:t>
            </w:r>
          </w:p>
        </w:tc>
        <w:tc>
          <w:tcPr>
            <w:tcW w:w="150" w:type="dxa"/>
            <w:tcBorders/>
            <w:shd w:fill="auto" w:val="clear"/>
            <w:vAlign w:val="center"/>
          </w:tcPr>
          <w:p>
            <w:pPr>
              <w:pStyle w:val="TableContents"/>
              <w:spacing w:before="0" w:after="283"/>
              <w:rPr/>
            </w:pPr>
            <w:r>
              <w:rPr/>
              <w:t> </w:t>
            </w:r>
          </w:p>
        </w:tc>
      </w:tr>
      <w:tr>
        <w:trPr/>
        <w:tc>
          <w:tcPr>
            <w:tcW w:w="604" w:type="dxa"/>
            <w:tcBorders/>
            <w:shd w:fill="E5FFFF" w:val="clear"/>
            <w:vAlign w:val="bottom"/>
          </w:tcPr>
          <w:p>
            <w:pPr>
              <w:pStyle w:val="TableContents"/>
              <w:spacing w:before="0" w:after="283"/>
              <w:jc w:val="left"/>
              <w:rPr/>
            </w:pPr>
            <w:r>
              <w:rPr/>
              <w:t>      </w:t>
            </w:r>
          </w:p>
        </w:tc>
        <w:tc>
          <w:tcPr>
            <w:tcW w:w="5067" w:type="dxa"/>
            <w:tcBorders/>
            <w:shd w:fill="E5FFFF" w:val="clear"/>
            <w:vAlign w:val="bottom"/>
          </w:tcPr>
          <w:p>
            <w:pPr>
              <w:pStyle w:val="TableContents"/>
              <w:spacing w:before="0" w:after="283"/>
              <w:jc w:val="left"/>
              <w:rPr>
                <w:rFonts w:ascii="Arial" w:hAnsi="Arial"/>
              </w:rPr>
            </w:pPr>
            <w:r>
              <w:rPr>
                <w:rFonts w:ascii="Arial" w:hAnsi="Arial"/>
              </w:rPr>
              <w:t>Asbestos related litigation charges, net of insurance</w:t>
            </w:r>
          </w:p>
        </w:tc>
        <w:tc>
          <w:tcPr>
            <w:tcW w:w="270" w:type="dxa"/>
            <w:tcBorders/>
            <w:shd w:fill="E5FFFF" w:val="clear"/>
            <w:vAlign w:val="bottom"/>
          </w:tcPr>
          <w:p>
            <w:pPr>
              <w:pStyle w:val="TableContents"/>
              <w:spacing w:before="0" w:after="283"/>
              <w:jc w:val="right"/>
              <w:rPr/>
            </w:pPr>
            <w:r>
              <w:rPr/>
              <w:t>    </w:t>
            </w:r>
          </w:p>
        </w:tc>
        <w:tc>
          <w:tcPr>
            <w:tcW w:w="194" w:type="dxa"/>
            <w:tcBorders/>
            <w:shd w:fill="E5FFFF" w:val="clear"/>
            <w:vAlign w:val="center"/>
          </w:tcPr>
          <w:p>
            <w:pPr>
              <w:pStyle w:val="TableContents"/>
              <w:spacing w:before="0" w:after="283"/>
              <w:rPr/>
            </w:pPr>
            <w:r>
              <w:rPr/>
              <w:t> </w:t>
            </w:r>
          </w:p>
        </w:tc>
        <w:tc>
          <w:tcPr>
            <w:tcW w:w="843" w:type="dxa"/>
            <w:tcBorders/>
            <w:shd w:fill="E5FFFF" w:val="clear"/>
            <w:vAlign w:val="bottom"/>
          </w:tcPr>
          <w:p>
            <w:pPr>
              <w:pStyle w:val="TableContents"/>
              <w:spacing w:before="0" w:after="283"/>
              <w:jc w:val="right"/>
              <w:rPr>
                <w:rFonts w:ascii="Arial" w:hAnsi="Arial"/>
              </w:rPr>
            </w:pPr>
            <w:r>
              <w:rPr>
                <w:rFonts w:ascii="Arial" w:hAnsi="Arial"/>
              </w:rPr>
              <w:t>(135</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484" w:type="dxa"/>
            <w:tcBorders/>
            <w:shd w:fill="E5FFFF" w:val="clear"/>
            <w:vAlign w:val="bottom"/>
          </w:tcPr>
          <w:p>
            <w:pPr>
              <w:pStyle w:val="TableContents"/>
              <w:spacing w:before="0" w:after="283"/>
              <w:jc w:val="right"/>
              <w:rPr/>
            </w:pPr>
            <w:r>
              <w:rPr/>
              <w:t>        </w:t>
            </w:r>
          </w:p>
        </w:tc>
        <w:tc>
          <w:tcPr>
            <w:tcW w:w="194" w:type="dxa"/>
            <w:tcBorders/>
            <w:shd w:fill="E5FFFF" w:val="clear"/>
            <w:vAlign w:val="center"/>
          </w:tcPr>
          <w:p>
            <w:pPr>
              <w:pStyle w:val="TableContents"/>
              <w:spacing w:before="0" w:after="283"/>
              <w:rPr/>
            </w:pPr>
            <w:r>
              <w:rPr/>
              <w:t> </w:t>
            </w:r>
          </w:p>
        </w:tc>
        <w:tc>
          <w:tcPr>
            <w:tcW w:w="720" w:type="dxa"/>
            <w:tcBorders/>
            <w:shd w:fill="E5FFFF" w:val="clear"/>
            <w:vAlign w:val="bottom"/>
          </w:tcPr>
          <w:p>
            <w:pPr>
              <w:pStyle w:val="TableContents"/>
              <w:spacing w:before="0" w:after="283"/>
              <w:jc w:val="right"/>
              <w:rPr>
                <w:rFonts w:ascii="Arial" w:hAnsi="Arial"/>
              </w:rPr>
            </w:pPr>
            <w:r>
              <w:rPr>
                <w:rFonts w:ascii="Arial" w:hAnsi="Arial"/>
              </w:rPr>
              <w:t>(21</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484"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720" w:type="dxa"/>
            <w:tcBorders/>
            <w:shd w:fill="E5FFFF" w:val="clear"/>
            <w:vAlign w:val="bottom"/>
          </w:tcPr>
          <w:p>
            <w:pPr>
              <w:pStyle w:val="TableContents"/>
              <w:spacing w:before="0" w:after="283"/>
              <w:jc w:val="right"/>
              <w:rPr>
                <w:rFonts w:ascii="Arial" w:hAnsi="Arial"/>
              </w:rPr>
            </w:pPr>
            <w:r>
              <w:rPr>
                <w:rFonts w:ascii="Arial" w:hAnsi="Arial"/>
              </w:rPr>
              <w:t>(44</w:t>
            </w:r>
          </w:p>
        </w:tc>
        <w:tc>
          <w:tcPr>
            <w:tcW w:w="15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04" w:type="dxa"/>
            <w:tcBorders/>
            <w:shd w:fill="auto" w:val="clear"/>
            <w:vAlign w:val="bottom"/>
          </w:tcPr>
          <w:p>
            <w:pPr>
              <w:pStyle w:val="TableContents"/>
              <w:spacing w:before="0" w:after="283"/>
              <w:jc w:val="left"/>
              <w:rPr/>
            </w:pPr>
            <w:r>
              <w:rPr/>
              <w:t>      </w:t>
            </w:r>
          </w:p>
        </w:tc>
        <w:tc>
          <w:tcPr>
            <w:tcW w:w="5067" w:type="dxa"/>
            <w:tcBorders/>
            <w:shd w:fill="auto" w:val="clear"/>
            <w:vAlign w:val="bottom"/>
          </w:tcPr>
          <w:p>
            <w:pPr>
              <w:pStyle w:val="TableContents"/>
              <w:spacing w:before="0" w:after="283"/>
              <w:jc w:val="left"/>
              <w:rPr>
                <w:rFonts w:ascii="Arial" w:hAnsi="Arial"/>
              </w:rPr>
            </w:pPr>
            <w:r>
              <w:rPr>
                <w:rFonts w:ascii="Arial" w:hAnsi="Arial"/>
              </w:rPr>
              <w:t>Probable and reasonably estimable environmental liabilities</w:t>
            </w:r>
          </w:p>
        </w:tc>
        <w:tc>
          <w:tcPr>
            <w:tcW w:w="270" w:type="dxa"/>
            <w:tcBorders/>
            <w:shd w:fill="auto" w:val="clear"/>
            <w:vAlign w:val="bottom"/>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843" w:type="dxa"/>
            <w:tcBorders/>
            <w:shd w:fill="auto" w:val="clear"/>
            <w:vAlign w:val="bottom"/>
          </w:tcPr>
          <w:p>
            <w:pPr>
              <w:pStyle w:val="TableContents"/>
              <w:spacing w:before="0" w:after="283"/>
              <w:jc w:val="right"/>
              <w:rPr>
                <w:rFonts w:ascii="Arial" w:hAnsi="Arial"/>
              </w:rPr>
            </w:pPr>
            <w:r>
              <w:rPr>
                <w:rFonts w:ascii="Arial" w:hAnsi="Arial"/>
              </w:rPr>
              <w:t>210</w:t>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Arial" w:hAnsi="Arial"/>
              </w:rPr>
            </w:pPr>
            <w:r>
              <w:rPr>
                <w:rFonts w:ascii="Arial" w:hAnsi="Arial"/>
              </w:rPr>
              <w:t>186</w:t>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Arial" w:hAnsi="Arial"/>
              </w:rPr>
            </w:pPr>
            <w:r>
              <w:rPr>
                <w:rFonts w:ascii="Arial" w:hAnsi="Arial"/>
              </w:rPr>
              <w:t>536</w:t>
            </w:r>
          </w:p>
        </w:tc>
        <w:tc>
          <w:tcPr>
            <w:tcW w:w="150" w:type="dxa"/>
            <w:tcBorders/>
            <w:shd w:fill="auto" w:val="clear"/>
            <w:vAlign w:val="center"/>
          </w:tcPr>
          <w:p>
            <w:pPr>
              <w:pStyle w:val="TableContents"/>
              <w:spacing w:before="0" w:after="283"/>
              <w:rPr/>
            </w:pPr>
            <w:r>
              <w:rPr/>
              <w:t> </w:t>
            </w:r>
          </w:p>
        </w:tc>
      </w:tr>
      <w:tr>
        <w:trPr/>
        <w:tc>
          <w:tcPr>
            <w:tcW w:w="604" w:type="dxa"/>
            <w:tcBorders/>
            <w:shd w:fill="E5FFFF" w:val="clear"/>
            <w:vAlign w:val="bottom"/>
          </w:tcPr>
          <w:p>
            <w:pPr>
              <w:pStyle w:val="TableContents"/>
              <w:spacing w:before="0" w:after="283"/>
              <w:jc w:val="left"/>
              <w:rPr/>
            </w:pPr>
            <w:r>
              <w:rPr/>
              <w:t>      </w:t>
            </w:r>
          </w:p>
        </w:tc>
        <w:tc>
          <w:tcPr>
            <w:tcW w:w="5067" w:type="dxa"/>
            <w:tcBorders/>
            <w:shd w:fill="E5FFFF" w:val="clear"/>
            <w:vAlign w:val="bottom"/>
          </w:tcPr>
          <w:p>
            <w:pPr>
              <w:pStyle w:val="TableContents"/>
              <w:spacing w:before="0" w:after="283"/>
              <w:jc w:val="left"/>
              <w:rPr>
                <w:rFonts w:ascii="Arial" w:hAnsi="Arial"/>
              </w:rPr>
            </w:pPr>
            <w:r>
              <w:rPr>
                <w:rFonts w:ascii="Arial" w:hAnsi="Arial"/>
              </w:rPr>
              <w:t>Other</w:t>
            </w:r>
          </w:p>
        </w:tc>
        <w:tc>
          <w:tcPr>
            <w:tcW w:w="270" w:type="dxa"/>
            <w:tcBorders/>
            <w:shd w:fill="E5FFFF" w:val="clear"/>
            <w:vAlign w:val="bottom"/>
          </w:tcPr>
          <w:p>
            <w:pPr>
              <w:pStyle w:val="TableContents"/>
              <w:spacing w:before="0" w:after="283"/>
              <w:jc w:val="right"/>
              <w:rPr/>
            </w:pPr>
            <w:r>
              <w:rPr/>
              <w:t>    </w:t>
            </w:r>
          </w:p>
        </w:tc>
        <w:tc>
          <w:tcPr>
            <w:tcW w:w="194" w:type="dxa"/>
            <w:tcBorders/>
            <w:shd w:fill="E5FFFF" w:val="clear"/>
            <w:vAlign w:val="center"/>
          </w:tcPr>
          <w:p>
            <w:pPr>
              <w:pStyle w:val="TableContents"/>
              <w:spacing w:before="0" w:after="283"/>
              <w:rPr/>
            </w:pPr>
            <w:r>
              <w:rPr/>
              <w:t> </w:t>
            </w:r>
          </w:p>
        </w:tc>
        <w:tc>
          <w:tcPr>
            <w:tcW w:w="843" w:type="dxa"/>
            <w:tcBorders/>
            <w:shd w:fill="E5FFFF" w:val="clear"/>
            <w:vAlign w:val="bottom"/>
          </w:tcPr>
          <w:p>
            <w:pPr>
              <w:pStyle w:val="TableContents"/>
              <w:spacing w:before="0" w:after="283"/>
              <w:jc w:val="right"/>
              <w:rPr>
                <w:rFonts w:ascii="Arial" w:hAnsi="Arial"/>
              </w:rPr>
            </w:pPr>
            <w:r>
              <w:rPr>
                <w:rFonts w:ascii="Arial" w:hAnsi="Arial"/>
              </w:rPr>
              <w:t>51</w:t>
            </w:r>
          </w:p>
        </w:tc>
        <w:tc>
          <w:tcPr>
            <w:tcW w:w="141"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194" w:type="dxa"/>
            <w:tcBorders/>
            <w:shd w:fill="E5FFFF" w:val="clear"/>
            <w:vAlign w:val="center"/>
          </w:tcPr>
          <w:p>
            <w:pPr>
              <w:pStyle w:val="TableContents"/>
              <w:spacing w:before="0" w:after="283"/>
              <w:rPr/>
            </w:pPr>
            <w:r>
              <w:rPr/>
              <w:t> </w:t>
            </w:r>
          </w:p>
        </w:tc>
        <w:tc>
          <w:tcPr>
            <w:tcW w:w="720" w:type="dxa"/>
            <w:tcBorders/>
            <w:shd w:fill="E5FFFF" w:val="clear"/>
            <w:vAlign w:val="bottom"/>
          </w:tcPr>
          <w:p>
            <w:pPr>
              <w:pStyle w:val="TableContents"/>
              <w:spacing w:before="0" w:after="283"/>
              <w:jc w:val="right"/>
              <w:rPr>
                <w:rFonts w:ascii="Arial" w:hAnsi="Arial"/>
              </w:rPr>
            </w:pPr>
            <w:r>
              <w:rPr>
                <w:rFonts w:ascii="Arial" w:hAnsi="Arial"/>
              </w:rPr>
              <w:t>19</w:t>
            </w:r>
          </w:p>
        </w:tc>
        <w:tc>
          <w:tcPr>
            <w:tcW w:w="141"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720" w:type="dxa"/>
            <w:tcBorders/>
            <w:shd w:fill="E5FFFF" w:val="clear"/>
            <w:vAlign w:val="bottom"/>
          </w:tcPr>
          <w:p>
            <w:pPr>
              <w:pStyle w:val="TableContents"/>
              <w:spacing w:before="0" w:after="283"/>
              <w:jc w:val="right"/>
              <w:rPr>
                <w:rFonts w:ascii="Arial" w:hAnsi="Arial"/>
              </w:rPr>
            </w:pPr>
            <w:r>
              <w:rPr>
                <w:rFonts w:ascii="Arial" w:hAnsi="Arial"/>
              </w:rPr>
              <w:t>17</w:t>
            </w:r>
          </w:p>
        </w:tc>
        <w:tc>
          <w:tcPr>
            <w:tcW w:w="150" w:type="dxa"/>
            <w:tcBorders/>
            <w:shd w:fill="E5FFFF" w:val="clear"/>
            <w:vAlign w:val="center"/>
          </w:tcPr>
          <w:p>
            <w:pPr>
              <w:pStyle w:val="TableContents"/>
              <w:spacing w:before="0" w:after="283"/>
              <w:rPr/>
            </w:pPr>
            <w:r>
              <w:rPr/>
              <w:t> </w:t>
            </w:r>
          </w:p>
        </w:tc>
      </w:tr>
      <w:tr>
        <w:trPr/>
        <w:tc>
          <w:tcPr>
            <w:tcW w:w="604" w:type="dxa"/>
            <w:tcBorders/>
            <w:shd w:fill="auto" w:val="clear"/>
            <w:vAlign w:val="center"/>
          </w:tcPr>
          <w:p>
            <w:pPr>
              <w:pStyle w:val="TableContents"/>
              <w:spacing w:before="0" w:after="283"/>
              <w:rPr/>
            </w:pPr>
            <w:r>
              <w:rPr/>
              <w:t> </w:t>
            </w:r>
          </w:p>
        </w:tc>
        <w:tc>
          <w:tcPr>
            <w:tcW w:w="5067"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843" w:type="dxa"/>
            <w:tcBorders/>
            <w:shd w:fill="auto" w:val="clear"/>
            <w:vAlign w:val="bottom"/>
          </w:tcPr>
          <w:p>
            <w:pPr>
              <w:pStyle w:val="HorizontalLine"/>
              <w:pBdr>
                <w:bottom w:val="single" w:sz="6" w:space="0" w:color="000000"/>
              </w:pBdr>
              <w:spacing w:before="0" w:after="283"/>
              <w:rPr/>
            </w:pPr>
            <w:r>
              <w:rPr/>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720" w:type="dxa"/>
            <w:tcBorders/>
            <w:shd w:fill="auto" w:val="clear"/>
            <w:vAlign w:val="bottom"/>
          </w:tcPr>
          <w:p>
            <w:pPr>
              <w:pStyle w:val="HorizontalLine"/>
              <w:pBdr>
                <w:bottom w:val="single" w:sz="6" w:space="0" w:color="000000"/>
              </w:pBdr>
              <w:spacing w:before="0" w:after="283"/>
              <w:rPr/>
            </w:pPr>
            <w:r>
              <w:rPr/>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20"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center"/>
          </w:tcPr>
          <w:p>
            <w:pPr>
              <w:pStyle w:val="TableContents"/>
              <w:spacing w:before="0" w:after="283"/>
              <w:rPr/>
            </w:pPr>
            <w:r>
              <w:rPr/>
              <w:t> </w:t>
            </w:r>
          </w:p>
        </w:tc>
      </w:tr>
      <w:tr>
        <w:trPr/>
        <w:tc>
          <w:tcPr>
            <w:tcW w:w="604" w:type="dxa"/>
            <w:tcBorders/>
            <w:shd w:fill="E5FFFF" w:val="clear"/>
            <w:vAlign w:val="bottom"/>
          </w:tcPr>
          <w:p>
            <w:pPr>
              <w:pStyle w:val="TableContents"/>
              <w:spacing w:before="0" w:after="283"/>
              <w:jc w:val="left"/>
              <w:rPr/>
            </w:pPr>
            <w:r>
              <w:rPr/>
              <w:t>      </w:t>
            </w:r>
          </w:p>
        </w:tc>
        <w:tc>
          <w:tcPr>
            <w:tcW w:w="5067" w:type="dxa"/>
            <w:tcBorders/>
            <w:shd w:fill="E5FFFF" w:val="clear"/>
            <w:vAlign w:val="bottom"/>
          </w:tcPr>
          <w:p>
            <w:pPr>
              <w:pStyle w:val="TableContents"/>
              <w:spacing w:before="0" w:after="283"/>
              <w:rPr>
                <w:sz w:val="4"/>
                <w:szCs w:val="4"/>
              </w:rPr>
            </w:pPr>
            <w:r>
              <w:rPr>
                <w:sz w:val="4"/>
                <w:szCs w:val="4"/>
              </w:rPr>
            </w:r>
          </w:p>
        </w:tc>
        <w:tc>
          <w:tcPr>
            <w:tcW w:w="270" w:type="dxa"/>
            <w:tcBorders/>
            <w:shd w:fill="E5FFFF" w:val="clear"/>
            <w:vAlign w:val="bottom"/>
          </w:tcPr>
          <w:p>
            <w:pPr>
              <w:pStyle w:val="TableContents"/>
              <w:spacing w:before="0" w:after="283"/>
              <w:jc w:val="right"/>
              <w:rPr/>
            </w:pPr>
            <w:r>
              <w:rPr/>
              <w:t>    </w:t>
            </w:r>
          </w:p>
        </w:tc>
        <w:tc>
          <w:tcPr>
            <w:tcW w:w="194" w:type="dxa"/>
            <w:tcBorders/>
            <w:shd w:fill="E5FFFF" w:val="clear"/>
            <w:vAlign w:val="bottom"/>
          </w:tcPr>
          <w:p>
            <w:pPr>
              <w:pStyle w:val="TableContents"/>
              <w:spacing w:before="0" w:after="283"/>
              <w:jc w:val="right"/>
              <w:rPr>
                <w:rFonts w:ascii="Arial" w:hAnsi="Arial"/>
              </w:rPr>
            </w:pPr>
            <w:r>
              <w:rPr>
                <w:rFonts w:ascii="Arial" w:hAnsi="Arial"/>
              </w:rPr>
              <w:t>$</w:t>
            </w:r>
          </w:p>
        </w:tc>
        <w:tc>
          <w:tcPr>
            <w:tcW w:w="843" w:type="dxa"/>
            <w:tcBorders/>
            <w:shd w:fill="E5FFFF" w:val="clear"/>
            <w:vAlign w:val="bottom"/>
          </w:tcPr>
          <w:p>
            <w:pPr>
              <w:pStyle w:val="TableContents"/>
              <w:spacing w:before="0" w:after="283"/>
              <w:jc w:val="right"/>
              <w:rPr>
                <w:rFonts w:ascii="Arial" w:hAnsi="Arial"/>
              </w:rPr>
            </w:pPr>
            <w:r>
              <w:rPr>
                <w:rFonts w:ascii="Arial" w:hAnsi="Arial"/>
              </w:rPr>
              <w:t>136</w:t>
            </w:r>
          </w:p>
        </w:tc>
        <w:tc>
          <w:tcPr>
            <w:tcW w:w="141"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194" w:type="dxa"/>
            <w:tcBorders/>
            <w:shd w:fill="E5FFFF" w:val="clear"/>
            <w:vAlign w:val="bottom"/>
          </w:tcPr>
          <w:p>
            <w:pPr>
              <w:pStyle w:val="TableContents"/>
              <w:spacing w:before="0" w:after="283"/>
              <w:jc w:val="right"/>
              <w:rPr>
                <w:rFonts w:ascii="Arial" w:hAnsi="Arial"/>
              </w:rPr>
            </w:pPr>
            <w:r>
              <w:rPr>
                <w:rFonts w:ascii="Arial" w:hAnsi="Arial"/>
              </w:rPr>
              <w:t>$</w:t>
            </w:r>
          </w:p>
        </w:tc>
        <w:tc>
          <w:tcPr>
            <w:tcW w:w="720" w:type="dxa"/>
            <w:tcBorders/>
            <w:shd w:fill="E5FFFF" w:val="clear"/>
            <w:vAlign w:val="bottom"/>
          </w:tcPr>
          <w:p>
            <w:pPr>
              <w:pStyle w:val="TableContents"/>
              <w:spacing w:before="0" w:after="283"/>
              <w:jc w:val="right"/>
              <w:rPr>
                <w:rFonts w:ascii="Arial" w:hAnsi="Arial"/>
              </w:rPr>
            </w:pPr>
            <w:r>
              <w:rPr>
                <w:rFonts w:ascii="Arial" w:hAnsi="Arial"/>
              </w:rPr>
              <w:t>183</w:t>
            </w:r>
          </w:p>
        </w:tc>
        <w:tc>
          <w:tcPr>
            <w:tcW w:w="141" w:type="dxa"/>
            <w:tcBorders/>
            <w:shd w:fill="E5FFFF" w:val="clear"/>
            <w:vAlign w:val="center"/>
          </w:tcPr>
          <w:p>
            <w:pPr>
              <w:pStyle w:val="TableContents"/>
              <w:spacing w:before="0" w:after="283"/>
              <w:rPr/>
            </w:pPr>
            <w:r>
              <w:rPr/>
              <w:t> </w:t>
            </w:r>
          </w:p>
        </w:tc>
        <w:tc>
          <w:tcPr>
            <w:tcW w:w="484"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720" w:type="dxa"/>
            <w:tcBorders/>
            <w:shd w:fill="E5FFFF" w:val="clear"/>
            <w:vAlign w:val="bottom"/>
          </w:tcPr>
          <w:p>
            <w:pPr>
              <w:pStyle w:val="TableContents"/>
              <w:spacing w:before="0" w:after="283"/>
              <w:jc w:val="right"/>
              <w:rPr>
                <w:rFonts w:ascii="Arial" w:hAnsi="Arial"/>
              </w:rPr>
            </w:pPr>
            <w:r>
              <w:rPr>
                <w:rFonts w:ascii="Arial" w:hAnsi="Arial"/>
              </w:rPr>
              <w:t>515</w:t>
            </w:r>
          </w:p>
        </w:tc>
        <w:tc>
          <w:tcPr>
            <w:tcW w:w="150" w:type="dxa"/>
            <w:tcBorders/>
            <w:shd w:fill="E5FFFF" w:val="clear"/>
            <w:vAlign w:val="center"/>
          </w:tcPr>
          <w:p>
            <w:pPr>
              <w:pStyle w:val="TableContents"/>
              <w:spacing w:before="0" w:after="283"/>
              <w:rPr/>
            </w:pPr>
            <w:r>
              <w:rPr/>
              <w:t> </w:t>
            </w:r>
          </w:p>
        </w:tc>
      </w:tr>
      <w:tr>
        <w:trPr/>
        <w:tc>
          <w:tcPr>
            <w:tcW w:w="604" w:type="dxa"/>
            <w:tcBorders/>
            <w:shd w:fill="auto" w:val="clear"/>
            <w:vAlign w:val="center"/>
          </w:tcPr>
          <w:p>
            <w:pPr>
              <w:pStyle w:val="TableContents"/>
              <w:spacing w:before="0" w:after="283"/>
              <w:rPr/>
            </w:pPr>
            <w:r>
              <w:rPr/>
              <w:t> </w:t>
            </w:r>
          </w:p>
        </w:tc>
        <w:tc>
          <w:tcPr>
            <w:tcW w:w="5067"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843" w:type="dxa"/>
            <w:tcBorders/>
            <w:shd w:fill="auto" w:val="clear"/>
            <w:vAlign w:val="bottom"/>
          </w:tcPr>
          <w:p>
            <w:pPr>
              <w:pStyle w:val="HorizontalLine"/>
              <w:pBdr>
                <w:bottom w:val="single" w:sz="18" w:space="0" w:color="000000"/>
              </w:pBdr>
              <w:spacing w:before="0" w:after="283"/>
              <w:rPr/>
            </w:pPr>
            <w:r>
              <w:rPr/>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720" w:type="dxa"/>
            <w:tcBorders/>
            <w:shd w:fill="auto" w:val="clear"/>
            <w:vAlign w:val="bottom"/>
          </w:tcPr>
          <w:p>
            <w:pPr>
              <w:pStyle w:val="HorizontalLine"/>
              <w:pBdr>
                <w:bottom w:val="single" w:sz="18" w:space="0" w:color="000000"/>
              </w:pBdr>
              <w:spacing w:before="0" w:after="283"/>
              <w:rPr/>
            </w:pPr>
            <w:r>
              <w:rPr/>
            </w:r>
          </w:p>
        </w:tc>
        <w:tc>
          <w:tcPr>
            <w:tcW w:w="141"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193" w:type="dxa"/>
            <w:tcBorders/>
            <w:shd w:fill="auto" w:val="clear"/>
            <w:vAlign w:val="center"/>
          </w:tcPr>
          <w:p>
            <w:pPr>
              <w:pStyle w:val="TableContents"/>
              <w:spacing w:before="0" w:after="283"/>
              <w:rPr/>
            </w:pPr>
            <w:r>
              <w:rPr/>
              <w:t> </w:t>
            </w:r>
          </w:p>
        </w:tc>
        <w:tc>
          <w:tcPr>
            <w:tcW w:w="720"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center"/>
          </w:tcPr>
          <w:p>
            <w:pPr>
              <w:pStyle w:val="TableContents"/>
              <w:spacing w:before="0" w:after="283"/>
              <w:rPr/>
            </w:pPr>
            <w:r>
              <w:rPr/>
              <w:t> </w:t>
            </w:r>
          </w:p>
        </w:tc>
      </w:tr>
      <w:tr>
        <w:trPr/>
        <w:tc>
          <w:tcPr>
            <w:tcW w:w="604" w:type="dxa"/>
            <w:tcBorders/>
            <w:shd w:fill="FFFFFF" w:val="clear"/>
            <w:vAlign w:val="bottom"/>
          </w:tcPr>
          <w:p>
            <w:pPr>
              <w:pStyle w:val="TableContents"/>
              <w:spacing w:before="0" w:after="283"/>
              <w:jc w:val="left"/>
              <w:rPr/>
            </w:pPr>
            <w:r>
              <w:rPr/>
              <w:t>      </w:t>
            </w:r>
          </w:p>
        </w:tc>
        <w:tc>
          <w:tcPr>
            <w:tcW w:w="5067" w:type="dxa"/>
            <w:tcBorders/>
            <w:shd w:fill="FFFFFF" w:val="clear"/>
            <w:vAlign w:val="bottom"/>
          </w:tcPr>
          <w:p>
            <w:pPr>
              <w:pStyle w:val="TableContents"/>
              <w:spacing w:before="0" w:after="283"/>
              <w:rPr>
                <w:sz w:val="4"/>
                <w:szCs w:val="4"/>
              </w:rPr>
            </w:pPr>
            <w:r>
              <w:rPr>
                <w:sz w:val="4"/>
                <w:szCs w:val="4"/>
              </w:rPr>
            </w:r>
          </w:p>
        </w:tc>
        <w:tc>
          <w:tcPr>
            <w:tcW w:w="270" w:type="dxa"/>
            <w:tcBorders/>
            <w:shd w:fill="FFFFFF" w:val="clear"/>
            <w:vAlign w:val="center"/>
          </w:tcPr>
          <w:p>
            <w:pPr>
              <w:pStyle w:val="TableContents"/>
              <w:spacing w:before="0" w:after="283"/>
              <w:rPr/>
            </w:pPr>
            <w:r>
              <w:rPr/>
              <w:t> </w:t>
            </w:r>
          </w:p>
        </w:tc>
        <w:tc>
          <w:tcPr>
            <w:tcW w:w="194" w:type="dxa"/>
            <w:tcBorders/>
            <w:shd w:fill="FFFFFF" w:val="clear"/>
            <w:vAlign w:val="center"/>
          </w:tcPr>
          <w:p>
            <w:pPr>
              <w:pStyle w:val="TableContents"/>
              <w:spacing w:before="0" w:after="283"/>
              <w:rPr/>
            </w:pPr>
            <w:r>
              <w:rPr/>
              <w:t> </w:t>
            </w:r>
          </w:p>
        </w:tc>
        <w:tc>
          <w:tcPr>
            <w:tcW w:w="843"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484" w:type="dxa"/>
            <w:tcBorders/>
            <w:shd w:fill="FFFFFF" w:val="clear"/>
            <w:vAlign w:val="center"/>
          </w:tcPr>
          <w:p>
            <w:pPr>
              <w:pStyle w:val="TableContents"/>
              <w:spacing w:before="0" w:after="283"/>
              <w:rPr/>
            </w:pPr>
            <w:r>
              <w:rPr/>
              <w:t> </w:t>
            </w:r>
          </w:p>
        </w:tc>
        <w:tc>
          <w:tcPr>
            <w:tcW w:w="194" w:type="dxa"/>
            <w:tcBorders/>
            <w:shd w:fill="FFFFFF" w:val="clear"/>
            <w:vAlign w:val="center"/>
          </w:tcPr>
          <w:p>
            <w:pPr>
              <w:pStyle w:val="TableContents"/>
              <w:spacing w:before="0" w:after="283"/>
              <w:rPr/>
            </w:pPr>
            <w:r>
              <w:rPr/>
              <w:t> </w:t>
            </w:r>
          </w:p>
        </w:tc>
        <w:tc>
          <w:tcPr>
            <w:tcW w:w="72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484"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72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In 2006, we recognized repositioning charges totaling $124 million primarily for severance costs related to workforce reductions of 2,253 manufacturing and administrative positions across all of our reportable segments. Also, $22 million of previously established accruals, primarily for severance at our Aerospace, Transportation Systems and Specialty Materials reportable segments, were returned to income in 2006 due mainly to changes in the scope of previously announced severance programs and due to fewer employee separations than originally planned associated with prior Aerospace severance actions.</w:t>
      </w:r>
    </w:p>
    <w:p>
      <w:pPr>
        <w:pStyle w:val="TextBody"/>
        <w:jc w:val="left"/>
        <w:rPr/>
      </w:pPr>
      <w:r>
        <w:rPr/>
        <w:t>      </w:t>
      </w:r>
      <w:r>
        <w:rPr>
          <w:rFonts w:ascii="Arial" w:hAnsi="Arial"/>
        </w:rPr>
        <w:t>In 2005, we recognized repositioning charges totaling $267 million primarily for severance costs related to workforce reductions of 5,269 maufacturing and administrative positions across all of our reportable segments including the implementation of a new organizational structure in our Aerospace reportable segment (substantially implemented in the third quarter of 2005) which reorganized our Aerospace businesses to better align with customer segments. Also, $25 million of previously established accruals, primarily for severance at our Corporate, Specialty Materials and Automation and Control Solutions reportable segments were returned to income in 2005. The reversal of severance liabilities related to changes in the scope of previously announced severance programs, excise taxes related to an executive severance amount previously paid which were determined to no longer be payable, and severance amounts previously paid to an outside service provider as part of an outsourcing arrangement which were refunded to Honeywell.</w:t>
      </w:r>
    </w:p>
    <w:p>
      <w:pPr>
        <w:pStyle w:val="TextBody"/>
        <w:jc w:val="left"/>
        <w:rPr/>
      </w:pPr>
      <w:r>
        <w:rPr/>
        <w:t>      </w:t>
      </w:r>
      <w:r>
        <w:rPr>
          <w:rFonts w:ascii="Arial" w:hAnsi="Arial"/>
        </w:rPr>
        <w:t>In 2004, we recognized repositioning charges totaling $116 million primarily for severance costs related to workforce reductions of 2,272 manufacturing and administrative positions across all of our</w:t>
      </w:r>
    </w:p>
    <w:p>
      <w:pPr>
        <w:pStyle w:val="TextBody"/>
        <w:jc w:val="center"/>
        <w:rPr>
          <w:rFonts w:ascii="Arial" w:hAnsi="Arial"/>
        </w:rPr>
      </w:pPr>
      <w:r>
        <w:rPr>
          <w:rFonts w:ascii="Arial" w:hAnsi="Arial"/>
        </w:rPr>
        <w:t>31</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reportable segments. Also, $28 million of previously established accruals, primarily for severance, were returned to income in 2004, due to fewer employee separations than originally planned associated with certain prior repositioning actions, resulting in reduced severance liabilities principally in our Automation and Control Solutions reportable segment.</w:t>
      </w:r>
    </w:p>
    <w:p>
      <w:pPr>
        <w:pStyle w:val="TextBody"/>
        <w:jc w:val="left"/>
        <w:rPr>
          <w:rFonts w:ascii="Arial" w:hAnsi="Arial"/>
        </w:rPr>
      </w:pPr>
      <w:r>
        <w:rPr>
          <w:rFonts w:ascii="Arial" w:hAnsi="Arial"/>
        </w:rPr>
        <w:t>Our 2006 repositioning actions are expected to generate incremental pretax savings of approximately $100 million in 2007 compared with 2006 principally from planned workforce reductions. Cash expenditures for severance and other exit costs necessary to execute our repositioning actions were $142, $171 and $164 million in 2006, 2005 and 2004, respectively. Such expenditures for severance and other exit costs have been funded principally through operating cash flows. Cash expenditures for severance and other exit costs necessary to execute the remaining actions will approximate $125 million in 2007 and will be funded through operating cash flows.</w:t>
      </w:r>
    </w:p>
    <w:p>
      <w:pPr>
        <w:pStyle w:val="TextBody"/>
        <w:jc w:val="left"/>
        <w:rPr/>
      </w:pPr>
      <w:r>
        <w:rPr/>
        <w:t>      </w:t>
      </w:r>
      <w:r>
        <w:rPr>
          <w:rFonts w:ascii="Arial" w:hAnsi="Arial"/>
        </w:rPr>
        <w:t>In 2006, we recognized a charge of $210 million for environmental liabilities deemed probable and reasonably estimable during the year. We recognized asbestos related litigation charges, net of insurance, of $126 million which are discussed in more detail in Note 21 to the financial statements. We recognized other charges of $51 million related to our Corporate segment primarily for the settlement of a property damage claim litigation matter in Brunswick, GA and our entrance into a plea agreement related to an environmental matter at our Baton Rouge, LA. facility (see Note 21 to the financial statements). We recognized impairment charges of $12 million related to the write-down of property, plant and equipment held for sale in Specialty Materials. We also recognized a credit of $18 million in connection with an arbitration award for overcharges by a supplier of phenol to Specialty Materials for 2005 transactions.</w:t>
      </w:r>
    </w:p>
    <w:p>
      <w:pPr>
        <w:pStyle w:val="TextBody"/>
        <w:jc w:val="left"/>
        <w:rPr/>
      </w:pPr>
      <w:r>
        <w:rPr/>
        <w:t>      </w:t>
      </w:r>
      <w:r>
        <w:rPr>
          <w:rFonts w:ascii="Arial" w:hAnsi="Arial"/>
        </w:rPr>
        <w:t>In 2005, we recognized a charge of $186 million for environmental liabilities deemed probable and reasonably estimable during the year. We recognized asbestos related litigation charges, net of insurance, of $10 million which are discussed in more detail in Note 21 to the financial statements. We recognized a credit of $67 million in connection with an arbitration award for overcharges by a supplier of phenol to our Specialty Materials business from June 2003 through the end of 2004. We recognized impairment charges of $23 million related to the write-down of property, plant and equipment held and used in our Specialty Materials reportable segment. We also recognized other charges of $18 million principally related to the modification of a lease agreement for the Corporate headquarters facility ($10 million) and for various legal settlements ($7 million).</w:t>
      </w:r>
    </w:p>
    <w:p>
      <w:pPr>
        <w:pStyle w:val="TextBody"/>
        <w:jc w:val="left"/>
        <w:rPr/>
      </w:pPr>
      <w:r>
        <w:rPr/>
        <w:t>      </w:t>
      </w:r>
      <w:r>
        <w:rPr>
          <w:rFonts w:ascii="Arial" w:hAnsi="Arial"/>
        </w:rPr>
        <w:t>In 2004, we recognized a charge of $536 million for probable and reasonably estimable environmental liabilities primarily related to the estimated costs of the court-ordered excavation and transport for offsite disposal of approximately one million tons of chromium residue present at a predecessor Honeywell site located in Jersey City, New Jersey, and environmental conditions in and around Onondaga Lake in Syracuse, New York. Both of these environmental matters are discussed in further detail in Note 21 to the financial statements. We recognized asbestos related litigation charges, net of insurance, of $76 million which are discussed in Note 21. We recognized an impairment charge of $42 million in the second quarter of 2004 related principally to the write-down of property, plant and equipment of our Performance Fibers business in our Specialty Materials reportable segment. This business was sold in December 2004. We also recognized other charges of $33 million consisting of $29 million for various legal settlements including property damage claims in our Automation and Control Solutions reportable segment, $14 million for the write-off of receivables, inventories and other assets net of a reversal of a reserve of $10 million established in the prior year for a contract settlement.</w:t>
      </w:r>
    </w:p>
    <w:p>
      <w:pPr>
        <w:pStyle w:val="TextBody"/>
        <w:jc w:val="center"/>
        <w:rPr>
          <w:rFonts w:ascii="Arial" w:hAnsi="Arial"/>
        </w:rPr>
      </w:pPr>
      <w:r>
        <w:rPr>
          <w:rFonts w:ascii="Arial" w:hAnsi="Arial"/>
        </w:rPr>
        <w:t>32</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LIQUIDITY AND CAPITAL RESOURCES</w:t>
      </w:r>
    </w:p>
    <w:p>
      <w:pPr>
        <w:pStyle w:val="TextBody"/>
        <w:jc w:val="left"/>
        <w:rPr/>
      </w:pPr>
      <w:r>
        <w:rPr/>
        <w:t>      </w:t>
      </w:r>
      <w:r>
        <w:rPr>
          <w:rFonts w:ascii="Arial" w:hAnsi="Arial"/>
        </w:rPr>
        <w:t>The Company continues to manage its businesses to maximize operating cash flows as the primary source of liquidity. We supplement operating cash with short-term debt from the commercial paper market and with long-term borrowings. We continue to balance our cash and financing uses through investment in our existing core businesses, acquisition activity, share repurchases and dividends.</w:t>
      </w:r>
    </w:p>
    <w:p>
      <w:pPr>
        <w:pStyle w:val="TextBody"/>
        <w:jc w:val="left"/>
        <w:rPr>
          <w:rFonts w:ascii="Arial" w:hAnsi="Arial"/>
          <w:b/>
        </w:rPr>
      </w:pPr>
      <w:r>
        <w:rPr>
          <w:rFonts w:ascii="Arial" w:hAnsi="Arial"/>
          <w:b/>
        </w:rPr>
        <w:t>Cash Flow Summary</w:t>
      </w:r>
    </w:p>
    <w:p>
      <w:pPr>
        <w:pStyle w:val="TextBody"/>
        <w:jc w:val="left"/>
        <w:rPr/>
      </w:pPr>
      <w:r>
        <w:rPr/>
        <w:t>      </w:t>
      </w:r>
      <w:r>
        <w:rPr>
          <w:rFonts w:ascii="Arial" w:hAnsi="Arial"/>
        </w:rPr>
        <w:t>Our cash flows from operating, investing and financing activities, as reflected in the Consolidated Statement of Cash Flows for the years ended December 31. 2006, 2005 and 2004 are summarized as follows:</w:t>
      </w:r>
    </w:p>
    <w:tbl>
      <w:tblPr>
        <w:tblW w:w="5000" w:type="pct"/>
        <w:jc w:val="left"/>
        <w:tblInd w:w="0" w:type="dxa"/>
        <w:tblCellMar>
          <w:top w:w="0" w:type="dxa"/>
          <w:left w:w="0" w:type="dxa"/>
          <w:bottom w:w="0" w:type="dxa"/>
          <w:right w:w="0" w:type="dxa"/>
        </w:tblCellMar>
      </w:tblPr>
      <w:tblGrid>
        <w:gridCol w:w="381"/>
        <w:gridCol w:w="6058"/>
        <w:gridCol w:w="255"/>
        <w:gridCol w:w="164"/>
        <w:gridCol w:w="736"/>
        <w:gridCol w:w="100"/>
        <w:gridCol w:w="255"/>
        <w:gridCol w:w="164"/>
        <w:gridCol w:w="736"/>
        <w:gridCol w:w="100"/>
        <w:gridCol w:w="255"/>
        <w:gridCol w:w="164"/>
        <w:gridCol w:w="736"/>
        <w:gridCol w:w="101"/>
      </w:tblGrid>
      <w:tr>
        <w:trPr/>
        <w:tc>
          <w:tcPr>
            <w:tcW w:w="381" w:type="dxa"/>
            <w:tcBorders/>
            <w:shd w:fill="FFFFFF" w:val="clear"/>
            <w:vAlign w:val="center"/>
          </w:tcPr>
          <w:p>
            <w:pPr>
              <w:pStyle w:val="TableContents"/>
              <w:spacing w:before="0" w:after="283"/>
              <w:rPr/>
            </w:pPr>
            <w:r>
              <w:rPr/>
              <w:t> </w:t>
            </w:r>
          </w:p>
        </w:tc>
        <w:tc>
          <w:tcPr>
            <w:tcW w:w="6058"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00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0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0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381" w:type="dxa"/>
            <w:tcBorders/>
            <w:shd w:fill="FFFFFF" w:val="clear"/>
            <w:vAlign w:val="bottom"/>
          </w:tcPr>
          <w:p>
            <w:pPr>
              <w:pStyle w:val="TableContents"/>
              <w:spacing w:before="0" w:after="283"/>
              <w:jc w:val="left"/>
              <w:rPr/>
            </w:pPr>
            <w:r>
              <w:rPr/>
              <w:t>      </w:t>
            </w:r>
          </w:p>
        </w:tc>
        <w:tc>
          <w:tcPr>
            <w:tcW w:w="6058" w:type="dxa"/>
            <w:tcBorders/>
            <w:shd w:fill="FFFFFF" w:val="clear"/>
            <w:vAlign w:val="bottom"/>
          </w:tcPr>
          <w:p>
            <w:pPr>
              <w:pStyle w:val="TableContents"/>
              <w:spacing w:before="0" w:after="283"/>
              <w:jc w:val="left"/>
              <w:rPr>
                <w:rFonts w:ascii="Arial" w:hAnsi="Arial"/>
              </w:rPr>
            </w:pPr>
            <w:r>
              <w:rPr>
                <w:rFonts w:ascii="Arial" w:hAnsi="Arial"/>
              </w:rPr>
              <w:t>Cash provided by (used for):</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r>
      <w:tr>
        <w:trPr/>
        <w:tc>
          <w:tcPr>
            <w:tcW w:w="381" w:type="dxa"/>
            <w:tcBorders/>
            <w:shd w:fill="E5FFFF" w:val="clear"/>
            <w:vAlign w:val="bottom"/>
          </w:tcPr>
          <w:p>
            <w:pPr>
              <w:pStyle w:val="TableContents"/>
              <w:spacing w:before="0" w:after="283"/>
              <w:jc w:val="left"/>
              <w:rPr/>
            </w:pPr>
            <w:r>
              <w:rPr/>
              <w:t>      </w:t>
            </w:r>
          </w:p>
        </w:tc>
        <w:tc>
          <w:tcPr>
            <w:tcW w:w="6058" w:type="dxa"/>
            <w:tcBorders/>
            <w:shd w:fill="E5FFFF" w:val="clear"/>
            <w:vAlign w:val="bottom"/>
          </w:tcPr>
          <w:p>
            <w:pPr>
              <w:pStyle w:val="TableContents"/>
              <w:spacing w:before="0" w:after="283"/>
              <w:jc w:val="left"/>
              <w:rPr>
                <w:rFonts w:ascii="Arial" w:hAnsi="Arial"/>
              </w:rPr>
            </w:pPr>
            <w:r>
              <w:rPr>
                <w:rFonts w:ascii="Arial" w:hAnsi="Arial"/>
              </w:rPr>
              <w:t>Operating activities</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bottom"/>
          </w:tcPr>
          <w:p>
            <w:pPr>
              <w:pStyle w:val="TableContents"/>
              <w:spacing w:before="0" w:after="283"/>
              <w:jc w:val="right"/>
              <w:rPr>
                <w:rFonts w:ascii="Arial" w:hAnsi="Arial"/>
              </w:rPr>
            </w:pPr>
            <w:r>
              <w:rPr>
                <w:rFonts w:ascii="Arial" w:hAnsi="Arial"/>
              </w:rPr>
              <w:t>$</w:t>
            </w:r>
          </w:p>
        </w:tc>
        <w:tc>
          <w:tcPr>
            <w:tcW w:w="736" w:type="dxa"/>
            <w:tcBorders/>
            <w:shd w:fill="E5FFFF" w:val="clear"/>
            <w:vAlign w:val="bottom"/>
          </w:tcPr>
          <w:p>
            <w:pPr>
              <w:pStyle w:val="TableContents"/>
              <w:spacing w:before="0" w:after="283"/>
              <w:jc w:val="right"/>
              <w:rPr>
                <w:rFonts w:ascii="Arial" w:hAnsi="Arial"/>
              </w:rPr>
            </w:pPr>
            <w:r>
              <w:rPr>
                <w:rFonts w:ascii="Arial" w:hAnsi="Arial"/>
              </w:rPr>
              <w:t>3,211</w:t>
            </w:r>
          </w:p>
        </w:tc>
        <w:tc>
          <w:tcPr>
            <w:tcW w:w="100"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bottom"/>
          </w:tcPr>
          <w:p>
            <w:pPr>
              <w:pStyle w:val="TableContents"/>
              <w:spacing w:before="0" w:after="283"/>
              <w:jc w:val="right"/>
              <w:rPr>
                <w:rFonts w:ascii="Arial" w:hAnsi="Arial"/>
              </w:rPr>
            </w:pPr>
            <w:r>
              <w:rPr>
                <w:rFonts w:ascii="Arial" w:hAnsi="Arial"/>
              </w:rPr>
              <w:t>$</w:t>
            </w:r>
          </w:p>
        </w:tc>
        <w:tc>
          <w:tcPr>
            <w:tcW w:w="736" w:type="dxa"/>
            <w:tcBorders/>
            <w:shd w:fill="E5FFFF" w:val="clear"/>
            <w:vAlign w:val="bottom"/>
          </w:tcPr>
          <w:p>
            <w:pPr>
              <w:pStyle w:val="TableContents"/>
              <w:spacing w:before="0" w:after="283"/>
              <w:jc w:val="right"/>
              <w:rPr>
                <w:rFonts w:ascii="Arial" w:hAnsi="Arial"/>
              </w:rPr>
            </w:pPr>
            <w:r>
              <w:rPr>
                <w:rFonts w:ascii="Arial" w:hAnsi="Arial"/>
              </w:rPr>
              <w:t>2,442</w:t>
            </w:r>
          </w:p>
        </w:tc>
        <w:tc>
          <w:tcPr>
            <w:tcW w:w="100"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bottom"/>
          </w:tcPr>
          <w:p>
            <w:pPr>
              <w:pStyle w:val="TableContents"/>
              <w:spacing w:before="0" w:after="283"/>
              <w:jc w:val="right"/>
              <w:rPr>
                <w:rFonts w:ascii="Arial" w:hAnsi="Arial"/>
              </w:rPr>
            </w:pPr>
            <w:r>
              <w:rPr>
                <w:rFonts w:ascii="Arial" w:hAnsi="Arial"/>
              </w:rPr>
              <w:t>$</w:t>
            </w:r>
          </w:p>
        </w:tc>
        <w:tc>
          <w:tcPr>
            <w:tcW w:w="736" w:type="dxa"/>
            <w:tcBorders/>
            <w:shd w:fill="E5FFFF" w:val="clear"/>
            <w:vAlign w:val="bottom"/>
          </w:tcPr>
          <w:p>
            <w:pPr>
              <w:pStyle w:val="TableContents"/>
              <w:spacing w:before="0" w:after="283"/>
              <w:jc w:val="right"/>
              <w:rPr>
                <w:rFonts w:ascii="Arial" w:hAnsi="Arial"/>
              </w:rPr>
            </w:pPr>
            <w:r>
              <w:rPr>
                <w:rFonts w:ascii="Arial" w:hAnsi="Arial"/>
              </w:rPr>
              <w:t>2,253</w:t>
            </w:r>
          </w:p>
        </w:tc>
        <w:tc>
          <w:tcPr>
            <w:tcW w:w="101" w:type="dxa"/>
            <w:tcBorders/>
            <w:shd w:fill="E5FFFF" w:val="clear"/>
            <w:vAlign w:val="center"/>
          </w:tcPr>
          <w:p>
            <w:pPr>
              <w:pStyle w:val="TableContents"/>
              <w:spacing w:before="0" w:after="283"/>
              <w:rPr/>
            </w:pPr>
            <w:r>
              <w:rPr/>
              <w:t> </w:t>
            </w:r>
          </w:p>
        </w:tc>
      </w:tr>
      <w:tr>
        <w:trPr/>
        <w:tc>
          <w:tcPr>
            <w:tcW w:w="381" w:type="dxa"/>
            <w:tcBorders/>
            <w:shd w:fill="FFFFFF" w:val="clear"/>
            <w:vAlign w:val="bottom"/>
          </w:tcPr>
          <w:p>
            <w:pPr>
              <w:pStyle w:val="TableContents"/>
              <w:spacing w:before="0" w:after="283"/>
              <w:jc w:val="left"/>
              <w:rPr/>
            </w:pPr>
            <w:r>
              <w:rPr/>
              <w:t>      </w:t>
            </w:r>
          </w:p>
        </w:tc>
        <w:tc>
          <w:tcPr>
            <w:tcW w:w="6058" w:type="dxa"/>
            <w:tcBorders/>
            <w:shd w:fill="FFFFFF" w:val="clear"/>
            <w:vAlign w:val="bottom"/>
          </w:tcPr>
          <w:p>
            <w:pPr>
              <w:pStyle w:val="TableContents"/>
              <w:spacing w:before="0" w:after="283"/>
              <w:jc w:val="left"/>
              <w:rPr>
                <w:rFonts w:ascii="Arial" w:hAnsi="Arial"/>
              </w:rPr>
            </w:pPr>
            <w:r>
              <w:rPr>
                <w:rFonts w:ascii="Arial" w:hAnsi="Arial"/>
              </w:rPr>
              <w:t>Investing activities</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Arial" w:hAnsi="Arial"/>
              </w:rPr>
            </w:pPr>
            <w:r>
              <w:rPr>
                <w:rFonts w:ascii="Arial" w:hAnsi="Arial"/>
              </w:rPr>
              <w:t>(614</w:t>
            </w:r>
          </w:p>
        </w:tc>
        <w:tc>
          <w:tcPr>
            <w:tcW w:w="100" w:type="dxa"/>
            <w:tcBorders/>
            <w:shd w:fill="FFFFFF" w:val="clear"/>
            <w:vAlign w:val="bottom"/>
          </w:tcPr>
          <w:p>
            <w:pPr>
              <w:pStyle w:val="TableContents"/>
              <w:spacing w:before="0" w:after="283"/>
              <w:jc w:val="left"/>
              <w:rPr>
                <w:rFonts w:ascii="Arial" w:hAnsi="Arial"/>
              </w:rPr>
            </w:pPr>
            <w:r>
              <w:rPr>
                <w:rFonts w:ascii="Arial" w:hAnsi="Arial"/>
              </w:rPr>
              <w:t>)</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Arial" w:hAnsi="Arial"/>
              </w:rPr>
            </w:pPr>
            <w:r>
              <w:rPr>
                <w:rFonts w:ascii="Arial" w:hAnsi="Arial"/>
              </w:rPr>
              <w:t>(2,010</w:t>
            </w:r>
          </w:p>
        </w:tc>
        <w:tc>
          <w:tcPr>
            <w:tcW w:w="100" w:type="dxa"/>
            <w:tcBorders/>
            <w:shd w:fill="FFFFFF" w:val="clear"/>
            <w:vAlign w:val="bottom"/>
          </w:tcPr>
          <w:p>
            <w:pPr>
              <w:pStyle w:val="TableContents"/>
              <w:spacing w:before="0" w:after="283"/>
              <w:jc w:val="left"/>
              <w:rPr>
                <w:rFonts w:ascii="Arial" w:hAnsi="Arial"/>
              </w:rPr>
            </w:pPr>
            <w:r>
              <w:rPr>
                <w:rFonts w:ascii="Arial" w:hAnsi="Arial"/>
              </w:rPr>
              <w:t>)</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Arial" w:hAnsi="Arial"/>
              </w:rPr>
            </w:pPr>
            <w:r>
              <w:rPr>
                <w:rFonts w:ascii="Arial" w:hAnsi="Arial"/>
              </w:rPr>
              <w:t>(584</w:t>
            </w:r>
          </w:p>
        </w:tc>
        <w:tc>
          <w:tcPr>
            <w:tcW w:w="10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81" w:type="dxa"/>
            <w:tcBorders/>
            <w:shd w:fill="E5FFFF" w:val="clear"/>
            <w:vAlign w:val="bottom"/>
          </w:tcPr>
          <w:p>
            <w:pPr>
              <w:pStyle w:val="TableContents"/>
              <w:spacing w:before="0" w:after="283"/>
              <w:jc w:val="left"/>
              <w:rPr/>
            </w:pPr>
            <w:r>
              <w:rPr/>
              <w:t>      </w:t>
            </w:r>
          </w:p>
        </w:tc>
        <w:tc>
          <w:tcPr>
            <w:tcW w:w="6058" w:type="dxa"/>
            <w:tcBorders/>
            <w:shd w:fill="E5FFFF" w:val="clear"/>
            <w:vAlign w:val="bottom"/>
          </w:tcPr>
          <w:p>
            <w:pPr>
              <w:pStyle w:val="TableContents"/>
              <w:spacing w:before="0" w:after="283"/>
              <w:jc w:val="left"/>
              <w:rPr>
                <w:rFonts w:ascii="Arial" w:hAnsi="Arial"/>
              </w:rPr>
            </w:pPr>
            <w:r>
              <w:rPr>
                <w:rFonts w:ascii="Arial" w:hAnsi="Arial"/>
              </w:rPr>
              <w:t>Financing activities</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TableContents"/>
              <w:spacing w:before="0" w:after="283"/>
              <w:jc w:val="right"/>
              <w:rPr>
                <w:rFonts w:ascii="Arial" w:hAnsi="Arial"/>
              </w:rPr>
            </w:pPr>
            <w:r>
              <w:rPr>
                <w:rFonts w:ascii="Arial" w:hAnsi="Arial"/>
              </w:rPr>
              <w:t>(2,649</w:t>
            </w:r>
          </w:p>
        </w:tc>
        <w:tc>
          <w:tcPr>
            <w:tcW w:w="100" w:type="dxa"/>
            <w:tcBorders/>
            <w:shd w:fill="E5FFFF" w:val="clear"/>
            <w:vAlign w:val="bottom"/>
          </w:tcPr>
          <w:p>
            <w:pPr>
              <w:pStyle w:val="TableContents"/>
              <w:spacing w:before="0" w:after="283"/>
              <w:jc w:val="left"/>
              <w:rPr>
                <w:rFonts w:ascii="Arial" w:hAnsi="Arial"/>
              </w:rPr>
            </w:pPr>
            <w:r>
              <w:rPr>
                <w:rFonts w:ascii="Arial" w:hAnsi="Arial"/>
              </w:rPr>
              <w:t>)</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TableContents"/>
              <w:spacing w:before="0" w:after="283"/>
              <w:jc w:val="right"/>
              <w:rPr>
                <w:rFonts w:ascii="Arial" w:hAnsi="Arial"/>
              </w:rPr>
            </w:pPr>
            <w:r>
              <w:rPr>
                <w:rFonts w:ascii="Arial" w:hAnsi="Arial"/>
              </w:rPr>
              <w:t>(2,716</w:t>
            </w:r>
          </w:p>
        </w:tc>
        <w:tc>
          <w:tcPr>
            <w:tcW w:w="100" w:type="dxa"/>
            <w:tcBorders/>
            <w:shd w:fill="E5FFFF" w:val="clear"/>
            <w:vAlign w:val="bottom"/>
          </w:tcPr>
          <w:p>
            <w:pPr>
              <w:pStyle w:val="TableContents"/>
              <w:spacing w:before="0" w:after="283"/>
              <w:jc w:val="left"/>
              <w:rPr>
                <w:rFonts w:ascii="Arial" w:hAnsi="Arial"/>
              </w:rPr>
            </w:pPr>
            <w:r>
              <w:rPr>
                <w:rFonts w:ascii="Arial" w:hAnsi="Arial"/>
              </w:rPr>
              <w:t>)</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TableContents"/>
              <w:spacing w:before="0" w:after="283"/>
              <w:jc w:val="right"/>
              <w:rPr>
                <w:rFonts w:ascii="Arial" w:hAnsi="Arial"/>
              </w:rPr>
            </w:pPr>
            <w:r>
              <w:rPr>
                <w:rFonts w:ascii="Arial" w:hAnsi="Arial"/>
              </w:rPr>
              <w:t>(1,223</w:t>
            </w:r>
          </w:p>
        </w:tc>
        <w:tc>
          <w:tcPr>
            <w:tcW w:w="10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81" w:type="dxa"/>
            <w:tcBorders/>
            <w:shd w:fill="FFFFFF" w:val="clear"/>
            <w:vAlign w:val="bottom"/>
          </w:tcPr>
          <w:p>
            <w:pPr>
              <w:pStyle w:val="TableContents"/>
              <w:spacing w:before="0" w:after="283"/>
              <w:jc w:val="left"/>
              <w:rPr/>
            </w:pPr>
            <w:r>
              <w:rPr/>
              <w:t>      </w:t>
            </w:r>
          </w:p>
        </w:tc>
        <w:tc>
          <w:tcPr>
            <w:tcW w:w="6058" w:type="dxa"/>
            <w:tcBorders/>
            <w:shd w:fill="FFFFFF" w:val="clear"/>
            <w:vAlign w:val="bottom"/>
          </w:tcPr>
          <w:p>
            <w:pPr>
              <w:pStyle w:val="TableContents"/>
              <w:spacing w:before="0" w:after="283"/>
              <w:jc w:val="left"/>
              <w:rPr>
                <w:rFonts w:ascii="Arial" w:hAnsi="Arial"/>
              </w:rPr>
            </w:pPr>
            <w:r>
              <w:rPr>
                <w:rFonts w:ascii="Arial" w:hAnsi="Arial"/>
              </w:rPr>
              <w:t>Effect of exchange rate changes on cash</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Arial" w:hAnsi="Arial"/>
              </w:rPr>
            </w:pPr>
            <w:r>
              <w:rPr>
                <w:rFonts w:ascii="Arial" w:hAnsi="Arial"/>
              </w:rPr>
              <w:t>42</w:t>
            </w:r>
          </w:p>
        </w:tc>
        <w:tc>
          <w:tcPr>
            <w:tcW w:w="100"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Arial" w:hAnsi="Arial"/>
              </w:rPr>
            </w:pPr>
            <w:r>
              <w:rPr>
                <w:rFonts w:ascii="Arial" w:hAnsi="Arial"/>
              </w:rPr>
              <w:t>(68</w:t>
            </w:r>
          </w:p>
        </w:tc>
        <w:tc>
          <w:tcPr>
            <w:tcW w:w="100" w:type="dxa"/>
            <w:tcBorders/>
            <w:shd w:fill="FFFFFF" w:val="clear"/>
            <w:vAlign w:val="bottom"/>
          </w:tcPr>
          <w:p>
            <w:pPr>
              <w:pStyle w:val="TableContents"/>
              <w:spacing w:before="0" w:after="283"/>
              <w:jc w:val="left"/>
              <w:rPr>
                <w:rFonts w:ascii="Arial" w:hAnsi="Arial"/>
              </w:rPr>
            </w:pPr>
            <w:r>
              <w:rPr>
                <w:rFonts w:ascii="Arial" w:hAnsi="Arial"/>
              </w:rPr>
              <w:t>)</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Arial" w:hAnsi="Arial"/>
              </w:rPr>
            </w:pPr>
            <w:r>
              <w:rPr>
                <w:rFonts w:ascii="Arial" w:hAnsi="Arial"/>
              </w:rPr>
              <w:t>190</w:t>
            </w:r>
          </w:p>
        </w:tc>
        <w:tc>
          <w:tcPr>
            <w:tcW w:w="101" w:type="dxa"/>
            <w:tcBorders/>
            <w:shd w:fill="FFFFFF" w:val="clear"/>
            <w:vAlign w:val="center"/>
          </w:tcPr>
          <w:p>
            <w:pPr>
              <w:pStyle w:val="TableContents"/>
              <w:spacing w:before="0" w:after="283"/>
              <w:rPr/>
            </w:pPr>
            <w:r>
              <w:rPr/>
              <w:t> </w:t>
            </w:r>
          </w:p>
        </w:tc>
      </w:tr>
      <w:tr>
        <w:trPr/>
        <w:tc>
          <w:tcPr>
            <w:tcW w:w="381" w:type="dxa"/>
            <w:tcBorders/>
            <w:shd w:fill="E5FFFF" w:val="clear"/>
            <w:vAlign w:val="center"/>
          </w:tcPr>
          <w:p>
            <w:pPr>
              <w:pStyle w:val="TableContents"/>
              <w:spacing w:before="0" w:after="283"/>
              <w:rPr/>
            </w:pPr>
            <w:r>
              <w:rPr/>
              <w:t> </w:t>
            </w:r>
          </w:p>
        </w:tc>
        <w:tc>
          <w:tcPr>
            <w:tcW w:w="6058"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HorizontalLine"/>
              <w:pBdr>
                <w:bottom w:val="single" w:sz="6" w:space="0" w:color="000000"/>
              </w:pBdr>
              <w:spacing w:before="0" w:after="283"/>
              <w:rPr/>
            </w:pPr>
            <w:r>
              <w:rPr/>
            </w:r>
          </w:p>
        </w:tc>
        <w:tc>
          <w:tcPr>
            <w:tcW w:w="100"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HorizontalLine"/>
              <w:pBdr>
                <w:bottom w:val="single" w:sz="6" w:space="0" w:color="000000"/>
              </w:pBdr>
              <w:spacing w:before="0" w:after="283"/>
              <w:rPr/>
            </w:pPr>
            <w:r>
              <w:rPr/>
            </w:r>
          </w:p>
        </w:tc>
        <w:tc>
          <w:tcPr>
            <w:tcW w:w="100"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HorizontalLine"/>
              <w:pBdr>
                <w:bottom w:val="single" w:sz="6" w:space="0" w:color="000000"/>
              </w:pBdr>
              <w:spacing w:before="0" w:after="283"/>
              <w:rPr/>
            </w:pPr>
            <w:r>
              <w:rPr/>
            </w:r>
          </w:p>
        </w:tc>
        <w:tc>
          <w:tcPr>
            <w:tcW w:w="101" w:type="dxa"/>
            <w:tcBorders/>
            <w:shd w:fill="E5FFFF" w:val="clear"/>
            <w:vAlign w:val="center"/>
          </w:tcPr>
          <w:p>
            <w:pPr>
              <w:pStyle w:val="TableContents"/>
              <w:spacing w:before="0" w:after="283"/>
              <w:rPr/>
            </w:pPr>
            <w:r>
              <w:rPr/>
              <w:t> </w:t>
            </w:r>
          </w:p>
        </w:tc>
      </w:tr>
      <w:tr>
        <w:trPr/>
        <w:tc>
          <w:tcPr>
            <w:tcW w:w="381" w:type="dxa"/>
            <w:tcBorders/>
            <w:shd w:fill="FFFFFF" w:val="clear"/>
            <w:vAlign w:val="bottom"/>
          </w:tcPr>
          <w:p>
            <w:pPr>
              <w:pStyle w:val="TableContents"/>
              <w:spacing w:before="0" w:after="283"/>
              <w:jc w:val="left"/>
              <w:rPr/>
            </w:pPr>
            <w:r>
              <w:rPr/>
              <w:t>      </w:t>
            </w:r>
          </w:p>
        </w:tc>
        <w:tc>
          <w:tcPr>
            <w:tcW w:w="6058" w:type="dxa"/>
            <w:tcBorders/>
            <w:shd w:fill="FFFFFF" w:val="clear"/>
            <w:vAlign w:val="bottom"/>
          </w:tcPr>
          <w:p>
            <w:pPr>
              <w:pStyle w:val="TableContents"/>
              <w:spacing w:before="0" w:after="283"/>
              <w:jc w:val="left"/>
              <w:rPr>
                <w:rFonts w:ascii="Arial" w:hAnsi="Arial"/>
              </w:rPr>
            </w:pPr>
            <w:r>
              <w:rPr>
                <w:rFonts w:ascii="Arial" w:hAnsi="Arial"/>
              </w:rPr>
              <w:t>Net (decrease)/increase in cash and cash equivalents</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736" w:type="dxa"/>
            <w:tcBorders/>
            <w:shd w:fill="FFFFFF" w:val="clear"/>
            <w:vAlign w:val="bottom"/>
          </w:tcPr>
          <w:p>
            <w:pPr>
              <w:pStyle w:val="TableContents"/>
              <w:spacing w:before="0" w:after="283"/>
              <w:jc w:val="right"/>
              <w:rPr>
                <w:rFonts w:ascii="Arial" w:hAnsi="Arial"/>
              </w:rPr>
            </w:pPr>
            <w:r>
              <w:rPr>
                <w:rFonts w:ascii="Arial" w:hAnsi="Arial"/>
              </w:rPr>
              <w:t>(10</w:t>
            </w:r>
          </w:p>
        </w:tc>
        <w:tc>
          <w:tcPr>
            <w:tcW w:w="100" w:type="dxa"/>
            <w:tcBorders/>
            <w:shd w:fill="FFFFFF" w:val="clear"/>
            <w:vAlign w:val="bottom"/>
          </w:tcPr>
          <w:p>
            <w:pPr>
              <w:pStyle w:val="TableContents"/>
              <w:spacing w:before="0" w:after="283"/>
              <w:jc w:val="left"/>
              <w:rPr>
                <w:rFonts w:ascii="Arial" w:hAnsi="Arial"/>
              </w:rPr>
            </w:pPr>
            <w:r>
              <w:rPr>
                <w:rFonts w:ascii="Arial" w:hAnsi="Arial"/>
              </w:rPr>
              <w:t>)</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736" w:type="dxa"/>
            <w:tcBorders/>
            <w:shd w:fill="FFFFFF" w:val="clear"/>
            <w:vAlign w:val="bottom"/>
          </w:tcPr>
          <w:p>
            <w:pPr>
              <w:pStyle w:val="TableContents"/>
              <w:spacing w:before="0" w:after="283"/>
              <w:jc w:val="right"/>
              <w:rPr>
                <w:rFonts w:ascii="Arial" w:hAnsi="Arial"/>
              </w:rPr>
            </w:pPr>
            <w:r>
              <w:rPr>
                <w:rFonts w:ascii="Arial" w:hAnsi="Arial"/>
              </w:rPr>
              <w:t>(2,352</w:t>
            </w:r>
          </w:p>
        </w:tc>
        <w:tc>
          <w:tcPr>
            <w:tcW w:w="100" w:type="dxa"/>
            <w:tcBorders/>
            <w:shd w:fill="FFFFFF" w:val="clear"/>
            <w:vAlign w:val="bottom"/>
          </w:tcPr>
          <w:p>
            <w:pPr>
              <w:pStyle w:val="TableContents"/>
              <w:spacing w:before="0" w:after="283"/>
              <w:jc w:val="left"/>
              <w:rPr>
                <w:rFonts w:ascii="Arial" w:hAnsi="Arial"/>
              </w:rPr>
            </w:pPr>
            <w:r>
              <w:rPr>
                <w:rFonts w:ascii="Arial" w:hAnsi="Arial"/>
              </w:rPr>
              <w:t>)</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736" w:type="dxa"/>
            <w:tcBorders/>
            <w:shd w:fill="FFFFFF" w:val="clear"/>
            <w:vAlign w:val="bottom"/>
          </w:tcPr>
          <w:p>
            <w:pPr>
              <w:pStyle w:val="TableContents"/>
              <w:spacing w:before="0" w:after="283"/>
              <w:jc w:val="right"/>
              <w:rPr>
                <w:rFonts w:ascii="Arial" w:hAnsi="Arial"/>
              </w:rPr>
            </w:pPr>
            <w:r>
              <w:rPr>
                <w:rFonts w:ascii="Arial" w:hAnsi="Arial"/>
              </w:rPr>
              <w:t>636</w:t>
            </w:r>
          </w:p>
        </w:tc>
        <w:tc>
          <w:tcPr>
            <w:tcW w:w="101" w:type="dxa"/>
            <w:tcBorders/>
            <w:shd w:fill="FFFFFF" w:val="clear"/>
            <w:vAlign w:val="center"/>
          </w:tcPr>
          <w:p>
            <w:pPr>
              <w:pStyle w:val="TableContents"/>
              <w:spacing w:before="0" w:after="283"/>
              <w:rPr/>
            </w:pPr>
            <w:r>
              <w:rPr/>
              <w:t> </w:t>
            </w:r>
          </w:p>
        </w:tc>
      </w:tr>
      <w:tr>
        <w:trPr/>
        <w:tc>
          <w:tcPr>
            <w:tcW w:w="381" w:type="dxa"/>
            <w:tcBorders/>
            <w:shd w:fill="E5FFFF" w:val="clear"/>
            <w:vAlign w:val="center"/>
          </w:tcPr>
          <w:p>
            <w:pPr>
              <w:pStyle w:val="TableContents"/>
              <w:spacing w:before="0" w:after="283"/>
              <w:rPr/>
            </w:pPr>
            <w:r>
              <w:rPr/>
              <w:t> </w:t>
            </w:r>
          </w:p>
        </w:tc>
        <w:tc>
          <w:tcPr>
            <w:tcW w:w="6058"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HorizontalLine"/>
              <w:pBdr>
                <w:bottom w:val="single" w:sz="18" w:space="0" w:color="000000"/>
              </w:pBdr>
              <w:spacing w:before="0" w:after="283"/>
              <w:rPr/>
            </w:pPr>
            <w:r>
              <w:rPr/>
            </w:r>
          </w:p>
        </w:tc>
        <w:tc>
          <w:tcPr>
            <w:tcW w:w="100"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HorizontalLine"/>
              <w:pBdr>
                <w:bottom w:val="single" w:sz="18" w:space="0" w:color="000000"/>
              </w:pBdr>
              <w:spacing w:before="0" w:after="283"/>
              <w:rPr/>
            </w:pPr>
            <w:r>
              <w:rPr/>
            </w:r>
          </w:p>
        </w:tc>
        <w:tc>
          <w:tcPr>
            <w:tcW w:w="100"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736" w:type="dxa"/>
            <w:tcBorders/>
            <w:shd w:fill="E5FFFF" w:val="clear"/>
            <w:vAlign w:val="bottom"/>
          </w:tcPr>
          <w:p>
            <w:pPr>
              <w:pStyle w:val="HorizontalLine"/>
              <w:pBdr>
                <w:bottom w:val="single" w:sz="18" w:space="0" w:color="000000"/>
              </w:pBdr>
              <w:spacing w:before="0" w:after="283"/>
              <w:rPr/>
            </w:pPr>
            <w:r>
              <w:rPr/>
            </w:r>
          </w:p>
        </w:tc>
        <w:tc>
          <w:tcPr>
            <w:tcW w:w="101" w:type="dxa"/>
            <w:tcBorders/>
            <w:shd w:fill="E5FFFF" w:val="clear"/>
            <w:vAlign w:val="center"/>
          </w:tcPr>
          <w:p>
            <w:pPr>
              <w:pStyle w:val="TableContents"/>
              <w:spacing w:before="0" w:after="283"/>
              <w:rPr/>
            </w:pPr>
            <w:r>
              <w:rPr/>
              <w:t> </w:t>
            </w:r>
          </w:p>
        </w:tc>
      </w:tr>
      <w:tr>
        <w:trPr/>
        <w:tc>
          <w:tcPr>
            <w:tcW w:w="381" w:type="dxa"/>
            <w:tcBorders/>
            <w:shd w:fill="FFFFFF" w:val="clear"/>
            <w:vAlign w:val="bottom"/>
          </w:tcPr>
          <w:p>
            <w:pPr>
              <w:pStyle w:val="TableContents"/>
              <w:spacing w:before="0" w:after="283"/>
              <w:jc w:val="left"/>
              <w:rPr/>
            </w:pPr>
            <w:r>
              <w:rPr/>
              <w:t>      </w:t>
            </w:r>
          </w:p>
        </w:tc>
        <w:tc>
          <w:tcPr>
            <w:tcW w:w="6058" w:type="dxa"/>
            <w:tcBorders/>
            <w:shd w:fill="FFFFFF" w:val="clear"/>
            <w:vAlign w:val="bottom"/>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Cash provided by operating activities increased by $769 million during 2006 compared with 2005 primarily due to increased earnings, lower cash payments for asbestos of $331 million, receipt of $100 million from the sale of an insurance receivable, an increase in customer advances and deferred income (net of acquisitions) of $115 million and $93 million receipt of an arbitration award relating to raw material pricing in Specialty Materials, partially offset by increased working capital usage (accounts and other receivables (net of tax receivables), inventory and accounts payable) of $263 million (including proceeds of $58 million from the sale of a long-term receivable), higher cash tax payments (net of tax receipts) of $236 million and higher pension and postretirement payments of $154 million. Cash provided by operating activities increased by $189 million during 2005 compared to 2004 primarily due to increased earnings, working capital improvements, net of tax receivables, of $258 million, offset by higher cash payments for asbestos of $232 million and higher cash tax payments (net of tax receipts) of $57 million.</w:t>
      </w:r>
    </w:p>
    <w:p>
      <w:pPr>
        <w:pStyle w:val="TextBody"/>
        <w:jc w:val="left"/>
        <w:rPr/>
      </w:pPr>
      <w:r>
        <w:rPr/>
        <w:t>      </w:t>
      </w:r>
      <w:r>
        <w:rPr>
          <w:rFonts w:ascii="Arial" w:hAnsi="Arial"/>
        </w:rPr>
        <w:t>Cash used for investing activities decreased by $1,396 million during 2006 compared with 2005 due primarily to lower spending for acquisitions, partially offset by lower proceeds of $285 million from maturities of investment securities. In 2006, cash paid for acquisitions, net of cash acquired was $633 million primarily for First Technologies and Gardiner Groupe, compared to $2,679 million in 2005, primarily for our acquisitions of NOVAR and UOP. Sale proceeds from divestitures was $665 million in the 2006 primarily due to the sale of Indalex in February for $425 million, First Technology Safety &amp; Analysis business (FTSA) for $93 million in May 2006 and the sale of First Technology Automotive Business in December 2006 for $90 million. Cash used for investing activities increased by $1,426 million during 2005 compared with 2004 due primarily to the acquisition of NOVAR and UOP.</w:t>
      </w:r>
    </w:p>
    <w:p>
      <w:pPr>
        <w:pStyle w:val="TextBody"/>
        <w:jc w:val="left"/>
        <w:rPr/>
      </w:pPr>
      <w:r>
        <w:rPr/>
        <w:t>      </w:t>
      </w:r>
      <w:r>
        <w:rPr>
          <w:rFonts w:ascii="Arial" w:hAnsi="Arial"/>
        </w:rPr>
        <w:t>Cash used for financing activities decreased by $67 million during 2006 compared 2005 primarily due to a $356 million reduction for the payment of debt assumed with acquisitions, an increase in net proceeds from debt of $258 million, and increased proceeds from issuance of common stock primarily related to stock option exercises of $229 million, offset by increases in repurchases of common stock of $763 million and increased dividend payments. Cash used for financing activities increased by $1,493 million during 2005 compared 2004, primarily due payment of debt assumed with acquisition of $702 million, increased net repayments of debt of $418 million and an increase in repurchases of common stock of $409 million.</w:t>
      </w:r>
    </w:p>
    <w:p>
      <w:pPr>
        <w:pStyle w:val="TextBody"/>
        <w:jc w:val="center"/>
        <w:rPr>
          <w:rFonts w:ascii="Arial" w:hAnsi="Arial"/>
        </w:rPr>
      </w:pPr>
      <w:r>
        <w:rPr>
          <w:rFonts w:ascii="Arial" w:hAnsi="Arial"/>
        </w:rPr>
        <w:t>33</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Liquidity</w:t>
      </w:r>
    </w:p>
    <w:p>
      <w:pPr>
        <w:pStyle w:val="TextBody"/>
        <w:jc w:val="left"/>
        <w:rPr/>
      </w:pPr>
      <w:r>
        <w:rPr/>
        <w:t>      </w:t>
      </w:r>
      <w:r>
        <w:rPr>
          <w:rFonts w:ascii="Arial" w:hAnsi="Arial"/>
        </w:rPr>
        <w:t>Each of our businesses is focused on implementing strategies to improve working capital turnover in 2007 to increase operating cash flows. Considering the current economic environment in which each of our businesses operate and our business plans and strategies, including our focus on growth, cost reduction and productivity initiatives, we believe that our cash balances and operating cash flows will remain our principal source of liquidity. In addition to our available cash and operating cash flows, additional sources of liquidity include committed credit lines, access to the public debt and equity markets, as well as our ability to sell trade accounts receivables.</w:t>
      </w:r>
    </w:p>
    <w:p>
      <w:pPr>
        <w:pStyle w:val="TextBody"/>
        <w:jc w:val="left"/>
        <w:rPr/>
      </w:pPr>
      <w:r>
        <w:rPr/>
        <w:t>      </w:t>
      </w:r>
      <w:r>
        <w:rPr>
          <w:rFonts w:ascii="Arial" w:hAnsi="Arial"/>
        </w:rPr>
        <w:t>A source of liquidity is our ability to issue short-term debt in the commercial paper market. Commercial paper notes are sold at a discount and have a maturity of not more than 270 days from date of issuance. Borrowings under the commercial paper program are available for general corporate purposes as well as for financing potential acquisitions. There was $669 million of commercial paper outstanding at December 31, 2006.</w:t>
      </w:r>
    </w:p>
    <w:p>
      <w:pPr>
        <w:pStyle w:val="TextBody"/>
        <w:jc w:val="left"/>
        <w:rPr/>
      </w:pPr>
      <w:r>
        <w:rPr/>
        <w:t>      </w:t>
      </w:r>
      <w:r>
        <w:rPr>
          <w:rFonts w:ascii="Arial" w:hAnsi="Arial"/>
        </w:rPr>
        <w:t>Our ability to access the commercial paper market, and the related cost of these borrowings, is affected by the strength of our credit ratings and our $2.5 billion of committed bank revolving credit facilities (Revolving Credit Facilities). Our credit ratings are periodically reviewed by the major independent debt-rating agencies. In 2006, Standard and Poor's, Fitch's and Moody's Rating Services affirmed their corporate ratings on our long-term debt of A and A+ and A2 respectively, and short-term debt of A-1, F1 and P-1 respectively, and maintained Honeywell's ratings outlook as “stable”.</w:t>
      </w:r>
    </w:p>
    <w:p>
      <w:pPr>
        <w:pStyle w:val="TextBody"/>
        <w:jc w:val="left"/>
        <w:rPr/>
      </w:pPr>
      <w:r>
        <w:rPr/>
        <w:t>      </w:t>
      </w:r>
      <w:r>
        <w:rPr>
          <w:rFonts w:ascii="Arial" w:hAnsi="Arial"/>
        </w:rPr>
        <w:t>On April 27, 2006 Honeywell entered into a $2.3 billion Five-Year Credit Agreement (“Credit Agreement”) with a syndicate of banks. Commitments under the Credit Agreement can be increased pursuant to the terms of the Credit Agreement to an aggregated amount not to exceed $3 billion. This credit facility contains a $500 million sub-limit for the issuance of letters of credit. The $2.3 billion credit agreement is maintained for general corporate purposes, including support for the issuance of commercial paper. We had no borrowings and have issued $145 million of letters of credit under the credit facility at December 31, 2006. The Credit Agreement replaces the previous $1 billion five year credit agreement dated as of October 22, 2004, and $1.3 billion five year credit agreement dated as of November 26, 2003 (the “Prior Agreements”). The Credit Agreement does not restrict Honeywell's ability to pay dividends, nor does it contain financial covenants.</w:t>
      </w:r>
    </w:p>
    <w:p>
      <w:pPr>
        <w:pStyle w:val="TextBody"/>
        <w:jc w:val="left"/>
        <w:rPr/>
      </w:pPr>
      <w:r>
        <w:rPr/>
        <w:t>      </w:t>
      </w:r>
      <w:r>
        <w:rPr>
          <w:rFonts w:ascii="Arial" w:hAnsi="Arial"/>
        </w:rPr>
        <w:t>In September 2006, the Company renewed its 364-day Canadian Dollar (CAD) credit facility for 220 million CAD. This facility was established for general corporate purposes, including support for the issuance of commercial paper in Canada. There are no borrowings outstanding under this credit facility at December 31, 2006.</w:t>
      </w:r>
    </w:p>
    <w:p>
      <w:pPr>
        <w:pStyle w:val="TextBody"/>
        <w:jc w:val="left"/>
        <w:rPr/>
      </w:pPr>
      <w:r>
        <w:rPr/>
        <w:t>      </w:t>
      </w:r>
      <w:r>
        <w:rPr>
          <w:rFonts w:ascii="Arial" w:hAnsi="Arial"/>
        </w:rPr>
        <w:t>In March 2006, the Company issued $300 million of floating rate (Libor + 6 bps) Senior Notes due 2009, $400 million 5.40% Senior Notes due 2016 and $550 million 5.70% Senior Notes due 2036 (collectively, the “Notes”). The Notes are senior unsecured and unsubordinated obligations of Honeywell and rank equally with all of Honeywell's existing and future senior unsecured debt and senior to all Honeywell's subordinated debt. The offering resulted in gross proceeds of $1,250 million, offset by $11 million in discount and closing costs relating to the offering. Proceeds from the notes were used to repay commercial paper and debt.</w:t>
      </w:r>
    </w:p>
    <w:p>
      <w:pPr>
        <w:pStyle w:val="TextBody"/>
        <w:jc w:val="left"/>
        <w:rPr/>
      </w:pPr>
      <w:r>
        <w:rPr/>
        <w:t>      </w:t>
      </w:r>
      <w:r>
        <w:rPr>
          <w:rFonts w:ascii="Arial" w:hAnsi="Arial"/>
        </w:rPr>
        <w:t>During the first quarter of 2006, the Company made a cash tender offer and repurchased $225 million of its $500 million 5.125% Notes due November 2006. The costs relating to the early redemption of the Notes were immaterial.</w:t>
      </w:r>
    </w:p>
    <w:p>
      <w:pPr>
        <w:pStyle w:val="TextBody"/>
        <w:jc w:val="left"/>
        <w:rPr/>
      </w:pPr>
      <w:r>
        <w:rPr/>
        <w:t>      </w:t>
      </w:r>
      <w:r>
        <w:rPr>
          <w:rFonts w:ascii="Arial" w:hAnsi="Arial"/>
        </w:rPr>
        <w:t>In the fourth quarter of 2006, the Company repaid $360 million (Euro 275 million) of its 5.27% Notes, primarily through issuance of commercial paper.</w:t>
      </w:r>
    </w:p>
    <w:p>
      <w:pPr>
        <w:pStyle w:val="TextBody"/>
        <w:jc w:val="left"/>
        <w:rPr/>
      </w:pPr>
      <w:r>
        <w:rPr/>
        <w:t>      </w:t>
      </w:r>
      <w:r>
        <w:rPr>
          <w:rFonts w:ascii="Arial" w:hAnsi="Arial"/>
        </w:rPr>
        <w:t>We also have a current shelf registration statement filed with the Securities and Exchange Commission which allows us to issue up to $3 billion in debt securities, common stock and preferred stock that may be offered in one or more offerings on terms to be determined at the time of the offering. Net proceeds of any offering would be used for general corporate purposes, including repayment of existing indebtedness, capital expenditures and acquisitions.</w:t>
      </w:r>
    </w:p>
    <w:p>
      <w:pPr>
        <w:pStyle w:val="TextBody"/>
        <w:jc w:val="center"/>
        <w:rPr>
          <w:rFonts w:ascii="Arial" w:hAnsi="Arial"/>
        </w:rPr>
      </w:pPr>
      <w:r>
        <w:rPr>
          <w:rFonts w:ascii="Arial" w:hAnsi="Arial"/>
        </w:rPr>
        <w:t>34</w:t>
      </w:r>
    </w:p>
    <w:p>
      <w:pPr>
        <w:pStyle w:val="HorizontalLine"/>
        <w:pBdr>
          <w:bottom w:val="single" w:sz="20" w:space="0" w:color="000000"/>
        </w:pBdr>
        <w:rPr/>
      </w:pPr>
      <w:r>
        <w:rPr/>
      </w:r>
      <w:r>
        <w:br w:type="page"/>
      </w:r>
    </w:p>
    <w:p>
      <w:pPr>
        <w:pStyle w:val="TextBody"/>
        <w:jc w:val="left"/>
        <w:rPr/>
      </w:pPr>
      <w:r>
        <w:rPr/>
        <w:t>      </w:t>
      </w:r>
      <w:r>
        <w:rPr>
          <w:rFonts w:ascii="Arial" w:hAnsi="Arial"/>
        </w:rPr>
        <w:t>We also sell interests in designated pools of trade accounts receivables to third parties. The sold receivables were over-collateralized by $171 million at December 31, 2006 and we retain a subordinated interest in the pool of receivables representing that over-collateralization as well as an undivided interest in the balance of the receivables pools. New receivables are sold under the agreement as previously sold receivables are collected. The retained interests in the receivables are reflected at the amounts expected to be collected by us, and such carrying value approximates the fair value of our retained interests. The sold receivables were $500 million at both December 31, 2006 and 2005.</w:t>
      </w:r>
    </w:p>
    <w:p>
      <w:pPr>
        <w:pStyle w:val="TextBody"/>
        <w:jc w:val="left"/>
        <w:rPr/>
      </w:pPr>
      <w:r>
        <w:rPr/>
        <w:t>      </w:t>
      </w:r>
      <w:r>
        <w:rPr>
          <w:rFonts w:ascii="Arial" w:hAnsi="Arial"/>
        </w:rPr>
        <w:t>In addition to our normal operating cash requirements, our principal future cash requirements will be to fund capital expenditures, debt repayments, dividends, employee benefit obligations, environmental remediation costs, asbestos claims, severance and exit costs related to repositioning actions, share repurchases and any strategic acquisitions.</w:t>
      </w:r>
    </w:p>
    <w:p>
      <w:pPr>
        <w:pStyle w:val="TextBody"/>
        <w:jc w:val="left"/>
        <w:rPr/>
      </w:pPr>
      <w:r>
        <w:rPr/>
        <w:t>      </w:t>
      </w:r>
      <w:r>
        <w:rPr>
          <w:rFonts w:ascii="Arial" w:hAnsi="Arial"/>
        </w:rPr>
        <w:t>Specifically, we expect our primary cash requirements in 2007 to be as follows:</w:t>
      </w:r>
    </w:p>
    <w:tbl>
      <w:tblPr>
        <w:tblW w:w="5000" w:type="pct"/>
        <w:jc w:val="left"/>
        <w:tblInd w:w="0" w:type="dxa"/>
        <w:tblCellMar>
          <w:top w:w="0" w:type="dxa"/>
          <w:left w:w="0" w:type="dxa"/>
          <w:bottom w:w="0" w:type="dxa"/>
          <w:right w:w="0" w:type="dxa"/>
        </w:tblCellMar>
      </w:tblPr>
      <w:tblGrid>
        <w:gridCol w:w="359"/>
        <w:gridCol w:w="118"/>
        <w:gridCol w:w="9728"/>
      </w:tblGrid>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Capital expenditures—we expect to spend approximately $800 million for capital expenditures in 2007 primarily for growth, replacement, production capacity expansion, cost reduction and maintenance.</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Debt repayments—there are $423 million of scheduled long-term debt maturities in 2007. We expect to refinance substantially all of these maturities in the debt capital markets during 2007.</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Share repurchases—We intend to continue to repurchase outstanding shares from time to time in the open market using cash generated from operations. In February 2007, the Board of Directors authorized the repurchase of shares of up to $3 billion of Honeywell common stock. Honeywell intends to repurchase outstanding shares from time to time in the open market using cash flow generated by operations. The amount and timing of repurchases may vary depending on market conditions and the level of other investing activities.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Dividends—we expect to pay approximately $800 million in dividends on our common stock in 2007, reflecting the 10 percent increase in the dividend rate announced by Honeywell's Board of Directors in December 2006.</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Asbestos claims—we expect our cash spending for asbestos claims and our cash receipts for related insurance recoveries to be approximately $557 and $157 million, respectively, in 2007. See Asbestos Matters in Note 21 to the financial statements for further discussion.</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Pension contributions—assuming that actual pension plan returns are consistent with our expected rate of return of 9 percent in 2007 and beyond and that interest rates remain constant, we would not be required to make any contributions to our U.S. pension plans to satisfy minimum statutory funding requirements for the foreseeable future. However, we expect to make voluntary contributions of approximately $52 million to our U.S. pension plans in 2007 for government contracting purposes. We also expect to make contributions to our non-U.S. plans of approximately $155 million in 2007. See Note 22 to the financial statements for further discussion of pension contributions.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Repositioning actions—we expect that cash spending for severance and other exit costs necessary to execute the remaining repositioning actions will approximate $125 million in 2007.</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8" w:type="dxa"/>
            <w:tcBorders/>
            <w:shd w:fill="FFFFFF" w:val="clear"/>
          </w:tcPr>
          <w:p>
            <w:pPr>
              <w:pStyle w:val="TableContents"/>
              <w:spacing w:before="0" w:after="283"/>
              <w:jc w:val="left"/>
              <w:rPr/>
            </w:pPr>
            <w:r>
              <w:rPr/>
              <w:t>•</w:t>
            </w:r>
          </w:p>
        </w:tc>
        <w:tc>
          <w:tcPr>
            <w:tcW w:w="9728" w:type="dxa"/>
            <w:tcBorders/>
            <w:shd w:fill="FFFFFF" w:val="clear"/>
          </w:tcPr>
          <w:p>
            <w:pPr>
              <w:pStyle w:val="TableContents"/>
              <w:spacing w:before="0" w:after="283"/>
              <w:jc w:val="left"/>
              <w:rPr>
                <w:rFonts w:ascii="Arial" w:hAnsi="Arial"/>
              </w:rPr>
            </w:pPr>
            <w:r>
              <w:rPr>
                <w:rFonts w:ascii="Arial" w:hAnsi="Arial"/>
              </w:rPr>
              <w:t>Environmental remediation costs—we expect to spend approximately $250 million in 2007 for remedial response and voluntary clean-up costs. See Environmental Matters in Note 21 to the financial statements for additional information.</w:t>
            </w:r>
          </w:p>
        </w:tc>
      </w:tr>
    </w:tbl>
    <w:p>
      <w:pPr>
        <w:pStyle w:val="TextBody"/>
        <w:jc w:val="left"/>
        <w:rPr/>
      </w:pPr>
      <w:r>
        <w:rPr/>
        <w:t>      </w:t>
      </w:r>
      <w:r>
        <w:rPr>
          <w:rFonts w:ascii="Arial" w:hAnsi="Arial"/>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2006, we realized $665 million in cash proceeds from sales of non-strategic businesses.</w:t>
      </w:r>
    </w:p>
    <w:p>
      <w:pPr>
        <w:pStyle w:val="TextBody"/>
        <w:jc w:val="left"/>
        <w:rPr/>
      </w:pPr>
      <w:r>
        <w:rPr/>
        <w:t>      </w:t>
      </w:r>
      <w:r>
        <w:rPr>
          <w:rFonts w:ascii="Arial" w:hAnsi="Arial"/>
        </w:rPr>
        <w:t>Based on past performance and current expectations, we believe that our operating cash flows will be sufficient to meet our future cash needs. Our available cash, committed credit lines, access to the</w:t>
      </w:r>
    </w:p>
    <w:p>
      <w:pPr>
        <w:pStyle w:val="TextBody"/>
        <w:jc w:val="center"/>
        <w:rPr>
          <w:rFonts w:ascii="Arial" w:hAnsi="Arial"/>
        </w:rPr>
      </w:pPr>
      <w:r>
        <w:rPr>
          <w:rFonts w:ascii="Arial" w:hAnsi="Arial"/>
        </w:rPr>
        <w:t>35</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public debt and equity markets as well as our ability to sell trade accounts receivables, provide additional sources of short-term and long-term liquidity to fund current operations, debt maturities, and future investment opportunities. Based on our current financial position and expected economic performance, we do not believe that our liquidity will be adversely impacted by an inability to access our sources of financing.</w:t>
      </w:r>
    </w:p>
    <w:p>
      <w:pPr>
        <w:pStyle w:val="TextBody"/>
        <w:jc w:val="left"/>
        <w:rPr>
          <w:rFonts w:ascii="Arial" w:hAnsi="Arial"/>
          <w:b/>
        </w:rPr>
      </w:pPr>
      <w:r>
        <w:rPr>
          <w:rFonts w:ascii="Arial" w:hAnsi="Arial"/>
          <w:b/>
        </w:rPr>
        <w:t>Contractual Obligations and Probable Liability Payments</w:t>
      </w:r>
    </w:p>
    <w:p>
      <w:pPr>
        <w:pStyle w:val="TextBody"/>
        <w:jc w:val="left"/>
        <w:rPr/>
      </w:pPr>
      <w:r>
        <w:rPr/>
        <w:t>      </w:t>
      </w:r>
      <w:r>
        <w:rPr>
          <w:rFonts w:ascii="Arial" w:hAnsi="Arial"/>
        </w:rPr>
        <w:t>Following is a summary of our significant contractual obligations and probable liability payments at December 31, 2006:</w:t>
      </w:r>
    </w:p>
    <w:tbl>
      <w:tblPr>
        <w:tblW w:w="5000" w:type="pct"/>
        <w:jc w:val="left"/>
        <w:tblInd w:w="0" w:type="dxa"/>
        <w:tblCellMar>
          <w:top w:w="0" w:type="dxa"/>
          <w:left w:w="0" w:type="dxa"/>
          <w:bottom w:w="0" w:type="dxa"/>
          <w:right w:w="0" w:type="dxa"/>
        </w:tblCellMar>
      </w:tblPr>
      <w:tblGrid>
        <w:gridCol w:w="359"/>
        <w:gridCol w:w="3494"/>
        <w:gridCol w:w="240"/>
        <w:gridCol w:w="155"/>
        <w:gridCol w:w="755"/>
        <w:gridCol w:w="95"/>
        <w:gridCol w:w="240"/>
        <w:gridCol w:w="155"/>
        <w:gridCol w:w="620"/>
        <w:gridCol w:w="95"/>
        <w:gridCol w:w="240"/>
        <w:gridCol w:w="185"/>
        <w:gridCol w:w="743"/>
        <w:gridCol w:w="113"/>
        <w:gridCol w:w="240"/>
        <w:gridCol w:w="185"/>
        <w:gridCol w:w="743"/>
        <w:gridCol w:w="112"/>
        <w:gridCol w:w="240"/>
        <w:gridCol w:w="212"/>
        <w:gridCol w:w="848"/>
        <w:gridCol w:w="136"/>
      </w:tblGrid>
      <w:tr>
        <w:trPr/>
        <w:tc>
          <w:tcPr>
            <w:tcW w:w="359" w:type="dxa"/>
            <w:tcBorders/>
            <w:shd w:fill="FFFFFF" w:val="clear"/>
            <w:vAlign w:val="center"/>
          </w:tcPr>
          <w:p>
            <w:pPr>
              <w:pStyle w:val="TableContents"/>
              <w:spacing w:before="0" w:after="283"/>
              <w:rPr/>
            </w:pPr>
            <w:r>
              <w:rPr/>
              <w:t> </w:t>
            </w:r>
          </w:p>
        </w:tc>
        <w:tc>
          <w:tcPr>
            <w:tcW w:w="349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112" w:type="dxa"/>
            <w:gridSpan w:val="19"/>
            <w:tcBorders/>
            <w:shd w:fill="FFFFFF" w:val="clear"/>
            <w:vAlign w:val="bottom"/>
          </w:tcPr>
          <w:p>
            <w:pPr>
              <w:pStyle w:val="TableContents"/>
              <w:spacing w:before="0" w:after="0"/>
              <w:jc w:val="center"/>
              <w:rPr>
                <w:rFonts w:ascii="Arial" w:hAnsi="Arial"/>
                <w:b/>
              </w:rPr>
            </w:pPr>
            <w:r>
              <w:rPr>
                <w:rFonts w:ascii="Arial" w:hAnsi="Arial"/>
                <w:b/>
              </w:rPr>
              <w:t>Payments by Period</w:t>
            </w:r>
          </w:p>
          <w:p>
            <w:pPr>
              <w:pStyle w:val="HorizontalLine"/>
              <w:pBdr>
                <w:bottom w:val="single" w:sz="6" w:space="0" w:color="000000"/>
              </w:pBdr>
              <w:spacing w:before="0" w:after="283"/>
              <w:rPr/>
            </w:pPr>
            <w:r>
              <w:rPr/>
            </w:r>
          </w:p>
        </w:tc>
      </w:tr>
      <w:tr>
        <w:trPr/>
        <w:tc>
          <w:tcPr>
            <w:tcW w:w="359" w:type="dxa"/>
            <w:tcBorders/>
            <w:shd w:fill="FFFFFF" w:val="clear"/>
            <w:vAlign w:val="center"/>
          </w:tcPr>
          <w:p>
            <w:pPr>
              <w:pStyle w:val="TableContents"/>
              <w:spacing w:before="0" w:after="283"/>
              <w:rPr/>
            </w:pPr>
            <w:r>
              <w:rPr/>
              <w:t> </w:t>
            </w:r>
          </w:p>
        </w:tc>
        <w:tc>
          <w:tcPr>
            <w:tcW w:w="349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05"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70" w:type="dxa"/>
            <w:gridSpan w:val="3"/>
            <w:tcBorders/>
            <w:shd w:fill="FFFFFF" w:val="clear"/>
            <w:vAlign w:val="bottom"/>
          </w:tcPr>
          <w:p>
            <w:pPr>
              <w:pStyle w:val="TableContents"/>
              <w:spacing w:before="0" w:after="0"/>
              <w:jc w:val="center"/>
              <w:rPr>
                <w:rFonts w:ascii="Arial" w:hAnsi="Arial"/>
                <w:b/>
              </w:rPr>
            </w:pPr>
            <w:r>
              <w:rPr>
                <w:rFonts w:ascii="Arial" w:hAnsi="Arial"/>
                <w:b/>
              </w:rPr>
              <w:t>2007</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41" w:type="dxa"/>
            <w:gridSpan w:val="3"/>
            <w:tcBorders/>
            <w:shd w:fill="FFFFFF" w:val="clear"/>
            <w:vAlign w:val="bottom"/>
          </w:tcPr>
          <w:p>
            <w:pPr>
              <w:pStyle w:val="TableContents"/>
              <w:spacing w:before="0" w:after="0"/>
              <w:jc w:val="center"/>
              <w:rPr>
                <w:rFonts w:ascii="Arial" w:hAnsi="Arial"/>
                <w:b/>
              </w:rPr>
            </w:pPr>
            <w:r>
              <w:rPr>
                <w:rFonts w:ascii="Arial" w:hAnsi="Arial"/>
                <w:b/>
              </w:rPr>
              <w:t>2008-2009</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40" w:type="dxa"/>
            <w:gridSpan w:val="3"/>
            <w:tcBorders/>
            <w:shd w:fill="FFFFFF" w:val="clear"/>
            <w:vAlign w:val="bottom"/>
          </w:tcPr>
          <w:p>
            <w:pPr>
              <w:pStyle w:val="TableContents"/>
              <w:spacing w:before="0" w:after="0"/>
              <w:jc w:val="center"/>
              <w:rPr>
                <w:rFonts w:ascii="Arial" w:hAnsi="Arial"/>
                <w:b/>
              </w:rPr>
            </w:pPr>
            <w:r>
              <w:rPr>
                <w:rFonts w:ascii="Arial" w:hAnsi="Arial"/>
                <w:b/>
              </w:rPr>
              <w:t>2010-2011</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196" w:type="dxa"/>
            <w:gridSpan w:val="3"/>
            <w:tcBorders/>
            <w:shd w:fill="FFFFFF" w:val="clear"/>
            <w:vAlign w:val="bottom"/>
          </w:tcPr>
          <w:p>
            <w:pPr>
              <w:pStyle w:val="TableContents"/>
              <w:spacing w:before="0" w:after="0"/>
              <w:jc w:val="center"/>
              <w:rPr>
                <w:rFonts w:ascii="Arial" w:hAnsi="Arial"/>
                <w:b/>
              </w:rPr>
            </w:pPr>
            <w:r>
              <w:rPr>
                <w:rFonts w:ascii="Arial" w:hAnsi="Arial"/>
                <w:b/>
              </w:rPr>
              <w:t>Thereafter</w:t>
            </w:r>
          </w:p>
          <w:p>
            <w:pPr>
              <w:pStyle w:val="HorizontalLine"/>
              <w:pBdr>
                <w:bottom w:val="single" w:sz="6" w:space="0" w:color="000000"/>
              </w:pBdr>
              <w:spacing w:before="0" w:after="283"/>
              <w:rPr/>
            </w:pPr>
            <w:r>
              <w:rPr/>
            </w:r>
          </w:p>
        </w:tc>
      </w:tr>
      <w:tr>
        <w:trPr/>
        <w:tc>
          <w:tcPr>
            <w:tcW w:w="359" w:type="dxa"/>
            <w:tcBorders/>
            <w:shd w:fill="FFFFFF" w:val="clear"/>
            <w:vAlign w:val="center"/>
          </w:tcPr>
          <w:p>
            <w:pPr>
              <w:pStyle w:val="TableContents"/>
              <w:spacing w:before="0" w:after="283"/>
              <w:rPr/>
            </w:pPr>
            <w:r>
              <w:rPr/>
              <w:t> </w:t>
            </w:r>
          </w:p>
        </w:tc>
        <w:tc>
          <w:tcPr>
            <w:tcW w:w="349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112" w:type="dxa"/>
            <w:gridSpan w:val="19"/>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jc w:val="left"/>
              <w:rPr>
                <w:rFonts w:ascii="Arial" w:hAnsi="Arial"/>
              </w:rPr>
            </w:pPr>
            <w:r>
              <w:rPr>
                <w:rFonts w:ascii="Arial" w:hAnsi="Arial"/>
              </w:rPr>
              <w:t>Long-term debt, including capitalized leases(1)</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4,332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423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right"/>
              <w:rPr>
                <w:rFonts w:ascii="Arial" w:hAnsi="Arial"/>
              </w:rPr>
            </w:pPr>
            <w:r>
              <w:rPr>
                <w:rFonts w:ascii="Arial" w:hAnsi="Arial"/>
              </w:rPr>
              <w:t>$</w:t>
            </w:r>
          </w:p>
        </w:tc>
        <w:tc>
          <w:tcPr>
            <w:tcW w:w="743" w:type="dxa"/>
            <w:tcBorders/>
            <w:shd w:fill="FFFFFF" w:val="clear"/>
            <w:vAlign w:val="bottom"/>
          </w:tcPr>
          <w:p>
            <w:pPr>
              <w:pStyle w:val="TableContents"/>
              <w:spacing w:before="0" w:after="283"/>
              <w:jc w:val="right"/>
              <w:rPr>
                <w:rFonts w:ascii="Arial" w:hAnsi="Arial"/>
              </w:rPr>
            </w:pPr>
            <w:r>
              <w:rPr>
                <w:rFonts w:ascii="Arial" w:hAnsi="Arial"/>
              </w:rPr>
              <w:t>927</w:t>
            </w:r>
          </w:p>
        </w:tc>
        <w:tc>
          <w:tcPr>
            <w:tcW w:w="11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right"/>
              <w:rPr>
                <w:rFonts w:ascii="Arial" w:hAnsi="Arial"/>
              </w:rPr>
            </w:pPr>
            <w:r>
              <w:rPr>
                <w:rFonts w:ascii="Arial" w:hAnsi="Arial"/>
              </w:rPr>
              <w:t>$</w:t>
            </w:r>
          </w:p>
        </w:tc>
        <w:tc>
          <w:tcPr>
            <w:tcW w:w="743" w:type="dxa"/>
            <w:tcBorders/>
            <w:shd w:fill="FFFFFF" w:val="clear"/>
            <w:vAlign w:val="bottom"/>
          </w:tcPr>
          <w:p>
            <w:pPr>
              <w:pStyle w:val="TableContents"/>
              <w:spacing w:before="0" w:after="283"/>
              <w:jc w:val="right"/>
              <w:rPr>
                <w:rFonts w:ascii="Arial" w:hAnsi="Arial"/>
              </w:rPr>
            </w:pPr>
            <w:r>
              <w:rPr>
                <w:rFonts w:ascii="Arial" w:hAnsi="Arial"/>
              </w:rPr>
              <w:t>1,656</w:t>
            </w:r>
          </w:p>
        </w:tc>
        <w:tc>
          <w:tcPr>
            <w:tcW w:w="112"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right"/>
              <w:rPr>
                <w:rFonts w:ascii="Arial" w:hAnsi="Arial"/>
              </w:rPr>
            </w:pPr>
            <w:r>
              <w:rPr>
                <w:rFonts w:ascii="Arial" w:hAnsi="Arial"/>
              </w:rPr>
              <w:t>$</w:t>
            </w:r>
          </w:p>
        </w:tc>
        <w:tc>
          <w:tcPr>
            <w:tcW w:w="848" w:type="dxa"/>
            <w:tcBorders/>
            <w:shd w:fill="FFFFFF" w:val="clear"/>
            <w:vAlign w:val="bottom"/>
          </w:tcPr>
          <w:p>
            <w:pPr>
              <w:pStyle w:val="TableContents"/>
              <w:spacing w:before="0" w:after="283"/>
              <w:jc w:val="right"/>
              <w:rPr>
                <w:rFonts w:ascii="Arial" w:hAnsi="Arial"/>
              </w:rPr>
            </w:pPr>
            <w:r>
              <w:rPr>
                <w:rFonts w:ascii="Arial" w:hAnsi="Arial"/>
              </w:rPr>
              <w:t>1,326</w:t>
            </w:r>
          </w:p>
        </w:tc>
        <w:tc>
          <w:tcPr>
            <w:tcW w:w="13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3494" w:type="dxa"/>
            <w:tcBorders/>
            <w:shd w:fill="E5FFFF" w:val="clear"/>
            <w:vAlign w:val="bottom"/>
          </w:tcPr>
          <w:p>
            <w:pPr>
              <w:pStyle w:val="TableContents"/>
              <w:spacing w:before="0" w:after="283"/>
              <w:jc w:val="left"/>
              <w:rPr>
                <w:rFonts w:ascii="Arial" w:hAnsi="Arial"/>
              </w:rPr>
            </w:pPr>
            <w:r>
              <w:rPr>
                <w:rFonts w:ascii="Arial" w:hAnsi="Arial"/>
              </w:rPr>
              <w:t>Minimum operating lease payments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1,078</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304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TableContents"/>
              <w:spacing w:before="0" w:after="283"/>
              <w:jc w:val="right"/>
              <w:rPr>
                <w:rFonts w:ascii="Arial" w:hAnsi="Arial"/>
              </w:rPr>
            </w:pPr>
            <w:r>
              <w:rPr>
                <w:rFonts w:ascii="Arial" w:hAnsi="Arial"/>
              </w:rPr>
              <w:t>377</w:t>
            </w:r>
          </w:p>
        </w:tc>
        <w:tc>
          <w:tcPr>
            <w:tcW w:w="11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TableContents"/>
              <w:spacing w:before="0" w:after="283"/>
              <w:jc w:val="right"/>
              <w:rPr>
                <w:rFonts w:ascii="Arial" w:hAnsi="Arial"/>
              </w:rPr>
            </w:pPr>
            <w:r>
              <w:rPr>
                <w:rFonts w:ascii="Arial" w:hAnsi="Arial"/>
              </w:rPr>
              <w:t>174</w:t>
            </w:r>
          </w:p>
        </w:tc>
        <w:tc>
          <w:tcPr>
            <w:tcW w:w="112"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2" w:type="dxa"/>
            <w:tcBorders/>
            <w:shd w:fill="E5FFFF" w:val="clear"/>
            <w:vAlign w:val="center"/>
          </w:tcPr>
          <w:p>
            <w:pPr>
              <w:pStyle w:val="TableContents"/>
              <w:spacing w:before="0" w:after="283"/>
              <w:rPr/>
            </w:pPr>
            <w:r>
              <w:rPr/>
              <w:t> </w:t>
            </w:r>
          </w:p>
        </w:tc>
        <w:tc>
          <w:tcPr>
            <w:tcW w:w="848" w:type="dxa"/>
            <w:tcBorders/>
            <w:shd w:fill="E5FFFF" w:val="clear"/>
            <w:vAlign w:val="bottom"/>
          </w:tcPr>
          <w:p>
            <w:pPr>
              <w:pStyle w:val="TableContents"/>
              <w:spacing w:before="0" w:after="283"/>
              <w:jc w:val="right"/>
              <w:rPr>
                <w:rFonts w:ascii="Arial" w:hAnsi="Arial"/>
              </w:rPr>
            </w:pPr>
            <w:r>
              <w:rPr>
                <w:rFonts w:ascii="Arial" w:hAnsi="Arial"/>
              </w:rPr>
              <w:t>223</w:t>
            </w:r>
          </w:p>
        </w:tc>
        <w:tc>
          <w:tcPr>
            <w:tcW w:w="13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jc w:val="left"/>
              <w:rPr>
                <w:rFonts w:ascii="Arial" w:hAnsi="Arial"/>
              </w:rPr>
            </w:pPr>
            <w:r>
              <w:rPr>
                <w:rFonts w:ascii="Arial" w:hAnsi="Arial"/>
              </w:rPr>
              <w:t>Purchase obligations(2)</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3,446</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863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1,361</w:t>
            </w:r>
          </w:p>
        </w:tc>
        <w:tc>
          <w:tcPr>
            <w:tcW w:w="11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704</w:t>
            </w:r>
          </w:p>
        </w:tc>
        <w:tc>
          <w:tcPr>
            <w:tcW w:w="112"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848" w:type="dxa"/>
            <w:tcBorders/>
            <w:shd w:fill="FFFFFF" w:val="clear"/>
            <w:vAlign w:val="bottom"/>
          </w:tcPr>
          <w:p>
            <w:pPr>
              <w:pStyle w:val="TableContents"/>
              <w:spacing w:before="0" w:after="283"/>
              <w:jc w:val="right"/>
              <w:rPr>
                <w:rFonts w:ascii="Arial" w:hAnsi="Arial"/>
              </w:rPr>
            </w:pPr>
            <w:r>
              <w:rPr>
                <w:rFonts w:ascii="Arial" w:hAnsi="Arial"/>
              </w:rPr>
              <w:t>518</w:t>
            </w:r>
          </w:p>
        </w:tc>
        <w:tc>
          <w:tcPr>
            <w:tcW w:w="13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3494" w:type="dxa"/>
            <w:tcBorders/>
            <w:shd w:fill="E5FFFF" w:val="clear"/>
            <w:vAlign w:val="bottom"/>
          </w:tcPr>
          <w:p>
            <w:pPr>
              <w:pStyle w:val="TableContents"/>
              <w:spacing w:before="0" w:after="283"/>
              <w:jc w:val="left"/>
              <w:rPr>
                <w:rFonts w:ascii="Arial" w:hAnsi="Arial"/>
              </w:rPr>
            </w:pPr>
            <w:r>
              <w:rPr>
                <w:rFonts w:ascii="Arial" w:hAnsi="Arial"/>
              </w:rPr>
              <w:t>Estimated environmental liability payments(3)</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831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250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TableContents"/>
              <w:spacing w:before="0" w:after="283"/>
              <w:jc w:val="right"/>
              <w:rPr>
                <w:rFonts w:ascii="Arial" w:hAnsi="Arial"/>
              </w:rPr>
            </w:pPr>
            <w:r>
              <w:rPr>
                <w:rFonts w:ascii="Arial" w:hAnsi="Arial"/>
              </w:rPr>
              <w:t>346</w:t>
            </w:r>
          </w:p>
        </w:tc>
        <w:tc>
          <w:tcPr>
            <w:tcW w:w="11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TableContents"/>
              <w:spacing w:before="0" w:after="283"/>
              <w:jc w:val="right"/>
              <w:rPr>
                <w:rFonts w:ascii="Arial" w:hAnsi="Arial"/>
              </w:rPr>
            </w:pPr>
            <w:r>
              <w:rPr>
                <w:rFonts w:ascii="Arial" w:hAnsi="Arial"/>
              </w:rPr>
              <w:t>221</w:t>
            </w:r>
          </w:p>
        </w:tc>
        <w:tc>
          <w:tcPr>
            <w:tcW w:w="112"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2" w:type="dxa"/>
            <w:tcBorders/>
            <w:shd w:fill="E5FFFF" w:val="clear"/>
            <w:vAlign w:val="center"/>
          </w:tcPr>
          <w:p>
            <w:pPr>
              <w:pStyle w:val="TableContents"/>
              <w:spacing w:before="0" w:after="283"/>
              <w:rPr/>
            </w:pPr>
            <w:r>
              <w:rPr/>
              <w:t> </w:t>
            </w:r>
          </w:p>
        </w:tc>
        <w:tc>
          <w:tcPr>
            <w:tcW w:w="848" w:type="dxa"/>
            <w:tcBorders/>
            <w:shd w:fill="E5FFFF" w:val="clear"/>
            <w:vAlign w:val="bottom"/>
          </w:tcPr>
          <w:p>
            <w:pPr>
              <w:pStyle w:val="TableContents"/>
              <w:spacing w:before="0" w:after="283"/>
              <w:jc w:val="right"/>
              <w:rPr>
                <w:rFonts w:ascii="Arial" w:hAnsi="Arial"/>
              </w:rPr>
            </w:pPr>
            <w:r>
              <w:rPr>
                <w:rFonts w:ascii="Arial" w:hAnsi="Arial"/>
              </w:rPr>
              <w:t>14</w:t>
            </w:r>
          </w:p>
        </w:tc>
        <w:tc>
          <w:tcPr>
            <w:tcW w:w="13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jc w:val="left"/>
              <w:rPr>
                <w:rFonts w:ascii="Arial" w:hAnsi="Arial"/>
              </w:rPr>
            </w:pPr>
            <w:r>
              <w:rPr>
                <w:rFonts w:ascii="Arial" w:hAnsi="Arial"/>
              </w:rPr>
              <w:t>Asbestos related liability payments(4)</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1,819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557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926</w:t>
            </w:r>
          </w:p>
        </w:tc>
        <w:tc>
          <w:tcPr>
            <w:tcW w:w="11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298</w:t>
            </w:r>
          </w:p>
        </w:tc>
        <w:tc>
          <w:tcPr>
            <w:tcW w:w="112"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848" w:type="dxa"/>
            <w:tcBorders/>
            <w:shd w:fill="FFFFFF" w:val="clear"/>
            <w:vAlign w:val="bottom"/>
          </w:tcPr>
          <w:p>
            <w:pPr>
              <w:pStyle w:val="TableContents"/>
              <w:spacing w:before="0" w:after="283"/>
              <w:jc w:val="right"/>
              <w:rPr>
                <w:rFonts w:ascii="Arial" w:hAnsi="Arial"/>
              </w:rPr>
            </w:pPr>
            <w:r>
              <w:rPr>
                <w:rFonts w:ascii="Arial" w:hAnsi="Arial"/>
              </w:rPr>
              <w:t>38</w:t>
            </w:r>
          </w:p>
        </w:tc>
        <w:tc>
          <w:tcPr>
            <w:tcW w:w="136" w:type="dxa"/>
            <w:tcBorders/>
            <w:shd w:fill="FFFFFF" w:val="clear"/>
            <w:vAlign w:val="center"/>
          </w:tcPr>
          <w:p>
            <w:pPr>
              <w:pStyle w:val="TableContents"/>
              <w:spacing w:before="0" w:after="283"/>
              <w:rPr/>
            </w:pPr>
            <w:r>
              <w:rPr/>
              <w:t> </w:t>
            </w:r>
          </w:p>
        </w:tc>
      </w:tr>
      <w:tr>
        <w:trPr/>
        <w:tc>
          <w:tcPr>
            <w:tcW w:w="359" w:type="dxa"/>
            <w:tcBorders/>
            <w:shd w:fill="E5FFFF" w:val="clear"/>
            <w:vAlign w:val="center"/>
          </w:tcPr>
          <w:p>
            <w:pPr>
              <w:pStyle w:val="TableContents"/>
              <w:spacing w:before="0" w:after="283"/>
              <w:rPr/>
            </w:pPr>
            <w:r>
              <w:rPr/>
              <w:t> </w:t>
            </w:r>
          </w:p>
        </w:tc>
        <w:tc>
          <w:tcPr>
            <w:tcW w:w="349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6" w:space="0" w:color="000000"/>
              </w:pBdr>
              <w:spacing w:before="0" w:after="283"/>
              <w:rPr/>
            </w:pPr>
            <w:r>
              <w:rPr/>
            </w:r>
          </w:p>
        </w:tc>
        <w:tc>
          <w:tcPr>
            <w:tcW w:w="11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6" w:space="0" w:color="000000"/>
              </w:pBdr>
              <w:spacing w:before="0" w:after="283"/>
              <w:rPr/>
            </w:pPr>
            <w:r>
              <w:rPr/>
            </w:r>
          </w:p>
        </w:tc>
        <w:tc>
          <w:tcPr>
            <w:tcW w:w="112"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2" w:type="dxa"/>
            <w:tcBorders/>
            <w:shd w:fill="E5FFFF" w:val="clear"/>
            <w:vAlign w:val="center"/>
          </w:tcPr>
          <w:p>
            <w:pPr>
              <w:pStyle w:val="TableContents"/>
              <w:spacing w:before="0" w:after="283"/>
              <w:rPr/>
            </w:pPr>
            <w:r>
              <w:rPr/>
              <w:t> </w:t>
            </w:r>
          </w:p>
        </w:tc>
        <w:tc>
          <w:tcPr>
            <w:tcW w:w="848" w:type="dxa"/>
            <w:tcBorders/>
            <w:shd w:fill="E5FFFF" w:val="clear"/>
            <w:vAlign w:val="bottom"/>
          </w:tcPr>
          <w:p>
            <w:pPr>
              <w:pStyle w:val="HorizontalLine"/>
              <w:pBdr>
                <w:bottom w:val="single" w:sz="6" w:space="0" w:color="000000"/>
              </w:pBdr>
              <w:spacing w:before="0" w:after="283"/>
              <w:rPr/>
            </w:pPr>
            <w:r>
              <w:rPr/>
            </w:r>
          </w:p>
        </w:tc>
        <w:tc>
          <w:tcPr>
            <w:tcW w:w="13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11,506</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2,397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3,937</w:t>
            </w:r>
          </w:p>
        </w:tc>
        <w:tc>
          <w:tcPr>
            <w:tcW w:w="11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3,053</w:t>
            </w:r>
          </w:p>
        </w:tc>
        <w:tc>
          <w:tcPr>
            <w:tcW w:w="112"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848" w:type="dxa"/>
            <w:tcBorders/>
            <w:shd w:fill="FFFFFF" w:val="clear"/>
            <w:vAlign w:val="bottom"/>
          </w:tcPr>
          <w:p>
            <w:pPr>
              <w:pStyle w:val="TableContents"/>
              <w:spacing w:before="0" w:after="283"/>
              <w:jc w:val="right"/>
              <w:rPr>
                <w:rFonts w:ascii="Arial" w:hAnsi="Arial"/>
              </w:rPr>
            </w:pPr>
            <w:r>
              <w:rPr>
                <w:rFonts w:ascii="Arial" w:hAnsi="Arial"/>
              </w:rPr>
              <w:t>2,119</w:t>
            </w:r>
          </w:p>
        </w:tc>
        <w:tc>
          <w:tcPr>
            <w:tcW w:w="136" w:type="dxa"/>
            <w:tcBorders/>
            <w:shd w:fill="FFFFFF" w:val="clear"/>
            <w:vAlign w:val="center"/>
          </w:tcPr>
          <w:p>
            <w:pPr>
              <w:pStyle w:val="TableContents"/>
              <w:spacing w:before="0" w:after="283"/>
              <w:rPr/>
            </w:pPr>
            <w:r>
              <w:rPr/>
              <w:t> </w:t>
            </w:r>
          </w:p>
        </w:tc>
      </w:tr>
      <w:tr>
        <w:trPr/>
        <w:tc>
          <w:tcPr>
            <w:tcW w:w="359" w:type="dxa"/>
            <w:tcBorders/>
            <w:shd w:fill="E5FFFF" w:val="clear"/>
            <w:vAlign w:val="center"/>
          </w:tcPr>
          <w:p>
            <w:pPr>
              <w:pStyle w:val="TableContents"/>
              <w:spacing w:before="0" w:after="283"/>
              <w:rPr/>
            </w:pPr>
            <w:r>
              <w:rPr/>
              <w:t> </w:t>
            </w:r>
          </w:p>
        </w:tc>
        <w:tc>
          <w:tcPr>
            <w:tcW w:w="349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6" w:space="0" w:color="000000"/>
              </w:pBdr>
              <w:spacing w:before="0" w:after="283"/>
              <w:rPr/>
            </w:pPr>
            <w:r>
              <w:rPr/>
            </w:r>
          </w:p>
        </w:tc>
        <w:tc>
          <w:tcPr>
            <w:tcW w:w="11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6" w:space="0" w:color="000000"/>
              </w:pBdr>
              <w:spacing w:before="0" w:after="283"/>
              <w:rPr/>
            </w:pPr>
            <w:r>
              <w:rPr/>
            </w:r>
          </w:p>
        </w:tc>
        <w:tc>
          <w:tcPr>
            <w:tcW w:w="112"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2" w:type="dxa"/>
            <w:tcBorders/>
            <w:shd w:fill="E5FFFF" w:val="clear"/>
            <w:vAlign w:val="center"/>
          </w:tcPr>
          <w:p>
            <w:pPr>
              <w:pStyle w:val="TableContents"/>
              <w:spacing w:before="0" w:after="283"/>
              <w:rPr/>
            </w:pPr>
            <w:r>
              <w:rPr/>
              <w:t> </w:t>
            </w:r>
          </w:p>
        </w:tc>
        <w:tc>
          <w:tcPr>
            <w:tcW w:w="848" w:type="dxa"/>
            <w:tcBorders/>
            <w:shd w:fill="E5FFFF" w:val="clear"/>
            <w:vAlign w:val="bottom"/>
          </w:tcPr>
          <w:p>
            <w:pPr>
              <w:pStyle w:val="HorizontalLine"/>
              <w:pBdr>
                <w:bottom w:val="single" w:sz="6" w:space="0" w:color="000000"/>
              </w:pBdr>
              <w:spacing w:before="0" w:after="283"/>
              <w:rPr/>
            </w:pPr>
            <w:r>
              <w:rPr/>
            </w:r>
          </w:p>
        </w:tc>
        <w:tc>
          <w:tcPr>
            <w:tcW w:w="13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jc w:val="left"/>
              <w:rPr>
                <w:rFonts w:ascii="Arial" w:hAnsi="Arial"/>
              </w:rPr>
            </w:pPr>
            <w:r>
              <w:rPr>
                <w:rFonts w:ascii="Arial" w:hAnsi="Arial"/>
              </w:rPr>
              <w:t>Asbestos insurance recoveries(5)</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(1,257</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(157</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(83</w:t>
            </w:r>
          </w:p>
        </w:tc>
        <w:tc>
          <w:tcPr>
            <w:tcW w:w="113"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bottom"/>
          </w:tcPr>
          <w:p>
            <w:pPr>
              <w:pStyle w:val="TableContents"/>
              <w:spacing w:before="0" w:after="283"/>
              <w:jc w:val="right"/>
              <w:rPr>
                <w:rFonts w:ascii="Arial" w:hAnsi="Arial"/>
              </w:rPr>
            </w:pPr>
            <w:r>
              <w:rPr>
                <w:rFonts w:ascii="Arial" w:hAnsi="Arial"/>
              </w:rPr>
              <w:t>(98</w:t>
            </w:r>
          </w:p>
        </w:tc>
        <w:tc>
          <w:tcPr>
            <w:tcW w:w="112"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212" w:type="dxa"/>
            <w:tcBorders/>
            <w:shd w:fill="FFFFFF" w:val="clear"/>
            <w:vAlign w:val="center"/>
          </w:tcPr>
          <w:p>
            <w:pPr>
              <w:pStyle w:val="TableContents"/>
              <w:spacing w:before="0" w:after="283"/>
              <w:rPr/>
            </w:pPr>
            <w:r>
              <w:rPr/>
              <w:t> </w:t>
            </w:r>
          </w:p>
        </w:tc>
        <w:tc>
          <w:tcPr>
            <w:tcW w:w="848" w:type="dxa"/>
            <w:tcBorders/>
            <w:shd w:fill="FFFFFF" w:val="clear"/>
            <w:vAlign w:val="bottom"/>
          </w:tcPr>
          <w:p>
            <w:pPr>
              <w:pStyle w:val="TableContents"/>
              <w:spacing w:before="0" w:after="283"/>
              <w:jc w:val="right"/>
              <w:rPr>
                <w:rFonts w:ascii="Arial" w:hAnsi="Arial"/>
              </w:rPr>
            </w:pPr>
            <w:r>
              <w:rPr>
                <w:rFonts w:ascii="Arial" w:hAnsi="Arial"/>
              </w:rPr>
              <w:t>(919</w:t>
            </w:r>
          </w:p>
        </w:tc>
        <w:tc>
          <w:tcPr>
            <w:tcW w:w="13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E5FFFF" w:val="clear"/>
            <w:vAlign w:val="center"/>
          </w:tcPr>
          <w:p>
            <w:pPr>
              <w:pStyle w:val="TableContents"/>
              <w:spacing w:before="0" w:after="283"/>
              <w:rPr/>
            </w:pPr>
            <w:r>
              <w:rPr/>
              <w:t> </w:t>
            </w:r>
          </w:p>
        </w:tc>
        <w:tc>
          <w:tcPr>
            <w:tcW w:w="349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6" w:space="0" w:color="000000"/>
              </w:pBdr>
              <w:spacing w:before="0" w:after="283"/>
              <w:rPr/>
            </w:pPr>
            <w:r>
              <w:rPr/>
            </w:r>
          </w:p>
        </w:tc>
        <w:tc>
          <w:tcPr>
            <w:tcW w:w="11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6" w:space="0" w:color="000000"/>
              </w:pBdr>
              <w:spacing w:before="0" w:after="283"/>
              <w:rPr/>
            </w:pPr>
            <w:r>
              <w:rPr/>
            </w:r>
          </w:p>
        </w:tc>
        <w:tc>
          <w:tcPr>
            <w:tcW w:w="112"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2" w:type="dxa"/>
            <w:tcBorders/>
            <w:shd w:fill="E5FFFF" w:val="clear"/>
            <w:vAlign w:val="center"/>
          </w:tcPr>
          <w:p>
            <w:pPr>
              <w:pStyle w:val="TableContents"/>
              <w:spacing w:before="0" w:after="283"/>
              <w:rPr/>
            </w:pPr>
            <w:r>
              <w:rPr/>
              <w:t> </w:t>
            </w:r>
          </w:p>
        </w:tc>
        <w:tc>
          <w:tcPr>
            <w:tcW w:w="848" w:type="dxa"/>
            <w:tcBorders/>
            <w:shd w:fill="E5FFFF" w:val="clear"/>
            <w:vAlign w:val="bottom"/>
          </w:tcPr>
          <w:p>
            <w:pPr>
              <w:pStyle w:val="HorizontalLine"/>
              <w:pBdr>
                <w:bottom w:val="single" w:sz="6" w:space="0" w:color="000000"/>
              </w:pBdr>
              <w:spacing w:before="0" w:after="283"/>
              <w:rPr/>
            </w:pPr>
            <w:r>
              <w:rPr/>
            </w:r>
          </w:p>
        </w:tc>
        <w:tc>
          <w:tcPr>
            <w:tcW w:w="13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10,249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2,240</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right"/>
              <w:rPr>
                <w:rFonts w:ascii="Arial" w:hAnsi="Arial"/>
              </w:rPr>
            </w:pPr>
            <w:r>
              <w:rPr>
                <w:rFonts w:ascii="Arial" w:hAnsi="Arial"/>
              </w:rPr>
              <w:t>$</w:t>
            </w:r>
          </w:p>
        </w:tc>
        <w:tc>
          <w:tcPr>
            <w:tcW w:w="743" w:type="dxa"/>
            <w:tcBorders/>
            <w:shd w:fill="FFFFFF" w:val="clear"/>
            <w:vAlign w:val="bottom"/>
          </w:tcPr>
          <w:p>
            <w:pPr>
              <w:pStyle w:val="TableContents"/>
              <w:spacing w:before="0" w:after="283"/>
              <w:jc w:val="right"/>
              <w:rPr>
                <w:rFonts w:ascii="Arial" w:hAnsi="Arial"/>
              </w:rPr>
            </w:pPr>
            <w:r>
              <w:rPr>
                <w:rFonts w:ascii="Arial" w:hAnsi="Arial"/>
              </w:rPr>
              <w:t>3,854</w:t>
            </w:r>
          </w:p>
        </w:tc>
        <w:tc>
          <w:tcPr>
            <w:tcW w:w="11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right"/>
              <w:rPr>
                <w:rFonts w:ascii="Arial" w:hAnsi="Arial"/>
              </w:rPr>
            </w:pPr>
            <w:r>
              <w:rPr>
                <w:rFonts w:ascii="Arial" w:hAnsi="Arial"/>
              </w:rPr>
              <w:t>$</w:t>
            </w:r>
          </w:p>
        </w:tc>
        <w:tc>
          <w:tcPr>
            <w:tcW w:w="743" w:type="dxa"/>
            <w:tcBorders/>
            <w:shd w:fill="FFFFFF" w:val="clear"/>
            <w:vAlign w:val="bottom"/>
          </w:tcPr>
          <w:p>
            <w:pPr>
              <w:pStyle w:val="TableContents"/>
              <w:spacing w:before="0" w:after="283"/>
              <w:jc w:val="right"/>
              <w:rPr>
                <w:rFonts w:ascii="Arial" w:hAnsi="Arial"/>
              </w:rPr>
            </w:pPr>
            <w:r>
              <w:rPr>
                <w:rFonts w:ascii="Arial" w:hAnsi="Arial"/>
              </w:rPr>
              <w:t>2,955</w:t>
            </w:r>
          </w:p>
        </w:tc>
        <w:tc>
          <w:tcPr>
            <w:tcW w:w="112"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2" w:type="dxa"/>
            <w:tcBorders/>
            <w:shd w:fill="FFFFFF" w:val="clear"/>
            <w:vAlign w:val="bottom"/>
          </w:tcPr>
          <w:p>
            <w:pPr>
              <w:pStyle w:val="TableContents"/>
              <w:spacing w:before="0" w:after="283"/>
              <w:jc w:val="right"/>
              <w:rPr>
                <w:rFonts w:ascii="Arial" w:hAnsi="Arial"/>
              </w:rPr>
            </w:pPr>
            <w:r>
              <w:rPr>
                <w:rFonts w:ascii="Arial" w:hAnsi="Arial"/>
              </w:rPr>
              <w:t>$</w:t>
            </w:r>
          </w:p>
        </w:tc>
        <w:tc>
          <w:tcPr>
            <w:tcW w:w="848" w:type="dxa"/>
            <w:tcBorders/>
            <w:shd w:fill="FFFFFF" w:val="clear"/>
            <w:vAlign w:val="bottom"/>
          </w:tcPr>
          <w:p>
            <w:pPr>
              <w:pStyle w:val="TableContents"/>
              <w:spacing w:before="0" w:after="283"/>
              <w:jc w:val="right"/>
              <w:rPr>
                <w:rFonts w:ascii="Arial" w:hAnsi="Arial"/>
              </w:rPr>
            </w:pPr>
            <w:r>
              <w:rPr>
                <w:rFonts w:ascii="Arial" w:hAnsi="Arial"/>
              </w:rPr>
              <w:t>1,200</w:t>
            </w:r>
          </w:p>
        </w:tc>
        <w:tc>
          <w:tcPr>
            <w:tcW w:w="136" w:type="dxa"/>
            <w:tcBorders/>
            <w:shd w:fill="FFFFFF" w:val="clear"/>
            <w:vAlign w:val="center"/>
          </w:tcPr>
          <w:p>
            <w:pPr>
              <w:pStyle w:val="TableContents"/>
              <w:spacing w:before="0" w:after="283"/>
              <w:rPr/>
            </w:pPr>
            <w:r>
              <w:rPr/>
              <w:t> </w:t>
            </w:r>
          </w:p>
        </w:tc>
      </w:tr>
      <w:tr>
        <w:trPr/>
        <w:tc>
          <w:tcPr>
            <w:tcW w:w="359" w:type="dxa"/>
            <w:tcBorders/>
            <w:shd w:fill="E5FFFF" w:val="clear"/>
            <w:vAlign w:val="center"/>
          </w:tcPr>
          <w:p>
            <w:pPr>
              <w:pStyle w:val="TableContents"/>
              <w:spacing w:before="0" w:after="283"/>
              <w:rPr/>
            </w:pPr>
            <w:r>
              <w:rPr/>
              <w:t> </w:t>
            </w:r>
          </w:p>
        </w:tc>
        <w:tc>
          <w:tcPr>
            <w:tcW w:w="349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18" w:space="0" w:color="000000"/>
              </w:pBdr>
              <w:spacing w:before="0" w:after="283"/>
              <w:rPr/>
            </w:pPr>
            <w:r>
              <w:rPr/>
            </w:r>
          </w:p>
        </w:tc>
        <w:tc>
          <w:tcPr>
            <w:tcW w:w="11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743" w:type="dxa"/>
            <w:tcBorders/>
            <w:shd w:fill="E5FFFF" w:val="clear"/>
            <w:vAlign w:val="bottom"/>
          </w:tcPr>
          <w:p>
            <w:pPr>
              <w:pStyle w:val="HorizontalLine"/>
              <w:pBdr>
                <w:bottom w:val="single" w:sz="18" w:space="0" w:color="000000"/>
              </w:pBdr>
              <w:spacing w:before="0" w:after="283"/>
              <w:rPr/>
            </w:pPr>
            <w:r>
              <w:rPr/>
            </w:r>
          </w:p>
        </w:tc>
        <w:tc>
          <w:tcPr>
            <w:tcW w:w="112"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2" w:type="dxa"/>
            <w:tcBorders/>
            <w:shd w:fill="E5FFFF" w:val="clear"/>
            <w:vAlign w:val="center"/>
          </w:tcPr>
          <w:p>
            <w:pPr>
              <w:pStyle w:val="TableContents"/>
              <w:spacing w:before="0" w:after="283"/>
              <w:rPr/>
            </w:pPr>
            <w:r>
              <w:rPr/>
              <w:t> </w:t>
            </w:r>
          </w:p>
        </w:tc>
        <w:tc>
          <w:tcPr>
            <w:tcW w:w="848" w:type="dxa"/>
            <w:tcBorders/>
            <w:shd w:fill="E5FFFF" w:val="clear"/>
            <w:vAlign w:val="bottom"/>
          </w:tcPr>
          <w:p>
            <w:pPr>
              <w:pStyle w:val="HorizontalLine"/>
              <w:pBdr>
                <w:bottom w:val="single" w:sz="18" w:space="0" w:color="000000"/>
              </w:pBdr>
              <w:spacing w:before="0" w:after="283"/>
              <w:rPr/>
            </w:pPr>
            <w:r>
              <w:rPr/>
            </w:r>
          </w:p>
        </w:tc>
        <w:tc>
          <w:tcPr>
            <w:tcW w:w="13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349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743"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rPr/>
            </w:pPr>
            <w:r>
              <w:rPr/>
              <w:t> </w:t>
            </w:r>
          </w:p>
        </w:tc>
        <w:tc>
          <w:tcPr>
            <w:tcW w:w="848"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39"/>
        <w:gridCol w:w="180"/>
        <w:gridCol w:w="9786"/>
      </w:tblGrid>
      <w:tr>
        <w:trPr/>
        <w:tc>
          <w:tcPr>
            <w:tcW w:w="239"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86" w:type="dxa"/>
            <w:tcBorders/>
            <w:shd w:fill="FFFFFF" w:val="clear"/>
            <w:vAlign w:val="center"/>
          </w:tcPr>
          <w:p>
            <w:pPr>
              <w:pStyle w:val="TableContents"/>
              <w:spacing w:before="0" w:after="283"/>
              <w:rPr/>
            </w:pPr>
            <w:r>
              <w:rPr/>
              <w:t> </w:t>
            </w:r>
          </w:p>
        </w:tc>
      </w:tr>
      <w:tr>
        <w:trPr/>
        <w:tc>
          <w:tcPr>
            <w:tcW w:w="239"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86" w:type="dxa"/>
            <w:tcBorders/>
            <w:shd w:fill="FFFFFF" w:val="clear"/>
            <w:vAlign w:val="bottom"/>
          </w:tcPr>
          <w:p>
            <w:pPr>
              <w:pStyle w:val="TableContents"/>
              <w:spacing w:before="0" w:after="283"/>
              <w:jc w:val="left"/>
              <w:rPr>
                <w:rFonts w:ascii="Arial" w:hAnsi="Arial"/>
              </w:rPr>
            </w:pPr>
            <w:r>
              <w:rPr>
                <w:rFonts w:ascii="Arial" w:hAnsi="Arial"/>
              </w:rPr>
              <w:t>Assumes all long-term debt is outstanding until scheduled maturity.</w:t>
            </w:r>
          </w:p>
        </w:tc>
      </w:tr>
      <w:tr>
        <w:trPr/>
        <w:tc>
          <w:tcPr>
            <w:tcW w:w="239"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86" w:type="dxa"/>
            <w:tcBorders/>
            <w:shd w:fill="FFFFFF" w:val="clear"/>
            <w:vAlign w:val="center"/>
          </w:tcPr>
          <w:p>
            <w:pPr>
              <w:pStyle w:val="TableContents"/>
              <w:spacing w:before="0" w:after="283"/>
              <w:rPr/>
            </w:pPr>
            <w:r>
              <w:rPr/>
              <w:t> </w:t>
            </w:r>
          </w:p>
        </w:tc>
      </w:tr>
      <w:tr>
        <w:trPr/>
        <w:tc>
          <w:tcPr>
            <w:tcW w:w="239" w:type="dxa"/>
            <w:tcBorders/>
            <w:shd w:fill="FFFFFF" w:val="clear"/>
          </w:tcPr>
          <w:p>
            <w:pPr>
              <w:pStyle w:val="TableContents"/>
              <w:spacing w:before="0" w:after="283"/>
              <w:jc w:val="right"/>
              <w:rPr>
                <w:rFonts w:ascii="Arial" w:hAnsi="Arial"/>
              </w:rPr>
            </w:pPr>
            <w:r>
              <w:rPr>
                <w:rFonts w:ascii="Arial" w:hAnsi="Arial"/>
              </w:rPr>
              <w:t>(2)</w:t>
            </w:r>
          </w:p>
        </w:tc>
        <w:tc>
          <w:tcPr>
            <w:tcW w:w="180" w:type="dxa"/>
            <w:tcBorders/>
            <w:shd w:fill="FFFFFF" w:val="clear"/>
            <w:vAlign w:val="bottom"/>
          </w:tcPr>
          <w:p>
            <w:pPr>
              <w:pStyle w:val="TableContents"/>
              <w:spacing w:before="0" w:after="283"/>
              <w:jc w:val="left"/>
              <w:rPr/>
            </w:pPr>
            <w:r>
              <w:rPr/>
              <w:t>   </w:t>
            </w:r>
          </w:p>
        </w:tc>
        <w:tc>
          <w:tcPr>
            <w:tcW w:w="9786" w:type="dxa"/>
            <w:tcBorders/>
            <w:shd w:fill="FFFFFF" w:val="clear"/>
            <w:vAlign w:val="bottom"/>
          </w:tcPr>
          <w:p>
            <w:pPr>
              <w:pStyle w:val="TableContents"/>
              <w:spacing w:before="0" w:after="283"/>
              <w:jc w:val="left"/>
              <w:rPr>
                <w:rFonts w:ascii="Arial" w:hAnsi="Arial"/>
              </w:rPr>
            </w:pPr>
            <w:r>
              <w:rPr>
                <w:rFonts w:ascii="Arial" w:hAnsi="Arial"/>
              </w:rPr>
              <w:t>Purchase obligations are entered into with various vendors in the normal course of business and are consistent with our expected requirements.</w:t>
            </w:r>
          </w:p>
        </w:tc>
      </w:tr>
      <w:tr>
        <w:trPr/>
        <w:tc>
          <w:tcPr>
            <w:tcW w:w="239"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86" w:type="dxa"/>
            <w:tcBorders/>
            <w:shd w:fill="FFFFFF" w:val="clear"/>
            <w:vAlign w:val="center"/>
          </w:tcPr>
          <w:p>
            <w:pPr>
              <w:pStyle w:val="TableContents"/>
              <w:spacing w:before="0" w:after="283"/>
              <w:rPr/>
            </w:pPr>
            <w:r>
              <w:rPr/>
              <w:t> </w:t>
            </w:r>
          </w:p>
        </w:tc>
      </w:tr>
      <w:tr>
        <w:trPr/>
        <w:tc>
          <w:tcPr>
            <w:tcW w:w="239" w:type="dxa"/>
            <w:tcBorders/>
            <w:shd w:fill="FFFFFF" w:val="clear"/>
          </w:tcPr>
          <w:p>
            <w:pPr>
              <w:pStyle w:val="TableContents"/>
              <w:spacing w:before="0" w:after="283"/>
              <w:jc w:val="right"/>
              <w:rPr>
                <w:rFonts w:ascii="Arial" w:hAnsi="Arial"/>
              </w:rPr>
            </w:pPr>
            <w:r>
              <w:rPr>
                <w:rFonts w:ascii="Arial" w:hAnsi="Arial"/>
              </w:rPr>
              <w:t>(3)</w:t>
            </w:r>
          </w:p>
        </w:tc>
        <w:tc>
          <w:tcPr>
            <w:tcW w:w="180" w:type="dxa"/>
            <w:tcBorders/>
            <w:shd w:fill="FFFFFF" w:val="clear"/>
            <w:vAlign w:val="bottom"/>
          </w:tcPr>
          <w:p>
            <w:pPr>
              <w:pStyle w:val="TableContents"/>
              <w:spacing w:before="0" w:after="283"/>
              <w:jc w:val="left"/>
              <w:rPr/>
            </w:pPr>
            <w:r>
              <w:rPr/>
              <w:t>   </w:t>
            </w:r>
          </w:p>
        </w:tc>
        <w:tc>
          <w:tcPr>
            <w:tcW w:w="9786" w:type="dxa"/>
            <w:tcBorders/>
            <w:shd w:fill="FFFFFF" w:val="clear"/>
            <w:vAlign w:val="bottom"/>
          </w:tcPr>
          <w:p>
            <w:pPr>
              <w:pStyle w:val="TableContents"/>
              <w:spacing w:before="0" w:after="283"/>
              <w:jc w:val="left"/>
              <w:rPr>
                <w:rFonts w:ascii="Arial" w:hAnsi="Arial"/>
              </w:rPr>
            </w:pPr>
            <w:r>
              <w:rPr>
                <w:rFonts w:ascii="Arial" w:hAnsi="Arial"/>
              </w:rPr>
              <w:t>The amounts in the table do not reflect any significant environmental liability payments after 2011. See Note 21 to the financial statements for additional information.</w:t>
            </w:r>
          </w:p>
        </w:tc>
      </w:tr>
      <w:tr>
        <w:trPr/>
        <w:tc>
          <w:tcPr>
            <w:tcW w:w="239"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86" w:type="dxa"/>
            <w:tcBorders/>
            <w:shd w:fill="FFFFFF" w:val="clear"/>
            <w:vAlign w:val="center"/>
          </w:tcPr>
          <w:p>
            <w:pPr>
              <w:pStyle w:val="TableContents"/>
              <w:spacing w:before="0" w:after="283"/>
              <w:rPr/>
            </w:pPr>
            <w:r>
              <w:rPr/>
              <w:t> </w:t>
            </w:r>
          </w:p>
        </w:tc>
      </w:tr>
      <w:tr>
        <w:trPr/>
        <w:tc>
          <w:tcPr>
            <w:tcW w:w="239" w:type="dxa"/>
            <w:tcBorders/>
            <w:shd w:fill="FFFFFF" w:val="clear"/>
          </w:tcPr>
          <w:p>
            <w:pPr>
              <w:pStyle w:val="TableContents"/>
              <w:spacing w:before="0" w:after="283"/>
              <w:jc w:val="right"/>
              <w:rPr>
                <w:rFonts w:ascii="Arial" w:hAnsi="Arial"/>
              </w:rPr>
            </w:pPr>
            <w:r>
              <w:rPr>
                <w:rFonts w:ascii="Arial" w:hAnsi="Arial"/>
              </w:rPr>
              <w:t>(4)</w:t>
            </w:r>
          </w:p>
        </w:tc>
        <w:tc>
          <w:tcPr>
            <w:tcW w:w="180" w:type="dxa"/>
            <w:tcBorders/>
            <w:shd w:fill="FFFFFF" w:val="clear"/>
            <w:vAlign w:val="bottom"/>
          </w:tcPr>
          <w:p>
            <w:pPr>
              <w:pStyle w:val="TableContents"/>
              <w:spacing w:before="0" w:after="283"/>
              <w:jc w:val="left"/>
              <w:rPr/>
            </w:pPr>
            <w:r>
              <w:rPr/>
              <w:t>   </w:t>
            </w:r>
          </w:p>
        </w:tc>
        <w:tc>
          <w:tcPr>
            <w:tcW w:w="9786" w:type="dxa"/>
            <w:tcBorders/>
            <w:shd w:fill="FFFFFF" w:val="clear"/>
            <w:vAlign w:val="bottom"/>
          </w:tcPr>
          <w:p>
            <w:pPr>
              <w:pStyle w:val="TableContents"/>
              <w:spacing w:before="0" w:after="283"/>
              <w:jc w:val="left"/>
              <w:rPr>
                <w:rFonts w:ascii="Arial" w:hAnsi="Arial"/>
              </w:rPr>
            </w:pPr>
            <w:r>
              <w:rPr>
                <w:rFonts w:ascii="Arial" w:hAnsi="Arial"/>
              </w:rPr>
              <w:t>These amounts are estimates of asbestos related cash payments for NARCO and Bendix. NARCO estimated payments are based on the terms and conditions, including evidentiary requirements, specified in the definitive agreements or agreements in principle and pursuant to Trust Distribution Procedures. Bendix payments are based on our estimate of pending and future claims. Projecting future events is subject to many uncertainties that could cause asbestos liabilities to be higher or lower than those projected and recorded. See Asbestos Matters in Note 21 to the financial statements for additional information.</w:t>
            </w:r>
          </w:p>
        </w:tc>
      </w:tr>
      <w:tr>
        <w:trPr/>
        <w:tc>
          <w:tcPr>
            <w:tcW w:w="239"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86" w:type="dxa"/>
            <w:tcBorders/>
            <w:shd w:fill="FFFFFF" w:val="clear"/>
            <w:vAlign w:val="center"/>
          </w:tcPr>
          <w:p>
            <w:pPr>
              <w:pStyle w:val="TableContents"/>
              <w:spacing w:before="0" w:after="283"/>
              <w:rPr/>
            </w:pPr>
            <w:r>
              <w:rPr/>
              <w:t> </w:t>
            </w:r>
          </w:p>
        </w:tc>
      </w:tr>
      <w:tr>
        <w:trPr/>
        <w:tc>
          <w:tcPr>
            <w:tcW w:w="239" w:type="dxa"/>
            <w:tcBorders/>
            <w:shd w:fill="FFFFFF" w:val="clear"/>
          </w:tcPr>
          <w:p>
            <w:pPr>
              <w:pStyle w:val="TableContents"/>
              <w:spacing w:before="0" w:after="283"/>
              <w:jc w:val="right"/>
              <w:rPr>
                <w:rFonts w:ascii="Arial" w:hAnsi="Arial"/>
              </w:rPr>
            </w:pPr>
            <w:r>
              <w:rPr>
                <w:rFonts w:ascii="Arial" w:hAnsi="Arial"/>
              </w:rPr>
              <w:t>(5)</w:t>
            </w:r>
          </w:p>
        </w:tc>
        <w:tc>
          <w:tcPr>
            <w:tcW w:w="180" w:type="dxa"/>
            <w:tcBorders/>
            <w:shd w:fill="FFFFFF" w:val="clear"/>
            <w:vAlign w:val="bottom"/>
          </w:tcPr>
          <w:p>
            <w:pPr>
              <w:pStyle w:val="TableContents"/>
              <w:spacing w:before="0" w:after="283"/>
              <w:jc w:val="left"/>
              <w:rPr/>
            </w:pPr>
            <w:r>
              <w:rPr/>
              <w:t>   </w:t>
            </w:r>
          </w:p>
        </w:tc>
        <w:tc>
          <w:tcPr>
            <w:tcW w:w="9786" w:type="dxa"/>
            <w:tcBorders/>
            <w:shd w:fill="FFFFFF" w:val="clear"/>
            <w:vAlign w:val="bottom"/>
          </w:tcPr>
          <w:p>
            <w:pPr>
              <w:pStyle w:val="TableContents"/>
              <w:spacing w:before="0" w:after="283"/>
              <w:jc w:val="left"/>
              <w:rPr>
                <w:rFonts w:ascii="Arial" w:hAnsi="Arial"/>
              </w:rPr>
            </w:pPr>
            <w:r>
              <w:rPr>
                <w:rFonts w:ascii="Arial" w:hAnsi="Arial"/>
              </w:rPr>
              <w:t>These amounts represent probable insurance recoveries through 2018. See Asbestos Matters in Note 21 to the financial statements.</w:t>
            </w:r>
          </w:p>
        </w:tc>
      </w:tr>
    </w:tbl>
    <w:p>
      <w:pPr>
        <w:pStyle w:val="TextBody"/>
        <w:jc w:val="left"/>
        <w:rPr/>
      </w:pPr>
      <w:r>
        <w:rPr/>
        <w:t>      </w:t>
      </w:r>
      <w:r>
        <w:rPr>
          <w:rFonts w:ascii="Arial" w:hAnsi="Arial"/>
        </w:rPr>
        <w:t>The table excludes our pension and other postretirement benefits (OPEB) obligations. We made voluntary contributions of $68 and $40 million to our U.S. pension plans in 2006 and 2004, respectively. Future plan contributions are dependent upon actual plan asset returns and interest rates. Assuming that actual plan asset returns are consistent with our expected plan return of 9 percent in 2007 and beyond, and that interest rates remain constant, we would not be required to make any contributions to our U.S. pension plans to satisfy minimum statutory funding requirements for the foreseeable future. We expect to make voluntary contributions of approximately $52 million to our U.S. plans in 2007 for government contracting purposes. We expect to make contributions to our non-U.S. plans of approximately $155 million in 2007. Payments due under our OPEB plans are not required to be funded in advance, but are paid as medical costs are incurred by covered retiree populations, and are principally dependent upon the future cost of retiree medical benefits under our plans. We expect our OPEB payments to approximate $189 million in 2007 net of the benefit of approximately $22 million from the Medicare prescription subsidy. See Note 22 to the financial statements for further discussion of our pension and OPEB plans.</w:t>
      </w:r>
    </w:p>
    <w:p>
      <w:pPr>
        <w:pStyle w:val="TextBody"/>
        <w:jc w:val="center"/>
        <w:rPr>
          <w:rFonts w:ascii="Arial" w:hAnsi="Arial"/>
        </w:rPr>
      </w:pPr>
      <w:r>
        <w:rPr>
          <w:rFonts w:ascii="Arial" w:hAnsi="Arial"/>
        </w:rPr>
        <w:t>36</w:t>
      </w:r>
    </w:p>
    <w:p>
      <w:pPr>
        <w:pStyle w:val="HorizontalLine"/>
        <w:pBdr>
          <w:bottom w:val="single" w:sz="20" w:space="0" w:color="000000"/>
        </w:pBdr>
        <w:rPr/>
      </w:pPr>
      <w:r>
        <w:rPr/>
      </w:r>
      <w:r>
        <w:br w:type="page"/>
      </w:r>
    </w:p>
    <w:p>
      <w:pPr>
        <w:pStyle w:val="TextBody"/>
        <w:jc w:val="left"/>
        <w:rPr>
          <w:rFonts w:ascii="Arial" w:hAnsi="Arial"/>
          <w:b/>
        </w:rPr>
      </w:pPr>
      <w:r>
        <w:rPr>
          <w:rFonts w:ascii="Arial" w:hAnsi="Arial"/>
          <w:b/>
        </w:rPr>
        <w:t>Off-Balance Sheet Arrangements</w:t>
      </w:r>
    </w:p>
    <w:p>
      <w:pPr>
        <w:pStyle w:val="TextBody"/>
        <w:jc w:val="left"/>
        <w:rPr/>
      </w:pPr>
      <w:r>
        <w:rPr/>
        <w:t>      </w:t>
      </w:r>
      <w:r>
        <w:rPr>
          <w:rFonts w:ascii="Arial" w:hAnsi="Arial"/>
        </w:rPr>
        <w:t>Following is a summary of our off-balance sheet arrangements:</w:t>
      </w:r>
    </w:p>
    <w:p>
      <w:pPr>
        <w:pStyle w:val="TextBody"/>
        <w:jc w:val="left"/>
        <w:rPr/>
      </w:pPr>
      <w:r>
        <w:rPr/>
        <w:t>      </w:t>
      </w:r>
      <w:r>
        <w:rPr>
          <w:rFonts w:ascii="Arial" w:hAnsi="Arial"/>
          <w:b/>
          <w:i/>
        </w:rPr>
        <w:t>Guarantees</w:t>
      </w:r>
      <w:r>
        <w:rPr/>
        <w:t>—</w:t>
      </w:r>
      <w:r>
        <w:rPr>
          <w:rFonts w:ascii="Arial" w:hAnsi="Arial"/>
        </w:rPr>
        <w:t>We have issued or are a party to the following direct and indirect guarantees at December 31, 2006:</w:t>
      </w:r>
    </w:p>
    <w:tbl>
      <w:tblPr>
        <w:tblW w:w="5000" w:type="pct"/>
        <w:jc w:val="left"/>
        <w:tblInd w:w="0" w:type="dxa"/>
        <w:tblCellMar>
          <w:top w:w="0" w:type="dxa"/>
          <w:left w:w="0" w:type="dxa"/>
          <w:bottom w:w="0" w:type="dxa"/>
          <w:right w:w="0" w:type="dxa"/>
        </w:tblCellMar>
      </w:tblPr>
      <w:tblGrid>
        <w:gridCol w:w="1314"/>
        <w:gridCol w:w="6280"/>
        <w:gridCol w:w="404"/>
        <w:gridCol w:w="678"/>
        <w:gridCol w:w="1267"/>
        <w:gridCol w:w="262"/>
      </w:tblGrid>
      <w:tr>
        <w:trPr/>
        <w:tc>
          <w:tcPr>
            <w:tcW w:w="1314" w:type="dxa"/>
            <w:tcBorders/>
            <w:shd w:fill="FFFFFF" w:val="clear"/>
            <w:vAlign w:val="center"/>
          </w:tcPr>
          <w:p>
            <w:pPr>
              <w:pStyle w:val="TableContents"/>
              <w:spacing w:before="0" w:after="283"/>
              <w:rPr/>
            </w:pPr>
            <w:r>
              <w:rPr/>
              <w:t> </w:t>
            </w:r>
          </w:p>
        </w:tc>
        <w:tc>
          <w:tcPr>
            <w:tcW w:w="6280" w:type="dxa"/>
            <w:tcBorders/>
            <w:shd w:fill="FFFFFF" w:val="clear"/>
            <w:vAlign w:val="center"/>
          </w:tcPr>
          <w:p>
            <w:pPr>
              <w:pStyle w:val="TableContents"/>
              <w:spacing w:before="0" w:after="283"/>
              <w:rPr/>
            </w:pPr>
            <w:r>
              <w:rPr/>
              <w:t> </w:t>
            </w:r>
          </w:p>
        </w:tc>
        <w:tc>
          <w:tcPr>
            <w:tcW w:w="404" w:type="dxa"/>
            <w:tcBorders/>
            <w:shd w:fill="FFFFFF" w:val="clear"/>
            <w:vAlign w:val="center"/>
          </w:tcPr>
          <w:p>
            <w:pPr>
              <w:pStyle w:val="TableContents"/>
              <w:spacing w:before="0" w:after="283"/>
              <w:rPr/>
            </w:pPr>
            <w:r>
              <w:rPr/>
              <w:t> </w:t>
            </w:r>
          </w:p>
        </w:tc>
        <w:tc>
          <w:tcPr>
            <w:tcW w:w="2207" w:type="dxa"/>
            <w:gridSpan w:val="3"/>
            <w:tcBorders/>
            <w:shd w:fill="FFFFFF" w:val="clear"/>
            <w:vAlign w:val="bottom"/>
          </w:tcPr>
          <w:p>
            <w:pPr>
              <w:pStyle w:val="TableContents"/>
              <w:spacing w:before="0" w:after="0"/>
              <w:jc w:val="center"/>
              <w:rPr>
                <w:rFonts w:ascii="Arial" w:hAnsi="Arial"/>
                <w:b/>
              </w:rPr>
            </w:pPr>
            <w:r>
              <w:rPr>
                <w:rFonts w:ascii="Arial" w:hAnsi="Arial"/>
                <w:b/>
              </w:rPr>
              <w:t>Maximum</w:t>
              <w:br/>
              <w:t>Potential</w:t>
              <w:br/>
              <w:t>Future</w:t>
              <w:br/>
              <w:t>Payments</w:t>
            </w:r>
          </w:p>
          <w:p>
            <w:pPr>
              <w:pStyle w:val="HorizontalLine"/>
              <w:pBdr>
                <w:bottom w:val="single" w:sz="6" w:space="0" w:color="000000"/>
              </w:pBdr>
              <w:spacing w:before="0" w:after="283"/>
              <w:rPr/>
            </w:pPr>
            <w:r>
              <w:rPr/>
            </w:r>
          </w:p>
        </w:tc>
      </w:tr>
      <w:tr>
        <w:trPr/>
        <w:tc>
          <w:tcPr>
            <w:tcW w:w="1314" w:type="dxa"/>
            <w:tcBorders/>
            <w:shd w:fill="FFFFFF" w:val="clear"/>
            <w:vAlign w:val="center"/>
          </w:tcPr>
          <w:p>
            <w:pPr>
              <w:pStyle w:val="TableContents"/>
              <w:spacing w:before="0" w:after="283"/>
              <w:rPr/>
            </w:pPr>
            <w:r>
              <w:rPr/>
              <w:t> </w:t>
            </w:r>
          </w:p>
        </w:tc>
        <w:tc>
          <w:tcPr>
            <w:tcW w:w="6280" w:type="dxa"/>
            <w:tcBorders/>
            <w:shd w:fill="FFFFFF" w:val="clear"/>
            <w:vAlign w:val="center"/>
          </w:tcPr>
          <w:p>
            <w:pPr>
              <w:pStyle w:val="TableContents"/>
              <w:spacing w:before="0" w:after="283"/>
              <w:rPr/>
            </w:pPr>
            <w:r>
              <w:rPr/>
              <w:t> </w:t>
            </w:r>
          </w:p>
        </w:tc>
        <w:tc>
          <w:tcPr>
            <w:tcW w:w="404" w:type="dxa"/>
            <w:tcBorders/>
            <w:shd w:fill="FFFFFF" w:val="clear"/>
            <w:vAlign w:val="center"/>
          </w:tcPr>
          <w:p>
            <w:pPr>
              <w:pStyle w:val="TableContents"/>
              <w:spacing w:before="0" w:after="283"/>
              <w:rPr/>
            </w:pPr>
            <w:r>
              <w:rPr/>
              <w:t> </w:t>
            </w:r>
          </w:p>
        </w:tc>
        <w:tc>
          <w:tcPr>
            <w:tcW w:w="2207" w:type="dxa"/>
            <w:gridSpan w:val="3"/>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1314" w:type="dxa"/>
            <w:tcBorders/>
            <w:shd w:fill="FFFFFF" w:val="clear"/>
            <w:vAlign w:val="bottom"/>
          </w:tcPr>
          <w:p>
            <w:pPr>
              <w:pStyle w:val="TableContents"/>
              <w:spacing w:before="0" w:after="283"/>
              <w:jc w:val="left"/>
              <w:rPr/>
            </w:pPr>
            <w:r>
              <w:rPr/>
              <w:t>             </w:t>
            </w:r>
          </w:p>
        </w:tc>
        <w:tc>
          <w:tcPr>
            <w:tcW w:w="6280" w:type="dxa"/>
            <w:tcBorders/>
            <w:shd w:fill="FFFFFF" w:val="clear"/>
            <w:vAlign w:val="bottom"/>
          </w:tcPr>
          <w:p>
            <w:pPr>
              <w:pStyle w:val="TableContents"/>
              <w:spacing w:before="0" w:after="283"/>
              <w:jc w:val="left"/>
              <w:rPr>
                <w:rFonts w:ascii="Arial" w:hAnsi="Arial"/>
              </w:rPr>
            </w:pPr>
            <w:r>
              <w:rPr>
                <w:rFonts w:ascii="Arial" w:hAnsi="Arial"/>
              </w:rPr>
              <w:t>Operating lease residual values</w:t>
            </w:r>
          </w:p>
        </w:tc>
        <w:tc>
          <w:tcPr>
            <w:tcW w:w="404" w:type="dxa"/>
            <w:tcBorders/>
            <w:shd w:fill="FFFFFF" w:val="clear"/>
            <w:vAlign w:val="bottom"/>
          </w:tcPr>
          <w:p>
            <w:pPr>
              <w:pStyle w:val="TableContents"/>
              <w:spacing w:before="0" w:after="283"/>
              <w:jc w:val="right"/>
              <w:rPr/>
            </w:pPr>
            <w:r>
              <w:rPr/>
              <w:t>    </w:t>
            </w:r>
          </w:p>
        </w:tc>
        <w:tc>
          <w:tcPr>
            <w:tcW w:w="678" w:type="dxa"/>
            <w:tcBorders/>
            <w:shd w:fill="FFFFFF" w:val="clear"/>
            <w:vAlign w:val="bottom"/>
          </w:tcPr>
          <w:p>
            <w:pPr>
              <w:pStyle w:val="TableContents"/>
              <w:spacing w:before="0" w:after="283"/>
              <w:jc w:val="right"/>
              <w:rPr>
                <w:rFonts w:ascii="Arial" w:hAnsi="Arial"/>
              </w:rPr>
            </w:pPr>
            <w:r>
              <w:rPr>
                <w:rFonts w:ascii="Arial" w:hAnsi="Arial"/>
              </w:rPr>
              <w:t>$</w:t>
            </w:r>
          </w:p>
        </w:tc>
        <w:tc>
          <w:tcPr>
            <w:tcW w:w="1267" w:type="dxa"/>
            <w:tcBorders/>
            <w:shd w:fill="FFFFFF" w:val="clear"/>
            <w:vAlign w:val="bottom"/>
          </w:tcPr>
          <w:p>
            <w:pPr>
              <w:pStyle w:val="TableContents"/>
              <w:spacing w:before="0" w:after="283"/>
              <w:jc w:val="right"/>
              <w:rPr>
                <w:rFonts w:ascii="Arial" w:hAnsi="Arial"/>
              </w:rPr>
            </w:pPr>
            <w:r>
              <w:rPr>
                <w:rFonts w:ascii="Arial" w:hAnsi="Arial"/>
              </w:rPr>
              <w:t>38</w:t>
            </w:r>
          </w:p>
        </w:tc>
        <w:tc>
          <w:tcPr>
            <w:tcW w:w="262" w:type="dxa"/>
            <w:tcBorders/>
            <w:shd w:fill="FFFFFF" w:val="clear"/>
            <w:vAlign w:val="center"/>
          </w:tcPr>
          <w:p>
            <w:pPr>
              <w:pStyle w:val="TableContents"/>
              <w:spacing w:before="0" w:after="283"/>
              <w:rPr/>
            </w:pPr>
            <w:r>
              <w:rPr/>
              <w:t> </w:t>
            </w:r>
          </w:p>
        </w:tc>
      </w:tr>
      <w:tr>
        <w:trPr/>
        <w:tc>
          <w:tcPr>
            <w:tcW w:w="1314" w:type="dxa"/>
            <w:tcBorders/>
            <w:shd w:fill="E5FFFF" w:val="clear"/>
            <w:vAlign w:val="bottom"/>
          </w:tcPr>
          <w:p>
            <w:pPr>
              <w:pStyle w:val="TableContents"/>
              <w:spacing w:before="0" w:after="283"/>
              <w:jc w:val="left"/>
              <w:rPr/>
            </w:pPr>
            <w:r>
              <w:rPr/>
              <w:t>             </w:t>
            </w:r>
          </w:p>
        </w:tc>
        <w:tc>
          <w:tcPr>
            <w:tcW w:w="6280" w:type="dxa"/>
            <w:tcBorders/>
            <w:shd w:fill="E5FFFF" w:val="clear"/>
            <w:vAlign w:val="bottom"/>
          </w:tcPr>
          <w:p>
            <w:pPr>
              <w:pStyle w:val="TableContents"/>
              <w:spacing w:before="0" w:after="283"/>
              <w:jc w:val="left"/>
              <w:rPr>
                <w:rFonts w:ascii="Arial" w:hAnsi="Arial"/>
              </w:rPr>
            </w:pPr>
            <w:r>
              <w:rPr>
                <w:rFonts w:ascii="Arial" w:hAnsi="Arial"/>
              </w:rPr>
              <w:t>Other third parties' financing</w:t>
            </w:r>
          </w:p>
        </w:tc>
        <w:tc>
          <w:tcPr>
            <w:tcW w:w="404" w:type="dxa"/>
            <w:tcBorders/>
            <w:shd w:fill="E5FFFF" w:val="clear"/>
            <w:vAlign w:val="bottom"/>
          </w:tcPr>
          <w:p>
            <w:pPr>
              <w:pStyle w:val="TableContents"/>
              <w:spacing w:before="0" w:after="283"/>
              <w:jc w:val="right"/>
              <w:rPr/>
            </w:pPr>
            <w:r>
              <w:rPr/>
              <w:t>    </w:t>
            </w:r>
          </w:p>
        </w:tc>
        <w:tc>
          <w:tcPr>
            <w:tcW w:w="678" w:type="dxa"/>
            <w:tcBorders/>
            <w:shd w:fill="E5FFFF" w:val="clear"/>
            <w:vAlign w:val="center"/>
          </w:tcPr>
          <w:p>
            <w:pPr>
              <w:pStyle w:val="TableContents"/>
              <w:spacing w:before="0" w:after="283"/>
              <w:rPr/>
            </w:pPr>
            <w:r>
              <w:rPr/>
              <w:t> </w:t>
            </w:r>
          </w:p>
        </w:tc>
        <w:tc>
          <w:tcPr>
            <w:tcW w:w="1267" w:type="dxa"/>
            <w:tcBorders/>
            <w:shd w:fill="E5FFFF" w:val="clear"/>
            <w:vAlign w:val="bottom"/>
          </w:tcPr>
          <w:p>
            <w:pPr>
              <w:pStyle w:val="TableContents"/>
              <w:spacing w:before="0" w:after="283"/>
              <w:jc w:val="right"/>
              <w:rPr>
                <w:rFonts w:ascii="Arial" w:hAnsi="Arial"/>
              </w:rPr>
            </w:pPr>
            <w:r>
              <w:rPr>
                <w:rFonts w:ascii="Arial" w:hAnsi="Arial"/>
              </w:rPr>
              <w:t>6</w:t>
            </w:r>
          </w:p>
        </w:tc>
        <w:tc>
          <w:tcPr>
            <w:tcW w:w="262" w:type="dxa"/>
            <w:tcBorders/>
            <w:shd w:fill="E5FFFF" w:val="clear"/>
            <w:vAlign w:val="center"/>
          </w:tcPr>
          <w:p>
            <w:pPr>
              <w:pStyle w:val="TableContents"/>
              <w:spacing w:before="0" w:after="283"/>
              <w:rPr/>
            </w:pPr>
            <w:r>
              <w:rPr/>
              <w:t> </w:t>
            </w:r>
          </w:p>
        </w:tc>
      </w:tr>
      <w:tr>
        <w:trPr/>
        <w:tc>
          <w:tcPr>
            <w:tcW w:w="1314" w:type="dxa"/>
            <w:tcBorders/>
            <w:shd w:fill="FFFFFF" w:val="clear"/>
            <w:vAlign w:val="bottom"/>
          </w:tcPr>
          <w:p>
            <w:pPr>
              <w:pStyle w:val="TableContents"/>
              <w:spacing w:before="0" w:after="283"/>
              <w:jc w:val="left"/>
              <w:rPr/>
            </w:pPr>
            <w:r>
              <w:rPr/>
              <w:t>             </w:t>
            </w:r>
          </w:p>
        </w:tc>
        <w:tc>
          <w:tcPr>
            <w:tcW w:w="6280" w:type="dxa"/>
            <w:tcBorders/>
            <w:shd w:fill="FFFFFF" w:val="clear"/>
            <w:vAlign w:val="bottom"/>
          </w:tcPr>
          <w:p>
            <w:pPr>
              <w:pStyle w:val="TableContents"/>
              <w:spacing w:before="0" w:after="283"/>
              <w:jc w:val="left"/>
              <w:rPr>
                <w:rFonts w:ascii="Arial" w:hAnsi="Arial"/>
              </w:rPr>
            </w:pPr>
            <w:r>
              <w:rPr>
                <w:rFonts w:ascii="Arial" w:hAnsi="Arial"/>
              </w:rPr>
              <w:t>Unconsolidated affiliates' financing</w:t>
            </w:r>
          </w:p>
        </w:tc>
        <w:tc>
          <w:tcPr>
            <w:tcW w:w="404" w:type="dxa"/>
            <w:tcBorders/>
            <w:shd w:fill="FFFFFF" w:val="clear"/>
            <w:vAlign w:val="bottom"/>
          </w:tcPr>
          <w:p>
            <w:pPr>
              <w:pStyle w:val="TableContents"/>
              <w:spacing w:before="0" w:after="283"/>
              <w:jc w:val="right"/>
              <w:rPr/>
            </w:pPr>
            <w:r>
              <w:rPr/>
              <w:t>    </w:t>
            </w:r>
          </w:p>
        </w:tc>
        <w:tc>
          <w:tcPr>
            <w:tcW w:w="678" w:type="dxa"/>
            <w:tcBorders/>
            <w:shd w:fill="FFFFFF" w:val="clear"/>
            <w:vAlign w:val="center"/>
          </w:tcPr>
          <w:p>
            <w:pPr>
              <w:pStyle w:val="TableContents"/>
              <w:spacing w:before="0" w:after="283"/>
              <w:rPr/>
            </w:pPr>
            <w:r>
              <w:rPr/>
              <w:t> </w:t>
            </w:r>
          </w:p>
        </w:tc>
        <w:tc>
          <w:tcPr>
            <w:tcW w:w="1267" w:type="dxa"/>
            <w:tcBorders/>
            <w:shd w:fill="FFFFFF" w:val="clear"/>
            <w:vAlign w:val="bottom"/>
          </w:tcPr>
          <w:p>
            <w:pPr>
              <w:pStyle w:val="TableContents"/>
              <w:spacing w:before="0" w:after="283"/>
              <w:jc w:val="right"/>
              <w:rPr>
                <w:rFonts w:ascii="Arial" w:hAnsi="Arial"/>
              </w:rPr>
            </w:pPr>
            <w:r>
              <w:rPr>
                <w:rFonts w:ascii="Arial" w:hAnsi="Arial"/>
              </w:rPr>
              <w:t>9</w:t>
            </w:r>
          </w:p>
        </w:tc>
        <w:tc>
          <w:tcPr>
            <w:tcW w:w="262" w:type="dxa"/>
            <w:tcBorders/>
            <w:shd w:fill="FFFFFF" w:val="clear"/>
            <w:vAlign w:val="center"/>
          </w:tcPr>
          <w:p>
            <w:pPr>
              <w:pStyle w:val="TableContents"/>
              <w:spacing w:before="0" w:after="283"/>
              <w:rPr/>
            </w:pPr>
            <w:r>
              <w:rPr/>
              <w:t> </w:t>
            </w:r>
          </w:p>
        </w:tc>
      </w:tr>
      <w:tr>
        <w:trPr/>
        <w:tc>
          <w:tcPr>
            <w:tcW w:w="1314" w:type="dxa"/>
            <w:tcBorders/>
            <w:shd w:fill="E5FFFF" w:val="clear"/>
            <w:vAlign w:val="bottom"/>
          </w:tcPr>
          <w:p>
            <w:pPr>
              <w:pStyle w:val="TableContents"/>
              <w:spacing w:before="0" w:after="283"/>
              <w:jc w:val="left"/>
              <w:rPr/>
            </w:pPr>
            <w:r>
              <w:rPr/>
              <w:t>             </w:t>
            </w:r>
          </w:p>
        </w:tc>
        <w:tc>
          <w:tcPr>
            <w:tcW w:w="6280" w:type="dxa"/>
            <w:tcBorders/>
            <w:shd w:fill="E5FFFF" w:val="clear"/>
            <w:vAlign w:val="bottom"/>
          </w:tcPr>
          <w:p>
            <w:pPr>
              <w:pStyle w:val="TableContents"/>
              <w:spacing w:before="0" w:after="283"/>
              <w:jc w:val="left"/>
              <w:rPr>
                <w:rFonts w:ascii="Arial" w:hAnsi="Arial"/>
              </w:rPr>
            </w:pPr>
            <w:r>
              <w:rPr>
                <w:rFonts w:ascii="Arial" w:hAnsi="Arial"/>
              </w:rPr>
              <w:t>Customer financing</w:t>
            </w:r>
          </w:p>
        </w:tc>
        <w:tc>
          <w:tcPr>
            <w:tcW w:w="404" w:type="dxa"/>
            <w:tcBorders/>
            <w:shd w:fill="E5FFFF" w:val="clear"/>
            <w:vAlign w:val="bottom"/>
          </w:tcPr>
          <w:p>
            <w:pPr>
              <w:pStyle w:val="TableContents"/>
              <w:spacing w:before="0" w:after="283"/>
              <w:jc w:val="right"/>
              <w:rPr/>
            </w:pPr>
            <w:r>
              <w:rPr/>
              <w:t>    </w:t>
            </w:r>
          </w:p>
        </w:tc>
        <w:tc>
          <w:tcPr>
            <w:tcW w:w="678" w:type="dxa"/>
            <w:tcBorders/>
            <w:shd w:fill="E5FFFF" w:val="clear"/>
            <w:vAlign w:val="center"/>
          </w:tcPr>
          <w:p>
            <w:pPr>
              <w:pStyle w:val="TableContents"/>
              <w:spacing w:before="0" w:after="283"/>
              <w:rPr/>
            </w:pPr>
            <w:r>
              <w:rPr/>
              <w:t> </w:t>
            </w:r>
          </w:p>
        </w:tc>
        <w:tc>
          <w:tcPr>
            <w:tcW w:w="1267" w:type="dxa"/>
            <w:tcBorders/>
            <w:shd w:fill="E5FFFF" w:val="clear"/>
            <w:vAlign w:val="bottom"/>
          </w:tcPr>
          <w:p>
            <w:pPr>
              <w:pStyle w:val="TableContents"/>
              <w:spacing w:before="0" w:after="283"/>
              <w:jc w:val="right"/>
              <w:rPr>
                <w:rFonts w:ascii="Arial" w:hAnsi="Arial"/>
              </w:rPr>
            </w:pPr>
            <w:r>
              <w:rPr>
                <w:rFonts w:ascii="Arial" w:hAnsi="Arial"/>
              </w:rPr>
              <w:t>22</w:t>
            </w:r>
          </w:p>
        </w:tc>
        <w:tc>
          <w:tcPr>
            <w:tcW w:w="262" w:type="dxa"/>
            <w:tcBorders/>
            <w:shd w:fill="E5FFFF" w:val="clear"/>
            <w:vAlign w:val="center"/>
          </w:tcPr>
          <w:p>
            <w:pPr>
              <w:pStyle w:val="TableContents"/>
              <w:spacing w:before="0" w:after="283"/>
              <w:rPr/>
            </w:pPr>
            <w:r>
              <w:rPr/>
              <w:t> </w:t>
            </w:r>
          </w:p>
        </w:tc>
      </w:tr>
      <w:tr>
        <w:trPr/>
        <w:tc>
          <w:tcPr>
            <w:tcW w:w="1314" w:type="dxa"/>
            <w:tcBorders/>
            <w:shd w:fill="FFFFFF" w:val="clear"/>
            <w:vAlign w:val="center"/>
          </w:tcPr>
          <w:p>
            <w:pPr>
              <w:pStyle w:val="TableContents"/>
              <w:spacing w:before="0" w:after="283"/>
              <w:rPr/>
            </w:pPr>
            <w:r>
              <w:rPr/>
              <w:t> </w:t>
            </w:r>
          </w:p>
        </w:tc>
        <w:tc>
          <w:tcPr>
            <w:tcW w:w="6280" w:type="dxa"/>
            <w:tcBorders/>
            <w:shd w:fill="FFFFFF" w:val="clear"/>
            <w:vAlign w:val="center"/>
          </w:tcPr>
          <w:p>
            <w:pPr>
              <w:pStyle w:val="TableContents"/>
              <w:spacing w:before="0" w:after="283"/>
              <w:rPr/>
            </w:pPr>
            <w:r>
              <w:rPr/>
              <w:t> </w:t>
            </w:r>
          </w:p>
        </w:tc>
        <w:tc>
          <w:tcPr>
            <w:tcW w:w="404" w:type="dxa"/>
            <w:tcBorders/>
            <w:shd w:fill="FFFFFF" w:val="clear"/>
            <w:vAlign w:val="bottom"/>
          </w:tcPr>
          <w:p>
            <w:pPr>
              <w:pStyle w:val="TableContents"/>
              <w:spacing w:before="0" w:after="283"/>
              <w:jc w:val="right"/>
              <w:rPr/>
            </w:pPr>
            <w:r>
              <w:rPr/>
              <w:t>    </w:t>
            </w:r>
          </w:p>
        </w:tc>
        <w:tc>
          <w:tcPr>
            <w:tcW w:w="678" w:type="dxa"/>
            <w:tcBorders/>
            <w:shd w:fill="FFFFFF" w:val="clear"/>
            <w:vAlign w:val="center"/>
          </w:tcPr>
          <w:p>
            <w:pPr>
              <w:pStyle w:val="TableContents"/>
              <w:spacing w:before="0" w:after="283"/>
              <w:rPr/>
            </w:pPr>
            <w:r>
              <w:rPr/>
              <w:t> </w:t>
            </w:r>
          </w:p>
        </w:tc>
        <w:tc>
          <w:tcPr>
            <w:tcW w:w="1267" w:type="dxa"/>
            <w:tcBorders/>
            <w:shd w:fill="FFFFFF" w:val="clear"/>
            <w:vAlign w:val="bottom"/>
          </w:tcPr>
          <w:p>
            <w:pPr>
              <w:pStyle w:val="HorizontalLine"/>
              <w:pBdr>
                <w:bottom w:val="single" w:sz="6" w:space="0" w:color="000000"/>
              </w:pBdr>
              <w:spacing w:before="0" w:after="283"/>
              <w:rPr/>
            </w:pPr>
            <w:r>
              <w:rPr/>
            </w:r>
          </w:p>
        </w:tc>
        <w:tc>
          <w:tcPr>
            <w:tcW w:w="262" w:type="dxa"/>
            <w:tcBorders/>
            <w:shd w:fill="FFFFFF" w:val="clear"/>
            <w:vAlign w:val="center"/>
          </w:tcPr>
          <w:p>
            <w:pPr>
              <w:pStyle w:val="TableContents"/>
              <w:spacing w:before="0" w:after="283"/>
              <w:rPr/>
            </w:pPr>
            <w:r>
              <w:rPr/>
              <w:t> </w:t>
            </w:r>
          </w:p>
        </w:tc>
      </w:tr>
      <w:tr>
        <w:trPr/>
        <w:tc>
          <w:tcPr>
            <w:tcW w:w="1314" w:type="dxa"/>
            <w:tcBorders/>
            <w:shd w:fill="E5FFFF" w:val="clear"/>
            <w:vAlign w:val="bottom"/>
          </w:tcPr>
          <w:p>
            <w:pPr>
              <w:pStyle w:val="TableContents"/>
              <w:spacing w:before="0" w:after="283"/>
              <w:jc w:val="left"/>
              <w:rPr/>
            </w:pPr>
            <w:r>
              <w:rPr/>
              <w:t>             </w:t>
            </w:r>
          </w:p>
        </w:tc>
        <w:tc>
          <w:tcPr>
            <w:tcW w:w="6280" w:type="dxa"/>
            <w:tcBorders/>
            <w:shd w:fill="E5FFFF" w:val="clear"/>
            <w:vAlign w:val="bottom"/>
          </w:tcPr>
          <w:p>
            <w:pPr>
              <w:pStyle w:val="TableContents"/>
              <w:spacing w:before="0" w:after="283"/>
              <w:rPr>
                <w:sz w:val="4"/>
                <w:szCs w:val="4"/>
              </w:rPr>
            </w:pPr>
            <w:r>
              <w:rPr>
                <w:sz w:val="4"/>
                <w:szCs w:val="4"/>
              </w:rPr>
            </w:r>
          </w:p>
        </w:tc>
        <w:tc>
          <w:tcPr>
            <w:tcW w:w="404" w:type="dxa"/>
            <w:tcBorders/>
            <w:shd w:fill="E5FFFF" w:val="clear"/>
            <w:vAlign w:val="bottom"/>
          </w:tcPr>
          <w:p>
            <w:pPr>
              <w:pStyle w:val="TableContents"/>
              <w:spacing w:before="0" w:after="283"/>
              <w:jc w:val="right"/>
              <w:rPr/>
            </w:pPr>
            <w:r>
              <w:rPr/>
              <w:t>    </w:t>
            </w:r>
          </w:p>
        </w:tc>
        <w:tc>
          <w:tcPr>
            <w:tcW w:w="678" w:type="dxa"/>
            <w:tcBorders/>
            <w:shd w:fill="E5FFFF" w:val="clear"/>
            <w:vAlign w:val="bottom"/>
          </w:tcPr>
          <w:p>
            <w:pPr>
              <w:pStyle w:val="TableContents"/>
              <w:spacing w:before="0" w:after="283"/>
              <w:jc w:val="right"/>
              <w:rPr>
                <w:rFonts w:ascii="Arial" w:hAnsi="Arial"/>
              </w:rPr>
            </w:pPr>
            <w:r>
              <w:rPr>
                <w:rFonts w:ascii="Arial" w:hAnsi="Arial"/>
              </w:rPr>
              <w:t>$</w:t>
            </w:r>
          </w:p>
        </w:tc>
        <w:tc>
          <w:tcPr>
            <w:tcW w:w="1267" w:type="dxa"/>
            <w:tcBorders/>
            <w:shd w:fill="E5FFFF" w:val="clear"/>
            <w:vAlign w:val="bottom"/>
          </w:tcPr>
          <w:p>
            <w:pPr>
              <w:pStyle w:val="TableContents"/>
              <w:spacing w:before="0" w:after="283"/>
              <w:jc w:val="right"/>
              <w:rPr>
                <w:rFonts w:ascii="Arial" w:hAnsi="Arial"/>
              </w:rPr>
            </w:pPr>
            <w:r>
              <w:rPr>
                <w:rFonts w:ascii="Arial" w:hAnsi="Arial"/>
              </w:rPr>
              <w:t>75</w:t>
            </w:r>
          </w:p>
        </w:tc>
        <w:tc>
          <w:tcPr>
            <w:tcW w:w="262" w:type="dxa"/>
            <w:tcBorders/>
            <w:shd w:fill="E5FFFF" w:val="clear"/>
            <w:vAlign w:val="center"/>
          </w:tcPr>
          <w:p>
            <w:pPr>
              <w:pStyle w:val="TableContents"/>
              <w:spacing w:before="0" w:after="283"/>
              <w:rPr/>
            </w:pPr>
            <w:r>
              <w:rPr/>
              <w:t> </w:t>
            </w:r>
          </w:p>
        </w:tc>
      </w:tr>
      <w:tr>
        <w:trPr/>
        <w:tc>
          <w:tcPr>
            <w:tcW w:w="1314" w:type="dxa"/>
            <w:tcBorders/>
            <w:shd w:fill="FFFFFF" w:val="clear"/>
            <w:vAlign w:val="center"/>
          </w:tcPr>
          <w:p>
            <w:pPr>
              <w:pStyle w:val="TableContents"/>
              <w:spacing w:before="0" w:after="283"/>
              <w:rPr/>
            </w:pPr>
            <w:r>
              <w:rPr/>
              <w:t> </w:t>
            </w:r>
          </w:p>
        </w:tc>
        <w:tc>
          <w:tcPr>
            <w:tcW w:w="6280" w:type="dxa"/>
            <w:tcBorders/>
            <w:shd w:fill="FFFFFF" w:val="clear"/>
            <w:vAlign w:val="center"/>
          </w:tcPr>
          <w:p>
            <w:pPr>
              <w:pStyle w:val="TableContents"/>
              <w:spacing w:before="0" w:after="283"/>
              <w:rPr/>
            </w:pPr>
            <w:r>
              <w:rPr/>
              <w:t> </w:t>
            </w:r>
          </w:p>
        </w:tc>
        <w:tc>
          <w:tcPr>
            <w:tcW w:w="404" w:type="dxa"/>
            <w:tcBorders/>
            <w:shd w:fill="FFFFFF" w:val="clear"/>
            <w:vAlign w:val="bottom"/>
          </w:tcPr>
          <w:p>
            <w:pPr>
              <w:pStyle w:val="TableContents"/>
              <w:spacing w:before="0" w:after="283"/>
              <w:jc w:val="right"/>
              <w:rPr/>
            </w:pPr>
            <w:r>
              <w:rPr/>
              <w:t>    </w:t>
            </w:r>
          </w:p>
        </w:tc>
        <w:tc>
          <w:tcPr>
            <w:tcW w:w="678" w:type="dxa"/>
            <w:tcBorders/>
            <w:shd w:fill="FFFFFF" w:val="clear"/>
            <w:vAlign w:val="center"/>
          </w:tcPr>
          <w:p>
            <w:pPr>
              <w:pStyle w:val="TableContents"/>
              <w:spacing w:before="0" w:after="283"/>
              <w:rPr/>
            </w:pPr>
            <w:r>
              <w:rPr/>
              <w:t> </w:t>
            </w:r>
          </w:p>
        </w:tc>
        <w:tc>
          <w:tcPr>
            <w:tcW w:w="1267" w:type="dxa"/>
            <w:tcBorders/>
            <w:shd w:fill="FFFFFF" w:val="clear"/>
            <w:vAlign w:val="bottom"/>
          </w:tcPr>
          <w:p>
            <w:pPr>
              <w:pStyle w:val="HorizontalLine"/>
              <w:pBdr>
                <w:bottom w:val="single" w:sz="18" w:space="0" w:color="000000"/>
              </w:pBdr>
              <w:spacing w:before="0" w:after="283"/>
              <w:rPr/>
            </w:pPr>
            <w:r>
              <w:rPr/>
            </w:r>
          </w:p>
        </w:tc>
        <w:tc>
          <w:tcPr>
            <w:tcW w:w="262" w:type="dxa"/>
            <w:tcBorders/>
            <w:shd w:fill="FFFFFF" w:val="clear"/>
            <w:vAlign w:val="center"/>
          </w:tcPr>
          <w:p>
            <w:pPr>
              <w:pStyle w:val="TableContents"/>
              <w:spacing w:before="0" w:after="283"/>
              <w:rPr/>
            </w:pPr>
            <w:r>
              <w:rPr/>
              <w:t> </w:t>
            </w:r>
          </w:p>
        </w:tc>
      </w:tr>
      <w:tr>
        <w:trPr/>
        <w:tc>
          <w:tcPr>
            <w:tcW w:w="1314" w:type="dxa"/>
            <w:tcBorders/>
            <w:shd w:fill="FFFFFF" w:val="clear"/>
            <w:vAlign w:val="bottom"/>
          </w:tcPr>
          <w:p>
            <w:pPr>
              <w:pStyle w:val="TableContents"/>
              <w:spacing w:before="0" w:after="283"/>
              <w:jc w:val="left"/>
              <w:rPr/>
            </w:pPr>
            <w:r>
              <w:rPr/>
              <w:t>             </w:t>
            </w:r>
          </w:p>
        </w:tc>
        <w:tc>
          <w:tcPr>
            <w:tcW w:w="6280" w:type="dxa"/>
            <w:tcBorders/>
            <w:shd w:fill="FFFFFF" w:val="clear"/>
            <w:vAlign w:val="bottom"/>
          </w:tcPr>
          <w:p>
            <w:pPr>
              <w:pStyle w:val="TableContents"/>
              <w:spacing w:before="0" w:after="283"/>
              <w:rPr>
                <w:sz w:val="4"/>
                <w:szCs w:val="4"/>
              </w:rPr>
            </w:pPr>
            <w:r>
              <w:rPr>
                <w:sz w:val="4"/>
                <w:szCs w:val="4"/>
              </w:rPr>
            </w:r>
          </w:p>
        </w:tc>
        <w:tc>
          <w:tcPr>
            <w:tcW w:w="404" w:type="dxa"/>
            <w:tcBorders/>
            <w:shd w:fill="FFFFFF" w:val="clear"/>
            <w:vAlign w:val="center"/>
          </w:tcPr>
          <w:p>
            <w:pPr>
              <w:pStyle w:val="TableContents"/>
              <w:spacing w:before="0" w:after="283"/>
              <w:rPr/>
            </w:pPr>
            <w:r>
              <w:rPr/>
              <w:t> </w:t>
            </w:r>
          </w:p>
        </w:tc>
        <w:tc>
          <w:tcPr>
            <w:tcW w:w="678" w:type="dxa"/>
            <w:tcBorders/>
            <w:shd w:fill="FFFFFF" w:val="clear"/>
            <w:vAlign w:val="center"/>
          </w:tcPr>
          <w:p>
            <w:pPr>
              <w:pStyle w:val="TableContents"/>
              <w:spacing w:before="0" w:after="283"/>
              <w:rPr/>
            </w:pPr>
            <w:r>
              <w:rPr/>
              <w:t> </w:t>
            </w:r>
          </w:p>
        </w:tc>
        <w:tc>
          <w:tcPr>
            <w:tcW w:w="1267" w:type="dxa"/>
            <w:tcBorders/>
            <w:shd w:fill="FFFFFF" w:val="clear"/>
            <w:vAlign w:val="center"/>
          </w:tcPr>
          <w:p>
            <w:pPr>
              <w:pStyle w:val="TableContents"/>
              <w:spacing w:before="0" w:after="283"/>
              <w:rPr/>
            </w:pPr>
            <w:r>
              <w:rPr/>
              <w:t> </w:t>
            </w:r>
          </w:p>
        </w:tc>
        <w:tc>
          <w:tcPr>
            <w:tcW w:w="26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We do not expect that these guarantees will have a material adverse effect on our consolidated results of operations, financial position or liquidity.</w:t>
      </w:r>
    </w:p>
    <w:p>
      <w:pPr>
        <w:pStyle w:val="TextBody"/>
        <w:jc w:val="left"/>
        <w:rPr/>
      </w:pPr>
      <w:r>
        <w:rPr/>
        <w:t>      </w:t>
      </w:r>
      <w:r>
        <w:rPr>
          <w:rFonts w:ascii="Arial" w:hAnsi="Arial"/>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pStyle w:val="TextBody"/>
        <w:jc w:val="left"/>
        <w:rPr/>
      </w:pPr>
      <w:r>
        <w:rPr/>
        <w:t>      </w:t>
      </w:r>
      <w:r>
        <w:rPr>
          <w:rFonts w:ascii="Arial" w:hAnsi="Arial"/>
          <w:b/>
          <w:i/>
        </w:rPr>
        <w:t>Retained Interests in Factored Pools of Trade Accounts Receivables</w:t>
      </w:r>
      <w:r>
        <w:rPr/>
        <w:t>—</w:t>
      </w:r>
      <w:r>
        <w:rPr>
          <w:rFonts w:ascii="Arial" w:hAnsi="Arial"/>
        </w:rPr>
        <w:t>As a source of liquidity, we sell interests in designated pools of trade accounts receivables to third parties. The sold receivables ($500 million at December 31, 2006) are over-collateralized and we retain a subordinated interest in the pool of receivables representing that over-collateralization as well as an undivided interest in the balance of the receivables pools. The over-collateralization provides credit support to the purchasers of the receivable interest by limiting their losses in the event that a portion of the receivables sold becomes uncollectible. At December 31, 2006, our retained subordinated and undivided interests at risk were $171 and $579 million, respectively. Based on the underlying credit quality of the receivables placed into the designated pools of receivables being sold, we do not expect that any losses related to our retained interests at risk will have a material adverse effect on our consolidated results of operations, financial position or liquidity.</w:t>
      </w:r>
    </w:p>
    <w:p>
      <w:pPr>
        <w:pStyle w:val="TextBody"/>
        <w:jc w:val="left"/>
        <w:rPr>
          <w:rFonts w:ascii="Arial" w:hAnsi="Arial"/>
          <w:b/>
        </w:rPr>
      </w:pPr>
      <w:r>
        <w:rPr>
          <w:rFonts w:ascii="Arial" w:hAnsi="Arial"/>
          <w:b/>
        </w:rPr>
        <w:t>Environmental Matters</w:t>
      </w:r>
    </w:p>
    <w:p>
      <w:pPr>
        <w:pStyle w:val="TextBody"/>
        <w:jc w:val="left"/>
        <w:rPr/>
      </w:pPr>
      <w:r>
        <w:rPr/>
        <w:t>      </w:t>
      </w:r>
      <w:r>
        <w:rPr>
          <w:rFonts w:ascii="Arial" w:hAnsi="Arial"/>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or toxic substances are in accord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toxic substances. Additional lawsuits, claims and costs involving environmental matters are likely to continue to arise in the future.</w:t>
      </w:r>
    </w:p>
    <w:p>
      <w:pPr>
        <w:pStyle w:val="TextBody"/>
        <w:jc w:val="left"/>
        <w:rPr/>
      </w:pPr>
      <w:r>
        <w:rPr/>
        <w:t>      </w:t>
      </w:r>
      <w:r>
        <w:rPr>
          <w:rFonts w:ascii="Arial" w:hAnsi="Arial"/>
        </w:rPr>
        <w:t>With respect to environmental matters involving site contamination, we continually conduct studies, individually or jointly with other responsible parties, to determine the feasibility of various remedial techniques to address environmental matters. It is our policy (see Note 1 of Notes to Financial Statements in “Item 8. Financial Statements and Supplementary Data”)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w:t>
      </w:r>
    </w:p>
    <w:p>
      <w:pPr>
        <w:pStyle w:val="TextBody"/>
        <w:jc w:val="center"/>
        <w:rPr>
          <w:rFonts w:ascii="Arial" w:hAnsi="Arial"/>
        </w:rPr>
      </w:pPr>
      <w:r>
        <w:rPr>
          <w:rFonts w:ascii="Arial" w:hAnsi="Arial"/>
        </w:rPr>
        <w:t>37</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accrual.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execution timeframe of projects, remedial techniques to be utilized and agreements with other parties.</w:t>
      </w:r>
    </w:p>
    <w:p>
      <w:pPr>
        <w:pStyle w:val="TextBody"/>
        <w:jc w:val="left"/>
        <w:rPr/>
      </w:pPr>
      <w:r>
        <w:rPr/>
        <w:t>      </w:t>
      </w:r>
      <w:r>
        <w:rPr>
          <w:rFonts w:ascii="Arial" w:hAnsi="Arial"/>
        </w:rPr>
        <w:t>Remedial response and voluntary cleanup payments were $264, $247 and $248 million in 2006, 2005, and 2004, respectively, and are currently estimated to be approximately $250 million in 2007. We expect to fund such expenditures from operating cash flow.</w:t>
      </w:r>
    </w:p>
    <w:p>
      <w:pPr>
        <w:pStyle w:val="TextBody"/>
        <w:jc w:val="left"/>
        <w:rPr/>
      </w:pPr>
      <w:r>
        <w:rPr/>
        <w:t>      </w:t>
      </w:r>
      <w:r>
        <w:rPr>
          <w:rFonts w:ascii="Arial" w:hAnsi="Arial"/>
        </w:rPr>
        <w:t>Remedial response and voluntary cleanup costs charged against pretax earnings were $210, $186 and $536 million in 2006, 2005 and 2004, respectively. At December 31, 2006 and 2005, the recorded liability for environmental matters was $831 and $879 million, respectively. In addition, in 2006 and 2005 we incurred operating costs for ongoing businesses of approximately $101 and $87 million, respectively, relating to compliance with environmental regulations.</w:t>
      </w:r>
    </w:p>
    <w:p>
      <w:pPr>
        <w:pStyle w:val="TextBody"/>
        <w:jc w:val="left"/>
        <w:rPr/>
      </w:pPr>
      <w:r>
        <w:rPr/>
        <w:t>      </w:t>
      </w:r>
      <w:r>
        <w:rPr>
          <w:rFonts w:ascii="Arial" w:hAnsi="Arial"/>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environmental matters will have a material adverse effect on our consolidated financial position.</w:t>
      </w:r>
    </w:p>
    <w:p>
      <w:pPr>
        <w:pStyle w:val="TextBody"/>
        <w:jc w:val="left"/>
        <w:rPr/>
      </w:pPr>
      <w:r>
        <w:rPr/>
        <w:t>      </w:t>
      </w:r>
      <w:r>
        <w:rPr>
          <w:rFonts w:ascii="Arial" w:hAnsi="Arial"/>
        </w:rPr>
        <w:t>See Note 21 to the financial statements for a discussion of our commitments and contingencies, including those related to environmental matters and toxic tort litigation.</w:t>
      </w:r>
    </w:p>
    <w:p>
      <w:pPr>
        <w:pStyle w:val="TextBody"/>
        <w:jc w:val="left"/>
        <w:rPr>
          <w:rFonts w:ascii="Arial" w:hAnsi="Arial"/>
          <w:b/>
        </w:rPr>
      </w:pPr>
      <w:r>
        <w:rPr>
          <w:rFonts w:ascii="Arial" w:hAnsi="Arial"/>
          <w:b/>
        </w:rPr>
        <w:t>Financial Instruments</w:t>
      </w:r>
    </w:p>
    <w:p>
      <w:pPr>
        <w:pStyle w:val="TextBody"/>
        <w:jc w:val="left"/>
        <w:rPr/>
      </w:pPr>
      <w:r>
        <w:rPr/>
        <w:t>      </w:t>
      </w:r>
      <w:r>
        <w:rPr>
          <w:rFonts w:ascii="Arial" w:hAnsi="Arial"/>
        </w:rPr>
        <w:t>As a result of our global operating and financing activities, we are exposed to market risks 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We do not use derivative financial instruments for trading or other speculative purposes and do not use leveraged derivative financial instruments. A summary of our accounting policies for derivative financial instruments is included in Note 1 to the financial statements.</w:t>
      </w:r>
    </w:p>
    <w:p>
      <w:pPr>
        <w:pStyle w:val="TextBody"/>
        <w:jc w:val="left"/>
        <w:rPr/>
      </w:pPr>
      <w:r>
        <w:rPr/>
        <w:t>      </w:t>
      </w:r>
      <w:r>
        <w:rPr>
          <w:rFonts w:ascii="Arial" w:hAnsi="Arial"/>
        </w:rPr>
        <w:t>We conduct our business on a multinational basis in a wide variety of foreign currencies. Our exposure to market risk from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cash flows. We attempt to have all transaction exposures hedged with natural offsets to the fullest extent possible and, once these opportunities have been exhausted, through foreign currency forward and option agreements with third parties. Our principal currency exposures relate to the U.S. dollar, Euro, British pound, the Canadian dollar, the Hong Kong dollar, the Chinese renminbi and the Singapore dollar.</w:t>
      </w:r>
    </w:p>
    <w:p>
      <w:pPr>
        <w:pStyle w:val="TextBody"/>
        <w:jc w:val="left"/>
        <w:rPr/>
      </w:pPr>
      <w:r>
        <w:rPr/>
        <w:t>      </w:t>
      </w:r>
      <w:r>
        <w:rPr>
          <w:rFonts w:ascii="Arial" w:hAnsi="Arial"/>
        </w:rPr>
        <w:t>Our exposure to market risk from changes in interest rates relates primarily to our debt and pension obligations. As described in Notes 14 and 16 to the financial statements, we issue both fixed and variable rate debt and use interest rate swaps to manage our exposure to interest rate movements and reduce overall borrowing costs.</w:t>
      </w:r>
    </w:p>
    <w:p>
      <w:pPr>
        <w:pStyle w:val="TextBody"/>
        <w:jc w:val="left"/>
        <w:rPr/>
      </w:pPr>
      <w:r>
        <w:rPr/>
        <w:t>      </w:t>
      </w:r>
      <w:r>
        <w:rPr>
          <w:rFonts w:ascii="Arial" w:hAnsi="Arial"/>
        </w:rPr>
        <w:t>Financial instruments, including derivatives, expose us to counterparty credit risk for nonperformance and to market risk related to changes in interest or currency exchange rates. We manage our exposure to counterparty credit risk through specific minimum credit standards, diversification of counterparties, and procedures to monitor concentrations of credit risk. Our counterparties are substantial investment and commercial banks with significant experience using such derivative</w:t>
      </w:r>
    </w:p>
    <w:p>
      <w:pPr>
        <w:pStyle w:val="TextBody"/>
        <w:jc w:val="center"/>
        <w:rPr>
          <w:rFonts w:ascii="Arial" w:hAnsi="Arial"/>
        </w:rPr>
      </w:pPr>
      <w:r>
        <w:rPr>
          <w:rFonts w:ascii="Arial" w:hAnsi="Arial"/>
        </w:rPr>
        <w:t>38</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instruments. We monitor the impact of market risk on the fair value and expected future cash flows of our derivative and other financial instruments considering reasonably possible changes in interest and currency exchange rates and restrict the use of derivative financial instruments to hedging activities.</w:t>
      </w:r>
    </w:p>
    <w:p>
      <w:pPr>
        <w:pStyle w:val="TextBody"/>
        <w:jc w:val="left"/>
        <w:rPr/>
      </w:pPr>
      <w:r>
        <w:rPr/>
        <w:t>      </w:t>
      </w:r>
      <w:r>
        <w:rPr>
          <w:rFonts w:ascii="Arial" w:hAnsi="Arial"/>
        </w:rPr>
        <w:t>The following table illustrates the potential change in fair value for interest rate sensitive instruments based on a hypothetical immediate one-percentage-point increase in interest rates across all maturities, the potential change in fair value for foreign exchange rate sensitive instruments based on a 10 percent weakening of the U.S. dollar versus local currency exchange rates across all maturities, and the potential change in fair value of contracts hedging commodity purchases based on a 20 percent decrease in the price of the underlying commodity across all maturities at December 31, 2006 and 2005.</w:t>
      </w:r>
    </w:p>
    <w:tbl>
      <w:tblPr>
        <w:tblW w:w="5000" w:type="pct"/>
        <w:jc w:val="left"/>
        <w:tblInd w:w="0" w:type="dxa"/>
        <w:tblCellMar>
          <w:top w:w="0" w:type="dxa"/>
          <w:left w:w="0" w:type="dxa"/>
          <w:bottom w:w="0" w:type="dxa"/>
          <w:right w:w="0" w:type="dxa"/>
        </w:tblCellMar>
      </w:tblPr>
      <w:tblGrid>
        <w:gridCol w:w="5056"/>
        <w:gridCol w:w="240"/>
        <w:gridCol w:w="160"/>
        <w:gridCol w:w="720"/>
        <w:gridCol w:w="100"/>
        <w:gridCol w:w="240"/>
        <w:gridCol w:w="165"/>
        <w:gridCol w:w="742"/>
        <w:gridCol w:w="103"/>
        <w:gridCol w:w="240"/>
        <w:gridCol w:w="155"/>
        <w:gridCol w:w="697"/>
        <w:gridCol w:w="95"/>
        <w:gridCol w:w="240"/>
        <w:gridCol w:w="258"/>
        <w:gridCol w:w="833"/>
        <w:gridCol w:w="161"/>
      </w:tblGrid>
      <w:tr>
        <w:trPr/>
        <w:tc>
          <w:tcPr>
            <w:tcW w:w="505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80" w:type="dxa"/>
            <w:gridSpan w:val="3"/>
            <w:tcBorders/>
            <w:shd w:fill="FFFFFF" w:val="clear"/>
            <w:vAlign w:val="bottom"/>
          </w:tcPr>
          <w:p>
            <w:pPr>
              <w:pStyle w:val="TableContents"/>
              <w:spacing w:before="0" w:after="0"/>
              <w:jc w:val="center"/>
              <w:rPr>
                <w:rFonts w:ascii="Arial" w:hAnsi="Arial"/>
                <w:b/>
              </w:rPr>
            </w:pPr>
            <w:r>
              <w:rPr>
                <w:rFonts w:ascii="Arial" w:hAnsi="Arial"/>
                <w:b/>
              </w:rPr>
              <w:t>Face or</w:t>
              <w:br/>
              <w:t>Notional</w:t>
              <w:br/>
              <w:t>Amount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10" w:type="dxa"/>
            <w:gridSpan w:val="3"/>
            <w:tcBorders/>
            <w:shd w:fill="FFFFFF" w:val="clear"/>
            <w:vAlign w:val="bottom"/>
          </w:tcPr>
          <w:p>
            <w:pPr>
              <w:pStyle w:val="TableContents"/>
              <w:spacing w:before="0" w:after="0"/>
              <w:jc w:val="center"/>
              <w:rPr>
                <w:rFonts w:ascii="Arial" w:hAnsi="Arial"/>
                <w:b/>
              </w:rPr>
            </w:pPr>
            <w:r>
              <w:rPr>
                <w:rFonts w:ascii="Arial" w:hAnsi="Arial"/>
                <w:b/>
              </w:rPr>
              <w:t>Carrying</w:t>
              <w:br/>
              <w:t>Value(1)</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47" w:type="dxa"/>
            <w:gridSpan w:val="3"/>
            <w:tcBorders/>
            <w:shd w:fill="FFFFFF" w:val="clear"/>
            <w:vAlign w:val="bottom"/>
          </w:tcPr>
          <w:p>
            <w:pPr>
              <w:pStyle w:val="TableContents"/>
              <w:spacing w:before="0" w:after="0"/>
              <w:jc w:val="center"/>
              <w:rPr>
                <w:rFonts w:ascii="Arial" w:hAnsi="Arial"/>
                <w:b/>
              </w:rPr>
            </w:pPr>
            <w:r>
              <w:rPr>
                <w:rFonts w:ascii="Arial" w:hAnsi="Arial"/>
                <w:b/>
              </w:rPr>
              <w:t>Fair</w:t>
              <w:br/>
              <w:t>Value(1)</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252" w:type="dxa"/>
            <w:gridSpan w:val="3"/>
            <w:tcBorders/>
            <w:shd w:fill="FFFFFF" w:val="clear"/>
            <w:vAlign w:val="bottom"/>
          </w:tcPr>
          <w:p>
            <w:pPr>
              <w:pStyle w:val="TableContents"/>
              <w:spacing w:before="0" w:after="0"/>
              <w:jc w:val="center"/>
              <w:rPr>
                <w:rFonts w:ascii="Arial" w:hAnsi="Arial"/>
                <w:b/>
              </w:rPr>
            </w:pPr>
            <w:r>
              <w:rPr>
                <w:rFonts w:ascii="Arial" w:hAnsi="Arial"/>
                <w:b/>
              </w:rPr>
              <w:t>Estimated</w:t>
              <w:br/>
              <w:t>Increase</w:t>
              <w:br/>
              <w:t>(Decrease)</w:t>
              <w:br/>
              <w:t>In Fair</w:t>
              <w:br/>
              <w:t>Value</w:t>
            </w:r>
          </w:p>
          <w:p>
            <w:pPr>
              <w:pStyle w:val="HorizontalLine"/>
              <w:pBdr>
                <w:bottom w:val="single" w:sz="6" w:space="0" w:color="000000"/>
              </w:pBdr>
              <w:spacing w:before="0" w:after="283"/>
              <w:rPr/>
            </w:pPr>
            <w:r>
              <w:rPr/>
            </w:r>
          </w:p>
        </w:tc>
      </w:tr>
      <w:tr>
        <w:trPr/>
        <w:tc>
          <w:tcPr>
            <w:tcW w:w="505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4909" w:type="dxa"/>
            <w:gridSpan w:val="15"/>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5056" w:type="dxa"/>
            <w:tcBorders/>
            <w:shd w:fill="E5FFFF" w:val="clear"/>
            <w:vAlign w:val="bottom"/>
          </w:tcPr>
          <w:p>
            <w:pPr>
              <w:pStyle w:val="TableContents"/>
              <w:spacing w:before="0" w:after="283"/>
              <w:jc w:val="left"/>
              <w:rPr>
                <w:rFonts w:ascii="Arial" w:hAnsi="Arial"/>
                <w:b/>
                <w:u w:val="single"/>
              </w:rPr>
            </w:pPr>
            <w:r>
              <w:rPr>
                <w:rFonts w:ascii="Arial" w:hAnsi="Arial"/>
                <w:b/>
                <w:u w:val="single"/>
              </w:rPr>
              <w:t>December 31, 2006</w:t>
            </w:r>
          </w:p>
        </w:tc>
        <w:tc>
          <w:tcPr>
            <w:tcW w:w="240"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0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58" w:type="dxa"/>
            <w:tcBorders/>
            <w:shd w:fill="E5FFFF" w:val="clear"/>
            <w:vAlign w:val="center"/>
          </w:tcPr>
          <w:p>
            <w:pPr>
              <w:pStyle w:val="TableContents"/>
              <w:spacing w:before="0" w:after="283"/>
              <w:rPr/>
            </w:pPr>
            <w:r>
              <w:rPr/>
              <w:t> </w:t>
            </w:r>
          </w:p>
        </w:tc>
        <w:tc>
          <w:tcPr>
            <w:tcW w:w="833" w:type="dxa"/>
            <w:tcBorders/>
            <w:shd w:fill="E5FFFF" w:val="clear"/>
            <w:vAlign w:val="center"/>
          </w:tcPr>
          <w:p>
            <w:pPr>
              <w:pStyle w:val="TableContents"/>
              <w:spacing w:before="0" w:after="283"/>
              <w:rPr/>
            </w:pPr>
            <w:r>
              <w:rPr/>
              <w:t> </w:t>
            </w:r>
          </w:p>
        </w:tc>
        <w:tc>
          <w:tcPr>
            <w:tcW w:w="161" w:type="dxa"/>
            <w:tcBorders/>
            <w:shd w:fill="E5FFFF" w:val="clear"/>
            <w:vAlign w:val="center"/>
          </w:tcPr>
          <w:p>
            <w:pPr>
              <w:pStyle w:val="TableContents"/>
              <w:spacing w:before="0" w:after="283"/>
              <w:rPr/>
            </w:pPr>
            <w:r>
              <w:rPr/>
              <w:t> </w:t>
            </w:r>
          </w:p>
        </w:tc>
      </w:tr>
      <w:tr>
        <w:trPr/>
        <w:tc>
          <w:tcPr>
            <w:tcW w:w="5056" w:type="dxa"/>
            <w:tcBorders/>
            <w:shd w:fill="FFFFFF" w:val="clear"/>
            <w:vAlign w:val="bottom"/>
          </w:tcPr>
          <w:p>
            <w:pPr>
              <w:pStyle w:val="TableContents"/>
              <w:spacing w:before="0" w:after="283"/>
              <w:jc w:val="left"/>
              <w:rPr>
                <w:rFonts w:ascii="Arial" w:hAnsi="Arial"/>
                <w:b/>
              </w:rPr>
            </w:pPr>
            <w:r>
              <w:rPr>
                <w:rFonts w:ascii="Arial" w:hAnsi="Arial"/>
                <w:b/>
              </w:rPr>
              <w:t>Interest Rate Sensitive Instruments</w:t>
            </w:r>
          </w:p>
        </w:tc>
        <w:tc>
          <w:tcPr>
            <w:tcW w:w="24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r>
      <w:tr>
        <w:trPr/>
        <w:tc>
          <w:tcPr>
            <w:tcW w:w="5056" w:type="dxa"/>
            <w:tcBorders/>
            <w:shd w:fill="E5FFFF" w:val="clear"/>
            <w:vAlign w:val="bottom"/>
          </w:tcPr>
          <w:p>
            <w:pPr>
              <w:pStyle w:val="TableContents"/>
              <w:spacing w:before="0" w:after="283"/>
              <w:jc w:val="left"/>
              <w:rPr>
                <w:rFonts w:ascii="Arial" w:hAnsi="Arial"/>
              </w:rPr>
            </w:pPr>
            <w:r>
              <w:rPr>
                <w:rFonts w:ascii="Arial" w:hAnsi="Arial"/>
              </w:rPr>
              <w:t>Long-term debt (including current maturities)</w:t>
            </w:r>
          </w:p>
        </w:tc>
        <w:tc>
          <w:tcPr>
            <w:tcW w:w="240"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rPr>
            </w:pPr>
            <w:r>
              <w:rPr>
                <w:rFonts w:ascii="Arial" w:hAnsi="Arial"/>
              </w:rPr>
              <w:t>$</w:t>
            </w:r>
          </w:p>
        </w:tc>
        <w:tc>
          <w:tcPr>
            <w:tcW w:w="720" w:type="dxa"/>
            <w:tcBorders/>
            <w:shd w:fill="E5FFFF" w:val="clear"/>
            <w:vAlign w:val="bottom"/>
          </w:tcPr>
          <w:p>
            <w:pPr>
              <w:pStyle w:val="TableContents"/>
              <w:spacing w:before="0" w:after="283"/>
              <w:jc w:val="right"/>
              <w:rPr>
                <w:rFonts w:ascii="Arial" w:hAnsi="Arial"/>
              </w:rPr>
            </w:pPr>
            <w:r>
              <w:rPr>
                <w:rFonts w:ascii="Arial" w:hAnsi="Arial"/>
              </w:rPr>
              <w:t>(4,329</w:t>
            </w:r>
          </w:p>
        </w:tc>
        <w:tc>
          <w:tcPr>
            <w:tcW w:w="100"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bottom"/>
          </w:tcPr>
          <w:p>
            <w:pPr>
              <w:pStyle w:val="TableContents"/>
              <w:spacing w:before="0" w:after="283"/>
              <w:jc w:val="right"/>
              <w:rPr>
                <w:rFonts w:ascii="Arial" w:hAnsi="Arial"/>
              </w:rPr>
            </w:pPr>
            <w:r>
              <w:rPr>
                <w:rFonts w:ascii="Arial" w:hAnsi="Arial"/>
              </w:rPr>
              <w:t>$</w:t>
            </w:r>
          </w:p>
        </w:tc>
        <w:tc>
          <w:tcPr>
            <w:tcW w:w="742" w:type="dxa"/>
            <w:tcBorders/>
            <w:shd w:fill="E5FFFF" w:val="clear"/>
            <w:vAlign w:val="bottom"/>
          </w:tcPr>
          <w:p>
            <w:pPr>
              <w:pStyle w:val="TableContents"/>
              <w:spacing w:before="0" w:after="283"/>
              <w:jc w:val="right"/>
              <w:rPr>
                <w:rFonts w:ascii="Arial" w:hAnsi="Arial"/>
              </w:rPr>
            </w:pPr>
            <w:r>
              <w:rPr>
                <w:rFonts w:ascii="Arial" w:hAnsi="Arial"/>
              </w:rPr>
              <w:t>(4,332</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7" w:type="dxa"/>
            <w:tcBorders/>
            <w:shd w:fill="E5FFFF" w:val="clear"/>
            <w:vAlign w:val="bottom"/>
          </w:tcPr>
          <w:p>
            <w:pPr>
              <w:pStyle w:val="TableContents"/>
              <w:spacing w:before="0" w:after="283"/>
              <w:jc w:val="right"/>
              <w:rPr>
                <w:rFonts w:ascii="Arial" w:hAnsi="Arial"/>
              </w:rPr>
            </w:pPr>
            <w:r>
              <w:rPr>
                <w:rFonts w:ascii="Arial" w:hAnsi="Arial"/>
              </w:rPr>
              <w:t>(4,521</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258" w:type="dxa"/>
            <w:tcBorders/>
            <w:shd w:fill="E5FFFF" w:val="clear"/>
            <w:vAlign w:val="bottom"/>
          </w:tcPr>
          <w:p>
            <w:pPr>
              <w:pStyle w:val="TableContents"/>
              <w:spacing w:before="0" w:after="283"/>
              <w:jc w:val="right"/>
              <w:rPr>
                <w:rFonts w:ascii="Arial" w:hAnsi="Arial"/>
              </w:rPr>
            </w:pPr>
            <w:r>
              <w:rPr>
                <w:rFonts w:ascii="Arial" w:hAnsi="Arial"/>
              </w:rPr>
              <w:t>$</w:t>
            </w:r>
          </w:p>
        </w:tc>
        <w:tc>
          <w:tcPr>
            <w:tcW w:w="833" w:type="dxa"/>
            <w:tcBorders/>
            <w:shd w:fill="E5FFFF" w:val="clear"/>
            <w:vAlign w:val="bottom"/>
          </w:tcPr>
          <w:p>
            <w:pPr>
              <w:pStyle w:val="TableContents"/>
              <w:spacing w:before="0" w:after="283"/>
              <w:jc w:val="right"/>
              <w:rPr>
                <w:rFonts w:ascii="Arial" w:hAnsi="Arial"/>
              </w:rPr>
            </w:pPr>
            <w:r>
              <w:rPr>
                <w:rFonts w:ascii="Arial" w:hAnsi="Arial"/>
              </w:rPr>
              <w:t>(194</w:t>
            </w:r>
          </w:p>
        </w:tc>
        <w:tc>
          <w:tcPr>
            <w:tcW w:w="16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FFFFFF" w:val="clear"/>
            <w:vAlign w:val="bottom"/>
          </w:tcPr>
          <w:p>
            <w:pPr>
              <w:pStyle w:val="TableContents"/>
              <w:spacing w:before="0" w:after="283"/>
              <w:jc w:val="left"/>
              <w:rPr>
                <w:rFonts w:ascii="Arial" w:hAnsi="Arial"/>
              </w:rPr>
            </w:pPr>
            <w:r>
              <w:rPr>
                <w:rFonts w:ascii="Arial" w:hAnsi="Arial"/>
              </w:rPr>
              <w:t>Interest rate swap agreements</w:t>
            </w:r>
          </w:p>
        </w:tc>
        <w:tc>
          <w:tcPr>
            <w:tcW w:w="240"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Arial" w:hAnsi="Arial"/>
              </w:rPr>
            </w:pPr>
            <w:r>
              <w:rPr>
                <w:rFonts w:ascii="Arial" w:hAnsi="Arial"/>
              </w:rPr>
              <w:t>700</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3</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TableContents"/>
              <w:spacing w:before="0" w:after="283"/>
              <w:jc w:val="right"/>
              <w:rPr>
                <w:rFonts w:ascii="Arial" w:hAnsi="Arial"/>
              </w:rPr>
            </w:pPr>
            <w:r>
              <w:rPr>
                <w:rFonts w:ascii="Arial" w:hAnsi="Arial"/>
              </w:rPr>
              <w:t>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(31</w:t>
            </w:r>
          </w:p>
        </w:tc>
        <w:tc>
          <w:tcPr>
            <w:tcW w:w="16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E5FFFF" w:val="clear"/>
            <w:vAlign w:val="bottom"/>
          </w:tcPr>
          <w:p>
            <w:pPr>
              <w:pStyle w:val="TableContents"/>
              <w:spacing w:before="0" w:after="283"/>
              <w:jc w:val="left"/>
              <w:rPr>
                <w:rFonts w:ascii="Arial" w:hAnsi="Arial"/>
                <w:b/>
              </w:rPr>
            </w:pPr>
            <w:r>
              <w:rPr>
                <w:rFonts w:ascii="Arial" w:hAnsi="Arial"/>
                <w:b/>
              </w:rPr>
              <w:t>Foreign Exchange Rate Sensitive Instruments</w:t>
            </w:r>
          </w:p>
        </w:tc>
        <w:tc>
          <w:tcPr>
            <w:tcW w:w="240"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0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58" w:type="dxa"/>
            <w:tcBorders/>
            <w:shd w:fill="E5FFFF" w:val="clear"/>
            <w:vAlign w:val="center"/>
          </w:tcPr>
          <w:p>
            <w:pPr>
              <w:pStyle w:val="TableContents"/>
              <w:spacing w:before="0" w:after="283"/>
              <w:rPr/>
            </w:pPr>
            <w:r>
              <w:rPr/>
              <w:t> </w:t>
            </w:r>
          </w:p>
        </w:tc>
        <w:tc>
          <w:tcPr>
            <w:tcW w:w="833" w:type="dxa"/>
            <w:tcBorders/>
            <w:shd w:fill="E5FFFF" w:val="clear"/>
            <w:vAlign w:val="center"/>
          </w:tcPr>
          <w:p>
            <w:pPr>
              <w:pStyle w:val="TableContents"/>
              <w:spacing w:before="0" w:after="283"/>
              <w:rPr/>
            </w:pPr>
            <w:r>
              <w:rPr/>
              <w:t> </w:t>
            </w:r>
          </w:p>
        </w:tc>
        <w:tc>
          <w:tcPr>
            <w:tcW w:w="161" w:type="dxa"/>
            <w:tcBorders/>
            <w:shd w:fill="E5FFFF" w:val="clear"/>
            <w:vAlign w:val="center"/>
          </w:tcPr>
          <w:p>
            <w:pPr>
              <w:pStyle w:val="TableContents"/>
              <w:spacing w:before="0" w:after="283"/>
              <w:rPr/>
            </w:pPr>
            <w:r>
              <w:rPr/>
              <w:t> </w:t>
            </w:r>
          </w:p>
        </w:tc>
      </w:tr>
      <w:tr>
        <w:trPr/>
        <w:tc>
          <w:tcPr>
            <w:tcW w:w="5056" w:type="dxa"/>
            <w:tcBorders/>
            <w:shd w:fill="FFFFFF" w:val="clear"/>
            <w:vAlign w:val="bottom"/>
          </w:tcPr>
          <w:p>
            <w:pPr>
              <w:pStyle w:val="TableContents"/>
              <w:spacing w:before="0" w:after="283"/>
              <w:jc w:val="left"/>
              <w:rPr>
                <w:rFonts w:ascii="Arial" w:hAnsi="Arial"/>
              </w:rPr>
            </w:pPr>
            <w:r>
              <w:rPr>
                <w:rFonts w:ascii="Arial" w:hAnsi="Arial"/>
              </w:rPr>
              <w:t>Foreign currency exchange contracts(2)</w:t>
            </w:r>
          </w:p>
        </w:tc>
        <w:tc>
          <w:tcPr>
            <w:tcW w:w="240"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Arial" w:hAnsi="Arial"/>
              </w:rPr>
            </w:pPr>
            <w:r>
              <w:rPr>
                <w:rFonts w:ascii="Arial" w:hAnsi="Arial"/>
              </w:rPr>
              <w:t>2,572</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pPr>
            <w:r>
              <w:rPr/>
              <w:t>—</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8</w:t>
            </w:r>
          </w:p>
        </w:tc>
        <w:tc>
          <w:tcPr>
            <w:tcW w:w="161" w:type="dxa"/>
            <w:tcBorders/>
            <w:shd w:fill="FFFFFF" w:val="clear"/>
            <w:vAlign w:val="center"/>
          </w:tcPr>
          <w:p>
            <w:pPr>
              <w:pStyle w:val="TableContents"/>
              <w:spacing w:before="0" w:after="283"/>
              <w:rPr/>
            </w:pPr>
            <w:r>
              <w:rPr/>
              <w:t> </w:t>
            </w:r>
          </w:p>
        </w:tc>
      </w:tr>
      <w:tr>
        <w:trPr/>
        <w:tc>
          <w:tcPr>
            <w:tcW w:w="5056" w:type="dxa"/>
            <w:tcBorders/>
            <w:shd w:fill="E5FFFF" w:val="clear"/>
            <w:vAlign w:val="bottom"/>
          </w:tcPr>
          <w:p>
            <w:pPr>
              <w:pStyle w:val="TableContents"/>
              <w:spacing w:before="0" w:after="283"/>
              <w:jc w:val="left"/>
              <w:rPr>
                <w:rFonts w:ascii="Arial" w:hAnsi="Arial"/>
                <w:b/>
              </w:rPr>
            </w:pPr>
            <w:r>
              <w:rPr>
                <w:rFonts w:ascii="Arial" w:hAnsi="Arial"/>
                <w:b/>
              </w:rPr>
              <w:t>Commodity Price Sensitive Instruments</w:t>
            </w:r>
          </w:p>
        </w:tc>
        <w:tc>
          <w:tcPr>
            <w:tcW w:w="240"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0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58" w:type="dxa"/>
            <w:tcBorders/>
            <w:shd w:fill="E5FFFF" w:val="clear"/>
            <w:vAlign w:val="center"/>
          </w:tcPr>
          <w:p>
            <w:pPr>
              <w:pStyle w:val="TableContents"/>
              <w:spacing w:before="0" w:after="283"/>
              <w:rPr/>
            </w:pPr>
            <w:r>
              <w:rPr/>
              <w:t> </w:t>
            </w:r>
          </w:p>
        </w:tc>
        <w:tc>
          <w:tcPr>
            <w:tcW w:w="833" w:type="dxa"/>
            <w:tcBorders/>
            <w:shd w:fill="E5FFFF" w:val="clear"/>
            <w:vAlign w:val="center"/>
          </w:tcPr>
          <w:p>
            <w:pPr>
              <w:pStyle w:val="TableContents"/>
              <w:spacing w:before="0" w:after="283"/>
              <w:rPr/>
            </w:pPr>
            <w:r>
              <w:rPr/>
              <w:t> </w:t>
            </w:r>
          </w:p>
        </w:tc>
        <w:tc>
          <w:tcPr>
            <w:tcW w:w="161" w:type="dxa"/>
            <w:tcBorders/>
            <w:shd w:fill="E5FFFF" w:val="clear"/>
            <w:vAlign w:val="center"/>
          </w:tcPr>
          <w:p>
            <w:pPr>
              <w:pStyle w:val="TableContents"/>
              <w:spacing w:before="0" w:after="283"/>
              <w:rPr/>
            </w:pPr>
            <w:r>
              <w:rPr/>
              <w:t> </w:t>
            </w:r>
          </w:p>
        </w:tc>
      </w:tr>
      <w:tr>
        <w:trPr/>
        <w:tc>
          <w:tcPr>
            <w:tcW w:w="5056" w:type="dxa"/>
            <w:tcBorders/>
            <w:shd w:fill="FFFFFF" w:val="clear"/>
            <w:vAlign w:val="bottom"/>
          </w:tcPr>
          <w:p>
            <w:pPr>
              <w:pStyle w:val="TableContents"/>
              <w:spacing w:before="0" w:after="283"/>
              <w:jc w:val="left"/>
              <w:rPr>
                <w:rFonts w:ascii="Arial" w:hAnsi="Arial"/>
              </w:rPr>
            </w:pPr>
            <w:r>
              <w:rPr>
                <w:rFonts w:ascii="Arial" w:hAnsi="Arial"/>
              </w:rPr>
              <w:t>Forward commodity contracts(3)</w:t>
            </w:r>
          </w:p>
        </w:tc>
        <w:tc>
          <w:tcPr>
            <w:tcW w:w="240"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Arial" w:hAnsi="Arial"/>
              </w:rPr>
            </w:pPr>
            <w:r>
              <w:rPr>
                <w:rFonts w:ascii="Arial" w:hAnsi="Arial"/>
              </w:rPr>
              <w:t>60</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(9</w:t>
            </w:r>
          </w:p>
        </w:tc>
        <w:tc>
          <w:tcPr>
            <w:tcW w:w="103"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TableContents"/>
              <w:spacing w:before="0" w:after="283"/>
              <w:jc w:val="right"/>
              <w:rPr>
                <w:rFonts w:ascii="Arial" w:hAnsi="Arial"/>
              </w:rPr>
            </w:pPr>
            <w:r>
              <w:rPr>
                <w:rFonts w:ascii="Arial" w:hAnsi="Arial"/>
              </w:rPr>
              <w:t>(9</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(10</w:t>
            </w:r>
          </w:p>
        </w:tc>
        <w:tc>
          <w:tcPr>
            <w:tcW w:w="16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E5FFFF" w:val="clear"/>
            <w:vAlign w:val="bottom"/>
          </w:tcPr>
          <w:p>
            <w:pPr>
              <w:pStyle w:val="TableContents"/>
              <w:spacing w:before="0" w:after="283"/>
              <w:jc w:val="left"/>
              <w:rPr>
                <w:rFonts w:ascii="Arial" w:hAnsi="Arial"/>
                <w:b/>
                <w:u w:val="single"/>
              </w:rPr>
            </w:pPr>
            <w:r>
              <w:rPr>
                <w:rFonts w:ascii="Arial" w:hAnsi="Arial"/>
                <w:b/>
                <w:u w:val="single"/>
              </w:rPr>
              <w:t>December 31, 2005</w:t>
            </w:r>
          </w:p>
        </w:tc>
        <w:tc>
          <w:tcPr>
            <w:tcW w:w="240"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0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58" w:type="dxa"/>
            <w:tcBorders/>
            <w:shd w:fill="E5FFFF" w:val="clear"/>
            <w:vAlign w:val="center"/>
          </w:tcPr>
          <w:p>
            <w:pPr>
              <w:pStyle w:val="TableContents"/>
              <w:spacing w:before="0" w:after="283"/>
              <w:rPr/>
            </w:pPr>
            <w:r>
              <w:rPr/>
              <w:t> </w:t>
            </w:r>
          </w:p>
        </w:tc>
        <w:tc>
          <w:tcPr>
            <w:tcW w:w="833" w:type="dxa"/>
            <w:tcBorders/>
            <w:shd w:fill="E5FFFF" w:val="clear"/>
            <w:vAlign w:val="center"/>
          </w:tcPr>
          <w:p>
            <w:pPr>
              <w:pStyle w:val="TableContents"/>
              <w:spacing w:before="0" w:after="283"/>
              <w:rPr/>
            </w:pPr>
            <w:r>
              <w:rPr/>
              <w:t> </w:t>
            </w:r>
          </w:p>
        </w:tc>
        <w:tc>
          <w:tcPr>
            <w:tcW w:w="161" w:type="dxa"/>
            <w:tcBorders/>
            <w:shd w:fill="E5FFFF" w:val="clear"/>
            <w:vAlign w:val="center"/>
          </w:tcPr>
          <w:p>
            <w:pPr>
              <w:pStyle w:val="TableContents"/>
              <w:spacing w:before="0" w:after="283"/>
              <w:rPr/>
            </w:pPr>
            <w:r>
              <w:rPr/>
              <w:t> </w:t>
            </w:r>
          </w:p>
        </w:tc>
      </w:tr>
      <w:tr>
        <w:trPr/>
        <w:tc>
          <w:tcPr>
            <w:tcW w:w="5056" w:type="dxa"/>
            <w:tcBorders/>
            <w:shd w:fill="FFFFFF" w:val="clear"/>
            <w:vAlign w:val="bottom"/>
          </w:tcPr>
          <w:p>
            <w:pPr>
              <w:pStyle w:val="TableContents"/>
              <w:spacing w:before="0" w:after="283"/>
              <w:jc w:val="left"/>
              <w:rPr>
                <w:rFonts w:ascii="Arial" w:hAnsi="Arial"/>
                <w:b/>
              </w:rPr>
            </w:pPr>
            <w:r>
              <w:rPr>
                <w:rFonts w:ascii="Arial" w:hAnsi="Arial"/>
                <w:b/>
              </w:rPr>
              <w:t>Interest Rate Sensitive Instruments</w:t>
            </w:r>
          </w:p>
        </w:tc>
        <w:tc>
          <w:tcPr>
            <w:tcW w:w="24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r>
      <w:tr>
        <w:trPr/>
        <w:tc>
          <w:tcPr>
            <w:tcW w:w="5056" w:type="dxa"/>
            <w:tcBorders/>
            <w:shd w:fill="E5FFFF" w:val="clear"/>
            <w:vAlign w:val="bottom"/>
          </w:tcPr>
          <w:p>
            <w:pPr>
              <w:pStyle w:val="TableContents"/>
              <w:spacing w:before="0" w:after="283"/>
              <w:jc w:val="left"/>
              <w:rPr>
                <w:rFonts w:ascii="Arial" w:hAnsi="Arial"/>
              </w:rPr>
            </w:pPr>
            <w:r>
              <w:rPr>
                <w:rFonts w:ascii="Arial" w:hAnsi="Arial"/>
              </w:rPr>
              <w:t>Long-term debt (including current maturities)</w:t>
            </w:r>
          </w:p>
        </w:tc>
        <w:tc>
          <w:tcPr>
            <w:tcW w:w="240"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rPr>
            </w:pPr>
            <w:r>
              <w:rPr>
                <w:rFonts w:ascii="Arial" w:hAnsi="Arial"/>
              </w:rPr>
              <w:t>$</w:t>
            </w:r>
          </w:p>
        </w:tc>
        <w:tc>
          <w:tcPr>
            <w:tcW w:w="720" w:type="dxa"/>
            <w:tcBorders/>
            <w:shd w:fill="E5FFFF" w:val="clear"/>
            <w:vAlign w:val="bottom"/>
          </w:tcPr>
          <w:p>
            <w:pPr>
              <w:pStyle w:val="TableContents"/>
              <w:spacing w:before="0" w:after="283"/>
              <w:jc w:val="right"/>
              <w:rPr>
                <w:rFonts w:ascii="Arial" w:hAnsi="Arial"/>
              </w:rPr>
            </w:pPr>
            <w:r>
              <w:rPr>
                <w:rFonts w:ascii="Arial" w:hAnsi="Arial"/>
              </w:rPr>
              <w:t>(4,070</w:t>
            </w:r>
          </w:p>
        </w:tc>
        <w:tc>
          <w:tcPr>
            <w:tcW w:w="100"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bottom"/>
          </w:tcPr>
          <w:p>
            <w:pPr>
              <w:pStyle w:val="TableContents"/>
              <w:spacing w:before="0" w:after="283"/>
              <w:jc w:val="right"/>
              <w:rPr>
                <w:rFonts w:ascii="Arial" w:hAnsi="Arial"/>
              </w:rPr>
            </w:pPr>
            <w:r>
              <w:rPr>
                <w:rFonts w:ascii="Arial" w:hAnsi="Arial"/>
              </w:rPr>
              <w:t>$</w:t>
            </w:r>
          </w:p>
        </w:tc>
        <w:tc>
          <w:tcPr>
            <w:tcW w:w="742" w:type="dxa"/>
            <w:tcBorders/>
            <w:shd w:fill="E5FFFF" w:val="clear"/>
            <w:vAlign w:val="bottom"/>
          </w:tcPr>
          <w:p>
            <w:pPr>
              <w:pStyle w:val="TableContents"/>
              <w:spacing w:before="0" w:after="283"/>
              <w:jc w:val="right"/>
              <w:rPr>
                <w:rFonts w:ascii="Arial" w:hAnsi="Arial"/>
              </w:rPr>
            </w:pPr>
            <w:r>
              <w:rPr>
                <w:rFonts w:ascii="Arial" w:hAnsi="Arial"/>
              </w:rPr>
              <w:t>(4,077</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7" w:type="dxa"/>
            <w:tcBorders/>
            <w:shd w:fill="E5FFFF" w:val="clear"/>
            <w:vAlign w:val="bottom"/>
          </w:tcPr>
          <w:p>
            <w:pPr>
              <w:pStyle w:val="TableContents"/>
              <w:spacing w:before="0" w:after="283"/>
              <w:jc w:val="right"/>
              <w:rPr>
                <w:rFonts w:ascii="Arial" w:hAnsi="Arial"/>
              </w:rPr>
            </w:pPr>
            <w:r>
              <w:rPr>
                <w:rFonts w:ascii="Arial" w:hAnsi="Arial"/>
              </w:rPr>
              <w:t>(4,291</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258" w:type="dxa"/>
            <w:tcBorders/>
            <w:shd w:fill="E5FFFF" w:val="clear"/>
            <w:vAlign w:val="bottom"/>
          </w:tcPr>
          <w:p>
            <w:pPr>
              <w:pStyle w:val="TableContents"/>
              <w:spacing w:before="0" w:after="283"/>
              <w:jc w:val="right"/>
              <w:rPr>
                <w:rFonts w:ascii="Arial" w:hAnsi="Arial"/>
              </w:rPr>
            </w:pPr>
            <w:r>
              <w:rPr>
                <w:rFonts w:ascii="Arial" w:hAnsi="Arial"/>
              </w:rPr>
              <w:t>$</w:t>
            </w:r>
          </w:p>
        </w:tc>
        <w:tc>
          <w:tcPr>
            <w:tcW w:w="833" w:type="dxa"/>
            <w:tcBorders/>
            <w:shd w:fill="E5FFFF" w:val="clear"/>
            <w:vAlign w:val="bottom"/>
          </w:tcPr>
          <w:p>
            <w:pPr>
              <w:pStyle w:val="TableContents"/>
              <w:spacing w:before="0" w:after="283"/>
              <w:jc w:val="right"/>
              <w:rPr>
                <w:rFonts w:ascii="Arial" w:hAnsi="Arial"/>
              </w:rPr>
            </w:pPr>
            <w:r>
              <w:rPr>
                <w:rFonts w:ascii="Arial" w:hAnsi="Arial"/>
              </w:rPr>
              <w:t>(88</w:t>
            </w:r>
          </w:p>
        </w:tc>
        <w:tc>
          <w:tcPr>
            <w:tcW w:w="16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FFFFFF" w:val="clear"/>
            <w:vAlign w:val="bottom"/>
          </w:tcPr>
          <w:p>
            <w:pPr>
              <w:pStyle w:val="TableContents"/>
              <w:spacing w:before="0" w:after="283"/>
              <w:jc w:val="left"/>
              <w:rPr>
                <w:rFonts w:ascii="Arial" w:hAnsi="Arial"/>
              </w:rPr>
            </w:pPr>
            <w:r>
              <w:rPr>
                <w:rFonts w:ascii="Arial" w:hAnsi="Arial"/>
              </w:rPr>
              <w:t>Interest rate swap agreements</w:t>
            </w:r>
          </w:p>
        </w:tc>
        <w:tc>
          <w:tcPr>
            <w:tcW w:w="240"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Arial" w:hAnsi="Arial"/>
              </w:rPr>
            </w:pPr>
            <w:r>
              <w:rPr>
                <w:rFonts w:ascii="Arial" w:hAnsi="Arial"/>
              </w:rPr>
              <w:t>681</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9</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TableContents"/>
              <w:spacing w:before="0" w:after="283"/>
              <w:jc w:val="right"/>
              <w:rPr>
                <w:rFonts w:ascii="Arial" w:hAnsi="Arial"/>
              </w:rPr>
            </w:pPr>
            <w:r>
              <w:rPr>
                <w:rFonts w:ascii="Arial" w:hAnsi="Arial"/>
              </w:rPr>
              <w:t>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(5</w:t>
            </w:r>
          </w:p>
        </w:tc>
        <w:tc>
          <w:tcPr>
            <w:tcW w:w="16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E5FFFF" w:val="clear"/>
            <w:vAlign w:val="bottom"/>
          </w:tcPr>
          <w:p>
            <w:pPr>
              <w:pStyle w:val="TableContents"/>
              <w:spacing w:before="0" w:after="283"/>
              <w:jc w:val="left"/>
              <w:rPr>
                <w:rFonts w:ascii="Arial" w:hAnsi="Arial"/>
                <w:b/>
              </w:rPr>
            </w:pPr>
            <w:r>
              <w:rPr>
                <w:rFonts w:ascii="Arial" w:hAnsi="Arial"/>
                <w:b/>
              </w:rPr>
              <w:t>Foreign Exchange Rate Sensitive Instruments</w:t>
            </w:r>
          </w:p>
        </w:tc>
        <w:tc>
          <w:tcPr>
            <w:tcW w:w="240"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0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58" w:type="dxa"/>
            <w:tcBorders/>
            <w:shd w:fill="E5FFFF" w:val="clear"/>
            <w:vAlign w:val="center"/>
          </w:tcPr>
          <w:p>
            <w:pPr>
              <w:pStyle w:val="TableContents"/>
              <w:spacing w:before="0" w:after="283"/>
              <w:rPr/>
            </w:pPr>
            <w:r>
              <w:rPr/>
              <w:t> </w:t>
            </w:r>
          </w:p>
        </w:tc>
        <w:tc>
          <w:tcPr>
            <w:tcW w:w="833" w:type="dxa"/>
            <w:tcBorders/>
            <w:shd w:fill="E5FFFF" w:val="clear"/>
            <w:vAlign w:val="center"/>
          </w:tcPr>
          <w:p>
            <w:pPr>
              <w:pStyle w:val="TableContents"/>
              <w:spacing w:before="0" w:after="283"/>
              <w:rPr/>
            </w:pPr>
            <w:r>
              <w:rPr/>
              <w:t> </w:t>
            </w:r>
          </w:p>
        </w:tc>
        <w:tc>
          <w:tcPr>
            <w:tcW w:w="161" w:type="dxa"/>
            <w:tcBorders/>
            <w:shd w:fill="E5FFFF" w:val="clear"/>
            <w:vAlign w:val="center"/>
          </w:tcPr>
          <w:p>
            <w:pPr>
              <w:pStyle w:val="TableContents"/>
              <w:spacing w:before="0" w:after="283"/>
              <w:rPr/>
            </w:pPr>
            <w:r>
              <w:rPr/>
              <w:t> </w:t>
            </w:r>
          </w:p>
        </w:tc>
      </w:tr>
      <w:tr>
        <w:trPr/>
        <w:tc>
          <w:tcPr>
            <w:tcW w:w="5056" w:type="dxa"/>
            <w:tcBorders/>
            <w:shd w:fill="FFFFFF" w:val="clear"/>
            <w:vAlign w:val="bottom"/>
          </w:tcPr>
          <w:p>
            <w:pPr>
              <w:pStyle w:val="TableContents"/>
              <w:spacing w:before="0" w:after="283"/>
              <w:jc w:val="left"/>
              <w:rPr>
                <w:rFonts w:ascii="Arial" w:hAnsi="Arial"/>
              </w:rPr>
            </w:pPr>
            <w:r>
              <w:rPr>
                <w:rFonts w:ascii="Arial" w:hAnsi="Arial"/>
              </w:rPr>
              <w:t>Foreign currency exchange contracts(2)</w:t>
            </w:r>
          </w:p>
        </w:tc>
        <w:tc>
          <w:tcPr>
            <w:tcW w:w="240"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Arial" w:hAnsi="Arial"/>
              </w:rPr>
            </w:pPr>
            <w:r>
              <w:rPr>
                <w:rFonts w:ascii="Arial" w:hAnsi="Arial"/>
              </w:rPr>
              <w:t>1,998</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(2</w:t>
            </w:r>
          </w:p>
        </w:tc>
        <w:tc>
          <w:tcPr>
            <w:tcW w:w="103"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TableContents"/>
              <w:spacing w:before="0" w:after="283"/>
              <w:jc w:val="right"/>
              <w:rPr>
                <w:rFonts w:ascii="Arial" w:hAnsi="Arial"/>
              </w:rPr>
            </w:pPr>
            <w:r>
              <w:rPr>
                <w:rFonts w:ascii="Arial" w:hAnsi="Arial"/>
              </w:rPr>
              <w:t>(2</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(36</w:t>
            </w:r>
          </w:p>
        </w:tc>
        <w:tc>
          <w:tcPr>
            <w:tcW w:w="16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E5FFFF" w:val="clear"/>
            <w:vAlign w:val="bottom"/>
          </w:tcPr>
          <w:p>
            <w:pPr>
              <w:pStyle w:val="TableContents"/>
              <w:spacing w:before="0" w:after="283"/>
              <w:jc w:val="left"/>
              <w:rPr>
                <w:rFonts w:ascii="Arial" w:hAnsi="Arial"/>
                <w:b/>
              </w:rPr>
            </w:pPr>
            <w:r>
              <w:rPr>
                <w:rFonts w:ascii="Arial" w:hAnsi="Arial"/>
                <w:b/>
              </w:rPr>
              <w:t>Commodity Price Sensitive Instruments</w:t>
            </w:r>
          </w:p>
        </w:tc>
        <w:tc>
          <w:tcPr>
            <w:tcW w:w="240"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20" w:type="dxa"/>
            <w:tcBorders/>
            <w:shd w:fill="E5FFFF" w:val="clear"/>
            <w:vAlign w:val="center"/>
          </w:tcPr>
          <w:p>
            <w:pPr>
              <w:pStyle w:val="TableContents"/>
              <w:spacing w:before="0" w:after="283"/>
              <w:rPr/>
            </w:pPr>
            <w:r>
              <w:rPr/>
              <w:t> </w:t>
            </w:r>
          </w:p>
        </w:tc>
        <w:tc>
          <w:tcPr>
            <w:tcW w:w="10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7"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58" w:type="dxa"/>
            <w:tcBorders/>
            <w:shd w:fill="E5FFFF" w:val="clear"/>
            <w:vAlign w:val="center"/>
          </w:tcPr>
          <w:p>
            <w:pPr>
              <w:pStyle w:val="TableContents"/>
              <w:spacing w:before="0" w:after="283"/>
              <w:rPr/>
            </w:pPr>
            <w:r>
              <w:rPr/>
              <w:t> </w:t>
            </w:r>
          </w:p>
        </w:tc>
        <w:tc>
          <w:tcPr>
            <w:tcW w:w="833" w:type="dxa"/>
            <w:tcBorders/>
            <w:shd w:fill="E5FFFF" w:val="clear"/>
            <w:vAlign w:val="center"/>
          </w:tcPr>
          <w:p>
            <w:pPr>
              <w:pStyle w:val="TableContents"/>
              <w:spacing w:before="0" w:after="283"/>
              <w:rPr/>
            </w:pPr>
            <w:r>
              <w:rPr/>
              <w:t> </w:t>
            </w:r>
          </w:p>
        </w:tc>
        <w:tc>
          <w:tcPr>
            <w:tcW w:w="161" w:type="dxa"/>
            <w:tcBorders/>
            <w:shd w:fill="E5FFFF" w:val="clear"/>
            <w:vAlign w:val="center"/>
          </w:tcPr>
          <w:p>
            <w:pPr>
              <w:pStyle w:val="TableContents"/>
              <w:spacing w:before="0" w:after="283"/>
              <w:rPr/>
            </w:pPr>
            <w:r>
              <w:rPr/>
              <w:t> </w:t>
            </w:r>
          </w:p>
        </w:tc>
      </w:tr>
      <w:tr>
        <w:trPr/>
        <w:tc>
          <w:tcPr>
            <w:tcW w:w="5056" w:type="dxa"/>
            <w:tcBorders/>
            <w:shd w:fill="FFFFFF" w:val="clear"/>
            <w:vAlign w:val="bottom"/>
          </w:tcPr>
          <w:p>
            <w:pPr>
              <w:pStyle w:val="TableContents"/>
              <w:spacing w:before="0" w:after="283"/>
              <w:jc w:val="left"/>
              <w:rPr>
                <w:rFonts w:ascii="Arial" w:hAnsi="Arial"/>
              </w:rPr>
            </w:pPr>
            <w:r>
              <w:rPr>
                <w:rFonts w:ascii="Arial" w:hAnsi="Arial"/>
              </w:rPr>
              <w:t>Forward commodity contracts(3)</w:t>
            </w:r>
          </w:p>
        </w:tc>
        <w:tc>
          <w:tcPr>
            <w:tcW w:w="240"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bottom"/>
          </w:tcPr>
          <w:p>
            <w:pPr>
              <w:pStyle w:val="TableContents"/>
              <w:spacing w:before="0" w:after="283"/>
              <w:jc w:val="right"/>
              <w:rPr>
                <w:rFonts w:ascii="Arial" w:hAnsi="Arial"/>
              </w:rPr>
            </w:pPr>
            <w:r>
              <w:rPr>
                <w:rFonts w:ascii="Arial" w:hAnsi="Arial"/>
              </w:rPr>
              <w:t>141</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17</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bottom"/>
          </w:tcPr>
          <w:p>
            <w:pPr>
              <w:pStyle w:val="TableContents"/>
              <w:spacing w:before="0" w:after="283"/>
              <w:jc w:val="right"/>
              <w:rPr>
                <w:rFonts w:ascii="Arial" w:hAnsi="Arial"/>
              </w:rPr>
            </w:pPr>
            <w:r>
              <w:rPr>
                <w:rFonts w:ascii="Arial" w:hAnsi="Arial"/>
              </w:rPr>
              <w:t>17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bottom"/>
          </w:tcPr>
          <w:p>
            <w:pPr>
              <w:pStyle w:val="TableContents"/>
              <w:spacing w:before="0" w:after="283"/>
              <w:jc w:val="right"/>
              <w:rPr>
                <w:rFonts w:ascii="Arial" w:hAnsi="Arial"/>
              </w:rPr>
            </w:pPr>
            <w:r>
              <w:rPr>
                <w:rFonts w:ascii="Arial" w:hAnsi="Arial"/>
              </w:rPr>
              <w:t>(12</w:t>
            </w:r>
          </w:p>
        </w:tc>
        <w:tc>
          <w:tcPr>
            <w:tcW w:w="16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056"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2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68"/>
        <w:gridCol w:w="180"/>
        <w:gridCol w:w="9757"/>
      </w:tblGrid>
      <w:tr>
        <w:trPr/>
        <w:tc>
          <w:tcPr>
            <w:tcW w:w="268"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57" w:type="dxa"/>
            <w:tcBorders/>
            <w:shd w:fill="FFFFFF" w:val="clear"/>
            <w:vAlign w:val="center"/>
          </w:tcPr>
          <w:p>
            <w:pPr>
              <w:pStyle w:val="TableContents"/>
              <w:spacing w:before="0" w:after="283"/>
              <w:rPr/>
            </w:pPr>
            <w:r>
              <w:rPr/>
              <w:t> </w:t>
            </w:r>
          </w:p>
        </w:tc>
      </w:tr>
      <w:tr>
        <w:trPr/>
        <w:tc>
          <w:tcPr>
            <w:tcW w:w="268"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57" w:type="dxa"/>
            <w:tcBorders/>
            <w:shd w:fill="FFFFFF" w:val="clear"/>
            <w:vAlign w:val="bottom"/>
          </w:tcPr>
          <w:p>
            <w:pPr>
              <w:pStyle w:val="TableContents"/>
              <w:spacing w:before="0" w:after="283"/>
              <w:jc w:val="left"/>
              <w:rPr>
                <w:rFonts w:ascii="Arial" w:hAnsi="Arial"/>
              </w:rPr>
            </w:pPr>
            <w:r>
              <w:rPr>
                <w:rFonts w:ascii="Arial" w:hAnsi="Arial"/>
              </w:rPr>
              <w:t>Asset or (liability).</w:t>
            </w:r>
          </w:p>
        </w:tc>
      </w:tr>
      <w:tr>
        <w:trPr/>
        <w:tc>
          <w:tcPr>
            <w:tcW w:w="268"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57" w:type="dxa"/>
            <w:tcBorders/>
            <w:shd w:fill="FFFFFF" w:val="clear"/>
            <w:vAlign w:val="center"/>
          </w:tcPr>
          <w:p>
            <w:pPr>
              <w:pStyle w:val="TableContents"/>
              <w:spacing w:before="0" w:after="283"/>
              <w:rPr/>
            </w:pPr>
            <w:r>
              <w:rPr/>
              <w:t> </w:t>
            </w:r>
          </w:p>
        </w:tc>
      </w:tr>
      <w:tr>
        <w:trPr/>
        <w:tc>
          <w:tcPr>
            <w:tcW w:w="268" w:type="dxa"/>
            <w:tcBorders/>
            <w:shd w:fill="FFFFFF" w:val="clear"/>
          </w:tcPr>
          <w:p>
            <w:pPr>
              <w:pStyle w:val="TableContents"/>
              <w:spacing w:before="0" w:after="283"/>
              <w:jc w:val="right"/>
              <w:rPr>
                <w:rFonts w:ascii="Arial" w:hAnsi="Arial"/>
              </w:rPr>
            </w:pPr>
            <w:r>
              <w:rPr>
                <w:rFonts w:ascii="Arial" w:hAnsi="Arial"/>
              </w:rPr>
              <w:t>(2)</w:t>
            </w:r>
          </w:p>
        </w:tc>
        <w:tc>
          <w:tcPr>
            <w:tcW w:w="180" w:type="dxa"/>
            <w:tcBorders/>
            <w:shd w:fill="FFFFFF" w:val="clear"/>
            <w:vAlign w:val="bottom"/>
          </w:tcPr>
          <w:p>
            <w:pPr>
              <w:pStyle w:val="TableContents"/>
              <w:spacing w:before="0" w:after="283"/>
              <w:jc w:val="left"/>
              <w:rPr/>
            </w:pPr>
            <w:r>
              <w:rPr/>
              <w:t>   </w:t>
            </w:r>
          </w:p>
        </w:tc>
        <w:tc>
          <w:tcPr>
            <w:tcW w:w="9757" w:type="dxa"/>
            <w:tcBorders/>
            <w:shd w:fill="FFFFFF" w:val="clear"/>
            <w:vAlign w:val="bottom"/>
          </w:tcPr>
          <w:p>
            <w:pPr>
              <w:pStyle w:val="TableContents"/>
              <w:spacing w:before="0" w:after="283"/>
              <w:jc w:val="left"/>
              <w:rPr>
                <w:rFonts w:ascii="Arial" w:hAnsi="Arial"/>
              </w:rPr>
            </w:pPr>
            <w:r>
              <w:rPr>
                <w:rFonts w:ascii="Arial" w:hAnsi="Arial"/>
              </w:rPr>
              <w:t>Changes in the fair value of foreign currency exchange contracts are offset by changes in the fair value or cash flows of underlying hedged foreign currency transactions.</w:t>
            </w:r>
          </w:p>
        </w:tc>
      </w:tr>
      <w:tr>
        <w:trPr/>
        <w:tc>
          <w:tcPr>
            <w:tcW w:w="268"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57" w:type="dxa"/>
            <w:tcBorders/>
            <w:shd w:fill="FFFFFF" w:val="clear"/>
            <w:vAlign w:val="center"/>
          </w:tcPr>
          <w:p>
            <w:pPr>
              <w:pStyle w:val="TableContents"/>
              <w:spacing w:before="0" w:after="283"/>
              <w:rPr/>
            </w:pPr>
            <w:r>
              <w:rPr/>
              <w:t> </w:t>
            </w:r>
          </w:p>
        </w:tc>
      </w:tr>
      <w:tr>
        <w:trPr/>
        <w:tc>
          <w:tcPr>
            <w:tcW w:w="268" w:type="dxa"/>
            <w:tcBorders/>
            <w:shd w:fill="FFFFFF" w:val="clear"/>
          </w:tcPr>
          <w:p>
            <w:pPr>
              <w:pStyle w:val="TableContents"/>
              <w:spacing w:before="0" w:after="283"/>
              <w:jc w:val="right"/>
              <w:rPr>
                <w:rFonts w:ascii="Arial" w:hAnsi="Arial"/>
              </w:rPr>
            </w:pPr>
            <w:r>
              <w:rPr>
                <w:rFonts w:ascii="Arial" w:hAnsi="Arial"/>
              </w:rPr>
              <w:t>(3)</w:t>
            </w:r>
          </w:p>
        </w:tc>
        <w:tc>
          <w:tcPr>
            <w:tcW w:w="180" w:type="dxa"/>
            <w:tcBorders/>
            <w:shd w:fill="FFFFFF" w:val="clear"/>
            <w:vAlign w:val="bottom"/>
          </w:tcPr>
          <w:p>
            <w:pPr>
              <w:pStyle w:val="TableContents"/>
              <w:spacing w:before="0" w:after="283"/>
              <w:jc w:val="left"/>
              <w:rPr/>
            </w:pPr>
            <w:r>
              <w:rPr/>
              <w:t>   </w:t>
            </w:r>
          </w:p>
        </w:tc>
        <w:tc>
          <w:tcPr>
            <w:tcW w:w="9757" w:type="dxa"/>
            <w:tcBorders/>
            <w:shd w:fill="FFFFFF" w:val="clear"/>
            <w:vAlign w:val="bottom"/>
          </w:tcPr>
          <w:p>
            <w:pPr>
              <w:pStyle w:val="TableContents"/>
              <w:spacing w:before="0" w:after="283"/>
              <w:jc w:val="left"/>
              <w:rPr>
                <w:rFonts w:ascii="Arial" w:hAnsi="Arial"/>
              </w:rPr>
            </w:pPr>
            <w:r>
              <w:rPr>
                <w:rFonts w:ascii="Arial" w:hAnsi="Arial"/>
              </w:rPr>
              <w:t>Changes in the fair value of forward commodity contracts are offset by changes in the cash flows of underlying hedged commodity transactions.</w:t>
            </w:r>
          </w:p>
        </w:tc>
      </w:tr>
    </w:tbl>
    <w:p>
      <w:pPr>
        <w:pStyle w:val="TextBody"/>
        <w:jc w:val="left"/>
        <w:rPr/>
      </w:pPr>
      <w:r>
        <w:rPr/>
        <w:t>      </w:t>
      </w:r>
      <w:r>
        <w:rPr>
          <w:rFonts w:ascii="Arial" w:hAnsi="Arial"/>
        </w:rPr>
        <w:t>The above discussion of our procedures to monitor market risk and the estimated changes in fair value resulting from our sensitivity analyses are forward-looking statements of market risk assuming certain adverse market conditions occur. Actual results in the future may differ materially from these estimated results due to actual developments in the global financial markets. The methods used by us to assess and mitigate risk discussed above should not be considered projections of future events.</w:t>
      </w:r>
    </w:p>
    <w:p>
      <w:pPr>
        <w:pStyle w:val="TextBody"/>
        <w:jc w:val="left"/>
        <w:rPr>
          <w:rFonts w:ascii="Arial" w:hAnsi="Arial"/>
          <w:b/>
        </w:rPr>
      </w:pPr>
      <w:r>
        <w:rPr>
          <w:rFonts w:ascii="Arial" w:hAnsi="Arial"/>
          <w:b/>
        </w:rPr>
        <w:t>CRITICAL ACCOUNTING POLICIES</w:t>
      </w:r>
    </w:p>
    <w:p>
      <w:pPr>
        <w:pStyle w:val="TextBody"/>
        <w:jc w:val="left"/>
        <w:rPr/>
      </w:pPr>
      <w:r>
        <w:rPr/>
        <w:t>      </w:t>
      </w:r>
      <w:r>
        <w:rPr>
          <w:rFonts w:ascii="Arial" w:hAnsi="Arial"/>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pStyle w:val="TextBody"/>
        <w:jc w:val="left"/>
        <w:rPr/>
      </w:pPr>
      <w:r>
        <w:rPr/>
        <w:t>      </w:t>
      </w:r>
      <w:r>
        <w:rPr>
          <w:rFonts w:ascii="Arial" w:hAnsi="Arial"/>
        </w:rPr>
        <w:t>We have discussed the selection, application and disclosure of these critical accounting policies with the Audit Committee of our Board of Directors and our Independent Registered Public</w:t>
      </w:r>
    </w:p>
    <w:p>
      <w:pPr>
        <w:pStyle w:val="TextBody"/>
        <w:jc w:val="center"/>
        <w:rPr>
          <w:rFonts w:ascii="Arial" w:hAnsi="Arial"/>
        </w:rPr>
      </w:pPr>
      <w:r>
        <w:rPr>
          <w:rFonts w:ascii="Arial" w:hAnsi="Arial"/>
        </w:rPr>
        <w:t>39</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Accountants. New accounting standards effective in 2006 which had a material impact on our consolidated financial statements are described in the Recent Accounting Pronouncements section in Note 1 to the financial statements in “Item 8. Financial Statements and Supplementary Data”.</w:t>
      </w:r>
    </w:p>
    <w:p>
      <w:pPr>
        <w:pStyle w:val="TextBody"/>
        <w:jc w:val="left"/>
        <w:rPr/>
      </w:pPr>
      <w:r>
        <w:rPr/>
        <w:t>      </w:t>
      </w:r>
      <w:r>
        <w:rPr>
          <w:rFonts w:ascii="Arial" w:hAnsi="Arial"/>
          <w:b/>
          <w:i/>
        </w:rPr>
        <w:t>Contingent Liabilities—</w:t>
      </w:r>
      <w:r>
        <w:rPr>
          <w:rFonts w:ascii="Arial" w:hAnsi="Arial"/>
        </w:rPr>
        <w:t>We are subject to a number of lawsuits, investigations and claims (some of which involve substantial dollar amounts) that arise out of the conduct of our global business operations or those of previously owned entities. These contingencies relate to product liabilities (including asbestos), contractual matters, and environmental, health and safety matters. We recognize a liability for any contingency that is probable of occurrence and reasonably estimable.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 changes in legislation and outcomes of similar cases through the judicial system), changes in assumptions or changes in our settlement strategy. For a discussion of our contingencies related to environmental, asbestos and other matters, including management's judgment applied in the recognition and measurement of specific liabilities, see Notes 1 and 21 to the financial statements.</w:t>
      </w:r>
    </w:p>
    <w:p>
      <w:pPr>
        <w:pStyle w:val="TextBody"/>
        <w:jc w:val="left"/>
        <w:rPr/>
      </w:pPr>
      <w:r>
        <w:rPr/>
        <w:t>      </w:t>
      </w:r>
      <w:r>
        <w:rPr>
          <w:rFonts w:ascii="Arial" w:hAnsi="Arial"/>
          <w:b/>
          <w:i/>
        </w:rPr>
        <w:t>Asbestos Related Contingencies and Insurance Recoveries—</w:t>
      </w:r>
      <w:r>
        <w:rPr>
          <w:rFonts w:ascii="Arial" w:hAnsi="Arial"/>
        </w:rPr>
        <w:t>We are a defendant in personal injury actions related to asbestos containing products (refractory products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have also accrued for the probable value of future NARCO asbestos related claims through 2018 based on the disease criteria and payment values contained in the NARCO trust as described in Note 21 to the financial statements. In light of the inherent uncertainties in making long term projections regarding claims filing rates and disease manifestation, we do not believe that we have a reasonable basis for estimating NARCO asbestos claims beyond 2018 under Statement of Financial Accounting Standards No. 5, “Accounting for Contingencies” (SFAS No. 5). Regarding Bendix asbestos related claims, we accrue for the estimated value of pending claims based on expected claim resolution values and dismissal rates. In the fourth quarter of 2006, the Company accrued a liability for the estimated cost of future anticipated claims related to Bendix through 2011 based on our assessment of additional claims that may be brought against us and anticipated resolution values in the tort system. In December 2006, we also changed our methodology for valuing Bendix pending and future claims from using average resolution values of the previous five years to using average resolution values of the previous two years. For additional information relating to Bendix related claims see Note 21 to the financial statements.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pStyle w:val="TextBody"/>
        <w:jc w:val="left"/>
        <w:rPr/>
      </w:pPr>
      <w:r>
        <w:rPr/>
        <w:t>      </w:t>
      </w:r>
      <w:r>
        <w:rPr>
          <w:rFonts w:ascii="Arial" w:hAnsi="Arial"/>
        </w:rPr>
        <w:t>In connection with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 At December 31, 2006, we have recorded insurance receivables of $955 million that can be specifically allocated to NARCO related asbestos liabilities. We also have $1.9 billion in coverage remaining for Bendix related asbestos liabilities although there are gaps in our coverage due to insurance company insolvencies, certain uninsured periods and insurance settlements, resulting in approximately 50 percent of these claims on a cumulative historical basis being reimbursable by insurance. Our insurance is with both the domestic insurance market and the London excess market. While the substantial majority of our insurance carriers are solvent, some of</w:t>
      </w:r>
    </w:p>
    <w:p>
      <w:pPr>
        <w:pStyle w:val="TextBody"/>
        <w:jc w:val="center"/>
        <w:rPr>
          <w:rFonts w:ascii="Arial" w:hAnsi="Arial"/>
        </w:rPr>
      </w:pPr>
      <w:r>
        <w:rPr>
          <w:rFonts w:ascii="Arial" w:hAnsi="Arial"/>
        </w:rPr>
        <w:t>40</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 See Note 21 to the financial statements for a discussion of management's judgments applied in the recognition and measurement of insurance recoveries for asbestos related liabilities.</w:t>
      </w:r>
    </w:p>
    <w:p>
      <w:pPr>
        <w:pStyle w:val="TextBody"/>
        <w:jc w:val="left"/>
        <w:rPr/>
      </w:pPr>
      <w:r>
        <w:rPr/>
        <w:t>      </w:t>
      </w:r>
      <w:r>
        <w:rPr>
          <w:rFonts w:ascii="Arial" w:hAnsi="Arial"/>
          <w:b/>
          <w:i/>
        </w:rPr>
        <w:t>Defined Benefit Pension Plans—</w:t>
      </w:r>
      <w:r>
        <w:rPr>
          <w:rFonts w:ascii="Arial" w:hAnsi="Arial"/>
        </w:rPr>
        <w:t>We maintain defined benefit pension plans covering a majority of our employees and retirees. For financial reporting purposes, net periodic pension expense is calculated based upon a number of significant actuarial assumptions, including a discount rate for plan obligations and an expected long-term rate of return on plan assets. We consider current market conditions, including changes in investment returns and interest rates, in making these assumptions. We determine the expected long-term rate of return on plan assets utilizing historic and expected plan asset returns over varying long-term periods combined with current market conditions and broad asset mix considerations (see Note 22 to the financial statements for actual and targeted asset allocation percentages for our pension plans). The discount rate reflects the market rate on December 31 (measurement date) for high-quality fixed-income investments with maturities corresponding to our benefit obligations and is subject to change each year. Further information on all our major actuarial assumption is included in Note 22 to the financial statements.</w:t>
      </w:r>
    </w:p>
    <w:p>
      <w:pPr>
        <w:pStyle w:val="TextBody"/>
        <w:jc w:val="left"/>
        <w:rPr/>
      </w:pPr>
      <w:r>
        <w:rPr/>
        <w:t>      </w:t>
      </w:r>
      <w:r>
        <w:rPr>
          <w:rFonts w:ascii="Arial" w:hAnsi="Arial"/>
        </w:rPr>
        <w:t>The key assumptions used in developing our 2006, 2005 and 2004 net periodic pension expense for our U.S. plans included the following:</w:t>
      </w:r>
    </w:p>
    <w:tbl>
      <w:tblPr>
        <w:tblW w:w="5000" w:type="pct"/>
        <w:jc w:val="left"/>
        <w:tblInd w:w="0" w:type="dxa"/>
        <w:tblCellMar>
          <w:top w:w="0" w:type="dxa"/>
          <w:left w:w="0" w:type="dxa"/>
          <w:bottom w:w="0" w:type="dxa"/>
          <w:right w:w="0" w:type="dxa"/>
        </w:tblCellMar>
      </w:tblPr>
      <w:tblGrid>
        <w:gridCol w:w="916"/>
        <w:gridCol w:w="5555"/>
        <w:gridCol w:w="282"/>
        <w:gridCol w:w="70"/>
        <w:gridCol w:w="569"/>
        <w:gridCol w:w="271"/>
        <w:gridCol w:w="281"/>
        <w:gridCol w:w="71"/>
        <w:gridCol w:w="728"/>
        <w:gridCol w:w="270"/>
        <w:gridCol w:w="282"/>
        <w:gridCol w:w="70"/>
        <w:gridCol w:w="569"/>
        <w:gridCol w:w="271"/>
      </w:tblGrid>
      <w:tr>
        <w:trPr/>
        <w:tc>
          <w:tcPr>
            <w:tcW w:w="916" w:type="dxa"/>
            <w:tcBorders/>
            <w:shd w:fill="FFFFFF" w:val="clear"/>
            <w:vAlign w:val="center"/>
          </w:tcPr>
          <w:p>
            <w:pPr>
              <w:pStyle w:val="TableContents"/>
              <w:spacing w:before="0" w:after="283"/>
              <w:rPr/>
            </w:pPr>
            <w:r>
              <w:rPr/>
              <w:t> </w:t>
            </w:r>
          </w:p>
        </w:tc>
        <w:tc>
          <w:tcPr>
            <w:tcW w:w="5555"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rPr/>
            </w:pPr>
            <w:r>
              <w:rPr/>
              <w:t> </w:t>
            </w:r>
          </w:p>
        </w:tc>
        <w:tc>
          <w:tcPr>
            <w:tcW w:w="91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81" w:type="dxa"/>
            <w:tcBorders/>
            <w:shd w:fill="FFFFFF" w:val="clear"/>
            <w:vAlign w:val="center"/>
          </w:tcPr>
          <w:p>
            <w:pPr>
              <w:pStyle w:val="TableContents"/>
              <w:spacing w:before="0" w:after="283"/>
              <w:rPr/>
            </w:pPr>
            <w:r>
              <w:rPr/>
              <w:t> </w:t>
            </w:r>
          </w:p>
        </w:tc>
        <w:tc>
          <w:tcPr>
            <w:tcW w:w="1069"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82" w:type="dxa"/>
            <w:tcBorders/>
            <w:shd w:fill="FFFFFF" w:val="clear"/>
            <w:vAlign w:val="center"/>
          </w:tcPr>
          <w:p>
            <w:pPr>
              <w:pStyle w:val="TableContents"/>
              <w:spacing w:before="0" w:after="283"/>
              <w:rPr/>
            </w:pPr>
            <w:r>
              <w:rPr/>
              <w:t> </w:t>
            </w:r>
          </w:p>
        </w:tc>
        <w:tc>
          <w:tcPr>
            <w:tcW w:w="91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916" w:type="dxa"/>
            <w:tcBorders/>
            <w:shd w:fill="E5FFFF" w:val="clear"/>
            <w:vAlign w:val="bottom"/>
          </w:tcPr>
          <w:p>
            <w:pPr>
              <w:pStyle w:val="TableContents"/>
              <w:spacing w:before="0" w:after="283"/>
              <w:jc w:val="left"/>
              <w:rPr/>
            </w:pPr>
            <w:r>
              <w:rPr/>
              <w:t>             </w:t>
            </w:r>
          </w:p>
        </w:tc>
        <w:tc>
          <w:tcPr>
            <w:tcW w:w="5555" w:type="dxa"/>
            <w:tcBorders/>
            <w:shd w:fill="E5FFFF" w:val="clear"/>
            <w:vAlign w:val="bottom"/>
          </w:tcPr>
          <w:p>
            <w:pPr>
              <w:pStyle w:val="TableContents"/>
              <w:spacing w:before="0" w:after="283"/>
              <w:jc w:val="left"/>
              <w:rPr>
                <w:rFonts w:ascii="Arial" w:hAnsi="Arial"/>
              </w:rPr>
            </w:pPr>
            <w:r>
              <w:rPr>
                <w:rFonts w:ascii="Arial" w:hAnsi="Arial"/>
              </w:rPr>
              <w:t>Discount rate</w:t>
            </w:r>
          </w:p>
        </w:tc>
        <w:tc>
          <w:tcPr>
            <w:tcW w:w="282" w:type="dxa"/>
            <w:tcBorders/>
            <w:shd w:fill="E5FFFF" w:val="clear"/>
            <w:vAlign w:val="bottom"/>
          </w:tcPr>
          <w:p>
            <w:pPr>
              <w:pStyle w:val="TableContents"/>
              <w:spacing w:before="0" w:after="283"/>
              <w:jc w:val="right"/>
              <w:rPr/>
            </w:pPr>
            <w:r>
              <w:rPr/>
              <w:t>    </w:t>
            </w:r>
          </w:p>
        </w:tc>
        <w:tc>
          <w:tcPr>
            <w:tcW w:w="70" w:type="dxa"/>
            <w:tcBorders/>
            <w:shd w:fill="E5FFFF" w:val="clear"/>
            <w:vAlign w:val="center"/>
          </w:tcPr>
          <w:p>
            <w:pPr>
              <w:pStyle w:val="TableContents"/>
              <w:spacing w:before="0" w:after="283"/>
              <w:rPr/>
            </w:pPr>
            <w:r>
              <w:rPr/>
              <w:t> </w:t>
            </w:r>
          </w:p>
        </w:tc>
        <w:tc>
          <w:tcPr>
            <w:tcW w:w="569" w:type="dxa"/>
            <w:tcBorders/>
            <w:shd w:fill="E5FFFF" w:val="clear"/>
            <w:vAlign w:val="bottom"/>
          </w:tcPr>
          <w:p>
            <w:pPr>
              <w:pStyle w:val="TableContents"/>
              <w:spacing w:before="0" w:after="283"/>
              <w:jc w:val="right"/>
              <w:rPr>
                <w:rFonts w:ascii="Arial" w:hAnsi="Arial"/>
              </w:rPr>
            </w:pPr>
            <w:r>
              <w:rPr>
                <w:rFonts w:ascii="Arial" w:hAnsi="Arial"/>
              </w:rPr>
              <w:t>5.75</w:t>
            </w:r>
          </w:p>
        </w:tc>
        <w:tc>
          <w:tcPr>
            <w:tcW w:w="271" w:type="dxa"/>
            <w:tcBorders/>
            <w:shd w:fill="E5FFFF" w:val="clear"/>
            <w:vAlign w:val="bottom"/>
          </w:tcPr>
          <w:p>
            <w:pPr>
              <w:pStyle w:val="TableContents"/>
              <w:spacing w:before="0" w:after="283"/>
              <w:jc w:val="left"/>
              <w:rPr>
                <w:rFonts w:ascii="Arial" w:hAnsi="Arial"/>
              </w:rPr>
            </w:pPr>
            <w:r>
              <w:rPr>
                <w:rFonts w:ascii="Arial" w:hAnsi="Arial"/>
              </w:rPr>
              <w:t>%</w:t>
            </w:r>
          </w:p>
        </w:tc>
        <w:tc>
          <w:tcPr>
            <w:tcW w:w="281" w:type="dxa"/>
            <w:tcBorders/>
            <w:shd w:fill="E5FFFF" w:val="clear"/>
            <w:vAlign w:val="bottom"/>
          </w:tcPr>
          <w:p>
            <w:pPr>
              <w:pStyle w:val="TableContents"/>
              <w:spacing w:before="0" w:after="283"/>
              <w:jc w:val="right"/>
              <w:rPr/>
            </w:pPr>
            <w:r>
              <w:rPr/>
              <w:t>    </w:t>
            </w:r>
          </w:p>
        </w:tc>
        <w:tc>
          <w:tcPr>
            <w:tcW w:w="71" w:type="dxa"/>
            <w:tcBorders/>
            <w:shd w:fill="E5FFFF" w:val="clear"/>
            <w:vAlign w:val="center"/>
          </w:tcPr>
          <w:p>
            <w:pPr>
              <w:pStyle w:val="TableContents"/>
              <w:spacing w:before="0" w:after="283"/>
              <w:rPr/>
            </w:pPr>
            <w:r>
              <w:rPr/>
              <w:t> </w:t>
            </w:r>
          </w:p>
        </w:tc>
        <w:tc>
          <w:tcPr>
            <w:tcW w:w="728" w:type="dxa"/>
            <w:tcBorders/>
            <w:shd w:fill="E5FFFF" w:val="clear"/>
            <w:vAlign w:val="bottom"/>
          </w:tcPr>
          <w:p>
            <w:pPr>
              <w:pStyle w:val="TableContents"/>
              <w:spacing w:before="0" w:after="283"/>
              <w:jc w:val="right"/>
              <w:rPr>
                <w:rFonts w:ascii="Arial" w:hAnsi="Arial"/>
              </w:rPr>
            </w:pPr>
            <w:r>
              <w:rPr>
                <w:rFonts w:ascii="Arial" w:hAnsi="Arial"/>
              </w:rPr>
              <w:t>5.875</w:t>
            </w:r>
          </w:p>
        </w:tc>
        <w:tc>
          <w:tcPr>
            <w:tcW w:w="270" w:type="dxa"/>
            <w:tcBorders/>
            <w:shd w:fill="E5FFFF" w:val="clear"/>
            <w:vAlign w:val="bottom"/>
          </w:tcPr>
          <w:p>
            <w:pPr>
              <w:pStyle w:val="TableContents"/>
              <w:spacing w:before="0" w:after="283"/>
              <w:jc w:val="left"/>
              <w:rPr>
                <w:rFonts w:ascii="Arial" w:hAnsi="Arial"/>
              </w:rPr>
            </w:pPr>
            <w:r>
              <w:rPr>
                <w:rFonts w:ascii="Arial" w:hAnsi="Arial"/>
              </w:rPr>
              <w:t>%</w:t>
            </w:r>
          </w:p>
        </w:tc>
        <w:tc>
          <w:tcPr>
            <w:tcW w:w="282" w:type="dxa"/>
            <w:tcBorders/>
            <w:shd w:fill="E5FFFF" w:val="clear"/>
            <w:vAlign w:val="bottom"/>
          </w:tcPr>
          <w:p>
            <w:pPr>
              <w:pStyle w:val="TableContents"/>
              <w:spacing w:before="0" w:after="283"/>
              <w:jc w:val="right"/>
              <w:rPr/>
            </w:pPr>
            <w:r>
              <w:rPr/>
              <w:t>    </w:t>
            </w:r>
          </w:p>
        </w:tc>
        <w:tc>
          <w:tcPr>
            <w:tcW w:w="70" w:type="dxa"/>
            <w:tcBorders/>
            <w:shd w:fill="E5FFFF" w:val="clear"/>
            <w:vAlign w:val="center"/>
          </w:tcPr>
          <w:p>
            <w:pPr>
              <w:pStyle w:val="TableContents"/>
              <w:spacing w:before="0" w:after="283"/>
              <w:rPr/>
            </w:pPr>
            <w:r>
              <w:rPr/>
              <w:t> </w:t>
            </w:r>
          </w:p>
        </w:tc>
        <w:tc>
          <w:tcPr>
            <w:tcW w:w="569" w:type="dxa"/>
            <w:tcBorders/>
            <w:shd w:fill="E5FFFF" w:val="clear"/>
            <w:vAlign w:val="bottom"/>
          </w:tcPr>
          <w:p>
            <w:pPr>
              <w:pStyle w:val="TableContents"/>
              <w:spacing w:before="0" w:after="283"/>
              <w:jc w:val="right"/>
              <w:rPr>
                <w:rFonts w:ascii="Arial" w:hAnsi="Arial"/>
              </w:rPr>
            </w:pPr>
            <w:r>
              <w:rPr>
                <w:rFonts w:ascii="Arial" w:hAnsi="Arial"/>
              </w:rPr>
              <w:t>6.00</w:t>
            </w:r>
          </w:p>
        </w:tc>
        <w:tc>
          <w:tcPr>
            <w:tcW w:w="27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916" w:type="dxa"/>
            <w:tcBorders/>
            <w:shd w:fill="FFFFFF" w:val="clear"/>
            <w:vAlign w:val="bottom"/>
          </w:tcPr>
          <w:p>
            <w:pPr>
              <w:pStyle w:val="TableContents"/>
              <w:spacing w:before="0" w:after="283"/>
              <w:jc w:val="left"/>
              <w:rPr/>
            </w:pPr>
            <w:r>
              <w:rPr/>
              <w:t>             </w:t>
            </w:r>
          </w:p>
        </w:tc>
        <w:tc>
          <w:tcPr>
            <w:tcW w:w="5555" w:type="dxa"/>
            <w:tcBorders/>
            <w:shd w:fill="FFFFFF" w:val="clear"/>
            <w:vAlign w:val="bottom"/>
          </w:tcPr>
          <w:p>
            <w:pPr>
              <w:pStyle w:val="TableContents"/>
              <w:spacing w:before="0" w:after="283"/>
              <w:jc w:val="left"/>
              <w:rPr>
                <w:rFonts w:ascii="Arial" w:hAnsi="Arial"/>
              </w:rPr>
            </w:pPr>
            <w:r>
              <w:rPr>
                <w:rFonts w:ascii="Arial" w:hAnsi="Arial"/>
              </w:rPr>
              <w:t>Assets:</w:t>
            </w:r>
          </w:p>
        </w:tc>
        <w:tc>
          <w:tcPr>
            <w:tcW w:w="282"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69"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28"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69"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r>
      <w:tr>
        <w:trPr/>
        <w:tc>
          <w:tcPr>
            <w:tcW w:w="916" w:type="dxa"/>
            <w:tcBorders/>
            <w:shd w:fill="E5FFFF" w:val="clear"/>
            <w:vAlign w:val="bottom"/>
          </w:tcPr>
          <w:p>
            <w:pPr>
              <w:pStyle w:val="TableContents"/>
              <w:spacing w:before="0" w:after="283"/>
              <w:jc w:val="left"/>
              <w:rPr/>
            </w:pPr>
            <w:r>
              <w:rPr/>
              <w:t>             </w:t>
            </w:r>
          </w:p>
        </w:tc>
        <w:tc>
          <w:tcPr>
            <w:tcW w:w="5555" w:type="dxa"/>
            <w:tcBorders/>
            <w:shd w:fill="E5FFFF" w:val="clear"/>
            <w:vAlign w:val="bottom"/>
          </w:tcPr>
          <w:p>
            <w:pPr>
              <w:pStyle w:val="TableContents"/>
              <w:spacing w:before="0" w:after="283"/>
              <w:jc w:val="left"/>
              <w:rPr>
                <w:rFonts w:ascii="Arial" w:hAnsi="Arial"/>
              </w:rPr>
            </w:pPr>
            <w:r>
              <w:rPr>
                <w:rFonts w:ascii="Arial" w:hAnsi="Arial"/>
              </w:rPr>
              <w:t>Expected rate of return</w:t>
            </w:r>
          </w:p>
        </w:tc>
        <w:tc>
          <w:tcPr>
            <w:tcW w:w="282" w:type="dxa"/>
            <w:tcBorders/>
            <w:shd w:fill="E5FFFF" w:val="clear"/>
            <w:vAlign w:val="bottom"/>
          </w:tcPr>
          <w:p>
            <w:pPr>
              <w:pStyle w:val="TableContents"/>
              <w:spacing w:before="0" w:after="283"/>
              <w:jc w:val="right"/>
              <w:rPr/>
            </w:pPr>
            <w:r>
              <w:rPr/>
              <w:t>    </w:t>
            </w:r>
          </w:p>
        </w:tc>
        <w:tc>
          <w:tcPr>
            <w:tcW w:w="70" w:type="dxa"/>
            <w:tcBorders/>
            <w:shd w:fill="E5FFFF" w:val="clear"/>
            <w:vAlign w:val="center"/>
          </w:tcPr>
          <w:p>
            <w:pPr>
              <w:pStyle w:val="TableContents"/>
              <w:spacing w:before="0" w:after="283"/>
              <w:rPr/>
            </w:pPr>
            <w:r>
              <w:rPr/>
              <w:t> </w:t>
            </w:r>
          </w:p>
        </w:tc>
        <w:tc>
          <w:tcPr>
            <w:tcW w:w="569" w:type="dxa"/>
            <w:tcBorders/>
            <w:shd w:fill="E5FFFF" w:val="clear"/>
            <w:vAlign w:val="bottom"/>
          </w:tcPr>
          <w:p>
            <w:pPr>
              <w:pStyle w:val="TableContents"/>
              <w:spacing w:before="0" w:after="283"/>
              <w:jc w:val="right"/>
              <w:rPr>
                <w:rFonts w:ascii="Arial" w:hAnsi="Arial"/>
              </w:rPr>
            </w:pPr>
            <w:r>
              <w:rPr>
                <w:rFonts w:ascii="Arial" w:hAnsi="Arial"/>
              </w:rPr>
              <w:t>9</w:t>
            </w:r>
          </w:p>
        </w:tc>
        <w:tc>
          <w:tcPr>
            <w:tcW w:w="271" w:type="dxa"/>
            <w:tcBorders/>
            <w:shd w:fill="E5FFFF" w:val="clear"/>
            <w:vAlign w:val="bottom"/>
          </w:tcPr>
          <w:p>
            <w:pPr>
              <w:pStyle w:val="TableContents"/>
              <w:spacing w:before="0" w:after="283"/>
              <w:jc w:val="left"/>
              <w:rPr>
                <w:rFonts w:ascii="Arial" w:hAnsi="Arial"/>
              </w:rPr>
            </w:pPr>
            <w:r>
              <w:rPr>
                <w:rFonts w:ascii="Arial" w:hAnsi="Arial"/>
              </w:rPr>
              <w:t>%</w:t>
            </w:r>
          </w:p>
        </w:tc>
        <w:tc>
          <w:tcPr>
            <w:tcW w:w="281" w:type="dxa"/>
            <w:tcBorders/>
            <w:shd w:fill="E5FFFF" w:val="clear"/>
            <w:vAlign w:val="bottom"/>
          </w:tcPr>
          <w:p>
            <w:pPr>
              <w:pStyle w:val="TableContents"/>
              <w:spacing w:before="0" w:after="283"/>
              <w:jc w:val="right"/>
              <w:rPr/>
            </w:pPr>
            <w:r>
              <w:rPr/>
              <w:t>    </w:t>
            </w:r>
          </w:p>
        </w:tc>
        <w:tc>
          <w:tcPr>
            <w:tcW w:w="71" w:type="dxa"/>
            <w:tcBorders/>
            <w:shd w:fill="E5FFFF" w:val="clear"/>
            <w:vAlign w:val="center"/>
          </w:tcPr>
          <w:p>
            <w:pPr>
              <w:pStyle w:val="TableContents"/>
              <w:spacing w:before="0" w:after="283"/>
              <w:rPr/>
            </w:pPr>
            <w:r>
              <w:rPr/>
              <w:t> </w:t>
            </w:r>
          </w:p>
        </w:tc>
        <w:tc>
          <w:tcPr>
            <w:tcW w:w="728" w:type="dxa"/>
            <w:tcBorders/>
            <w:shd w:fill="E5FFFF" w:val="clear"/>
            <w:vAlign w:val="bottom"/>
          </w:tcPr>
          <w:p>
            <w:pPr>
              <w:pStyle w:val="TableContents"/>
              <w:spacing w:before="0" w:after="283"/>
              <w:jc w:val="right"/>
              <w:rPr>
                <w:rFonts w:ascii="Arial" w:hAnsi="Arial"/>
              </w:rPr>
            </w:pPr>
            <w:r>
              <w:rPr>
                <w:rFonts w:ascii="Arial" w:hAnsi="Arial"/>
              </w:rPr>
              <w:t>9</w:t>
            </w:r>
          </w:p>
        </w:tc>
        <w:tc>
          <w:tcPr>
            <w:tcW w:w="270" w:type="dxa"/>
            <w:tcBorders/>
            <w:shd w:fill="E5FFFF" w:val="clear"/>
            <w:vAlign w:val="bottom"/>
          </w:tcPr>
          <w:p>
            <w:pPr>
              <w:pStyle w:val="TableContents"/>
              <w:spacing w:before="0" w:after="283"/>
              <w:jc w:val="left"/>
              <w:rPr>
                <w:rFonts w:ascii="Arial" w:hAnsi="Arial"/>
              </w:rPr>
            </w:pPr>
            <w:r>
              <w:rPr>
                <w:rFonts w:ascii="Arial" w:hAnsi="Arial"/>
              </w:rPr>
              <w:t>%</w:t>
            </w:r>
          </w:p>
        </w:tc>
        <w:tc>
          <w:tcPr>
            <w:tcW w:w="282" w:type="dxa"/>
            <w:tcBorders/>
            <w:shd w:fill="E5FFFF" w:val="clear"/>
            <w:vAlign w:val="bottom"/>
          </w:tcPr>
          <w:p>
            <w:pPr>
              <w:pStyle w:val="TableContents"/>
              <w:spacing w:before="0" w:after="283"/>
              <w:jc w:val="right"/>
              <w:rPr/>
            </w:pPr>
            <w:r>
              <w:rPr/>
              <w:t>    </w:t>
            </w:r>
          </w:p>
        </w:tc>
        <w:tc>
          <w:tcPr>
            <w:tcW w:w="70" w:type="dxa"/>
            <w:tcBorders/>
            <w:shd w:fill="E5FFFF" w:val="clear"/>
            <w:vAlign w:val="center"/>
          </w:tcPr>
          <w:p>
            <w:pPr>
              <w:pStyle w:val="TableContents"/>
              <w:spacing w:before="0" w:after="283"/>
              <w:rPr/>
            </w:pPr>
            <w:r>
              <w:rPr/>
              <w:t> </w:t>
            </w:r>
          </w:p>
        </w:tc>
        <w:tc>
          <w:tcPr>
            <w:tcW w:w="569" w:type="dxa"/>
            <w:tcBorders/>
            <w:shd w:fill="E5FFFF" w:val="clear"/>
            <w:vAlign w:val="bottom"/>
          </w:tcPr>
          <w:p>
            <w:pPr>
              <w:pStyle w:val="TableContents"/>
              <w:spacing w:before="0" w:after="283"/>
              <w:jc w:val="right"/>
              <w:rPr>
                <w:rFonts w:ascii="Arial" w:hAnsi="Arial"/>
              </w:rPr>
            </w:pPr>
            <w:r>
              <w:rPr>
                <w:rFonts w:ascii="Arial" w:hAnsi="Arial"/>
              </w:rPr>
              <w:t>9</w:t>
            </w:r>
          </w:p>
        </w:tc>
        <w:tc>
          <w:tcPr>
            <w:tcW w:w="27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916" w:type="dxa"/>
            <w:tcBorders/>
            <w:shd w:fill="FFFFFF" w:val="clear"/>
            <w:vAlign w:val="bottom"/>
          </w:tcPr>
          <w:p>
            <w:pPr>
              <w:pStyle w:val="TableContents"/>
              <w:spacing w:before="0" w:after="283"/>
              <w:jc w:val="left"/>
              <w:rPr/>
            </w:pPr>
            <w:r>
              <w:rPr/>
              <w:t>             </w:t>
            </w:r>
          </w:p>
        </w:tc>
        <w:tc>
          <w:tcPr>
            <w:tcW w:w="5555" w:type="dxa"/>
            <w:tcBorders/>
            <w:shd w:fill="FFFFFF" w:val="clear"/>
            <w:vAlign w:val="bottom"/>
          </w:tcPr>
          <w:p>
            <w:pPr>
              <w:pStyle w:val="TableContents"/>
              <w:spacing w:before="0" w:after="283"/>
              <w:jc w:val="left"/>
              <w:rPr>
                <w:rFonts w:ascii="Arial" w:hAnsi="Arial"/>
              </w:rPr>
            </w:pPr>
            <w:r>
              <w:rPr>
                <w:rFonts w:ascii="Arial" w:hAnsi="Arial"/>
              </w:rPr>
              <w:t>Actual rate of return</w:t>
            </w:r>
          </w:p>
        </w:tc>
        <w:tc>
          <w:tcPr>
            <w:tcW w:w="282" w:type="dxa"/>
            <w:tcBorders/>
            <w:shd w:fill="FFFFFF" w:val="clear"/>
            <w:vAlign w:val="bottom"/>
          </w:tcPr>
          <w:p>
            <w:pPr>
              <w:pStyle w:val="TableContents"/>
              <w:spacing w:before="0" w:after="283"/>
              <w:jc w:val="right"/>
              <w:rPr/>
            </w:pPr>
            <w:r>
              <w:rPr/>
              <w:t>    </w:t>
            </w:r>
          </w:p>
        </w:tc>
        <w:tc>
          <w:tcPr>
            <w:tcW w:w="70" w:type="dxa"/>
            <w:tcBorders/>
            <w:shd w:fill="FFFFFF" w:val="clear"/>
            <w:vAlign w:val="center"/>
          </w:tcPr>
          <w:p>
            <w:pPr>
              <w:pStyle w:val="TableContents"/>
              <w:spacing w:before="0" w:after="283"/>
              <w:rPr/>
            </w:pPr>
            <w:r>
              <w:rPr/>
              <w:t> </w:t>
            </w:r>
          </w:p>
        </w:tc>
        <w:tc>
          <w:tcPr>
            <w:tcW w:w="569" w:type="dxa"/>
            <w:tcBorders/>
            <w:shd w:fill="FFFFFF" w:val="clear"/>
            <w:vAlign w:val="bottom"/>
          </w:tcPr>
          <w:p>
            <w:pPr>
              <w:pStyle w:val="TableContents"/>
              <w:spacing w:before="0" w:after="283"/>
              <w:jc w:val="right"/>
              <w:rPr>
                <w:rFonts w:ascii="Arial" w:hAnsi="Arial"/>
              </w:rPr>
            </w:pPr>
            <w:r>
              <w:rPr>
                <w:rFonts w:ascii="Arial" w:hAnsi="Arial"/>
              </w:rPr>
              <w:t>14</w:t>
            </w:r>
          </w:p>
        </w:tc>
        <w:tc>
          <w:tcPr>
            <w:tcW w:w="271" w:type="dxa"/>
            <w:tcBorders/>
            <w:shd w:fill="FFFFFF" w:val="clear"/>
            <w:vAlign w:val="bottom"/>
          </w:tcPr>
          <w:p>
            <w:pPr>
              <w:pStyle w:val="TableContents"/>
              <w:spacing w:before="0" w:after="283"/>
              <w:jc w:val="left"/>
              <w:rPr>
                <w:rFonts w:ascii="Arial" w:hAnsi="Arial"/>
              </w:rPr>
            </w:pPr>
            <w:r>
              <w:rPr>
                <w:rFonts w:ascii="Arial" w:hAnsi="Arial"/>
              </w:rPr>
              <w:t>%</w:t>
            </w:r>
          </w:p>
        </w:tc>
        <w:tc>
          <w:tcPr>
            <w:tcW w:w="281" w:type="dxa"/>
            <w:tcBorders/>
            <w:shd w:fill="FFFFFF" w:val="clear"/>
            <w:vAlign w:val="bottom"/>
          </w:tcPr>
          <w:p>
            <w:pPr>
              <w:pStyle w:val="TableContents"/>
              <w:spacing w:before="0" w:after="283"/>
              <w:jc w:val="right"/>
              <w:rPr/>
            </w:pPr>
            <w:r>
              <w:rPr/>
              <w:t>    </w:t>
            </w:r>
          </w:p>
        </w:tc>
        <w:tc>
          <w:tcPr>
            <w:tcW w:w="71" w:type="dxa"/>
            <w:tcBorders/>
            <w:shd w:fill="FFFFFF" w:val="clear"/>
            <w:vAlign w:val="center"/>
          </w:tcPr>
          <w:p>
            <w:pPr>
              <w:pStyle w:val="TableContents"/>
              <w:spacing w:before="0" w:after="283"/>
              <w:rPr/>
            </w:pPr>
            <w:r>
              <w:rPr/>
              <w:t> </w:t>
            </w:r>
          </w:p>
        </w:tc>
        <w:tc>
          <w:tcPr>
            <w:tcW w:w="728" w:type="dxa"/>
            <w:tcBorders/>
            <w:shd w:fill="FFFFFF" w:val="clear"/>
            <w:vAlign w:val="bottom"/>
          </w:tcPr>
          <w:p>
            <w:pPr>
              <w:pStyle w:val="TableContents"/>
              <w:spacing w:before="0" w:after="283"/>
              <w:jc w:val="right"/>
              <w:rPr>
                <w:rFonts w:ascii="Arial" w:hAnsi="Arial"/>
              </w:rPr>
            </w:pPr>
            <w:r>
              <w:rPr>
                <w:rFonts w:ascii="Arial" w:hAnsi="Arial"/>
              </w:rPr>
              <w:t>8</w:t>
            </w:r>
          </w:p>
        </w:tc>
        <w:tc>
          <w:tcPr>
            <w:tcW w:w="270" w:type="dxa"/>
            <w:tcBorders/>
            <w:shd w:fill="FFFFFF" w:val="clear"/>
            <w:vAlign w:val="bottom"/>
          </w:tcPr>
          <w:p>
            <w:pPr>
              <w:pStyle w:val="TableContents"/>
              <w:spacing w:before="0" w:after="283"/>
              <w:jc w:val="left"/>
              <w:rPr>
                <w:rFonts w:ascii="Arial" w:hAnsi="Arial"/>
              </w:rPr>
            </w:pPr>
            <w:r>
              <w:rPr>
                <w:rFonts w:ascii="Arial" w:hAnsi="Arial"/>
              </w:rPr>
              <w:t>%</w:t>
            </w:r>
          </w:p>
        </w:tc>
        <w:tc>
          <w:tcPr>
            <w:tcW w:w="282" w:type="dxa"/>
            <w:tcBorders/>
            <w:shd w:fill="FFFFFF" w:val="clear"/>
            <w:vAlign w:val="bottom"/>
          </w:tcPr>
          <w:p>
            <w:pPr>
              <w:pStyle w:val="TableContents"/>
              <w:spacing w:before="0" w:after="283"/>
              <w:jc w:val="right"/>
              <w:rPr/>
            </w:pPr>
            <w:r>
              <w:rPr/>
              <w:t>    </w:t>
            </w:r>
          </w:p>
        </w:tc>
        <w:tc>
          <w:tcPr>
            <w:tcW w:w="70" w:type="dxa"/>
            <w:tcBorders/>
            <w:shd w:fill="FFFFFF" w:val="clear"/>
            <w:vAlign w:val="center"/>
          </w:tcPr>
          <w:p>
            <w:pPr>
              <w:pStyle w:val="TableContents"/>
              <w:spacing w:before="0" w:after="283"/>
              <w:rPr/>
            </w:pPr>
            <w:r>
              <w:rPr/>
              <w:t> </w:t>
            </w:r>
          </w:p>
        </w:tc>
        <w:tc>
          <w:tcPr>
            <w:tcW w:w="569" w:type="dxa"/>
            <w:tcBorders/>
            <w:shd w:fill="FFFFFF" w:val="clear"/>
            <w:vAlign w:val="bottom"/>
          </w:tcPr>
          <w:p>
            <w:pPr>
              <w:pStyle w:val="TableContents"/>
              <w:spacing w:before="0" w:after="283"/>
              <w:jc w:val="right"/>
              <w:rPr>
                <w:rFonts w:ascii="Arial" w:hAnsi="Arial"/>
              </w:rPr>
            </w:pPr>
            <w:r>
              <w:rPr>
                <w:rFonts w:ascii="Arial" w:hAnsi="Arial"/>
              </w:rPr>
              <w:t>13</w:t>
            </w:r>
          </w:p>
        </w:tc>
        <w:tc>
          <w:tcPr>
            <w:tcW w:w="27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916" w:type="dxa"/>
            <w:tcBorders/>
            <w:shd w:fill="E5FFFF" w:val="clear"/>
            <w:vAlign w:val="bottom"/>
          </w:tcPr>
          <w:p>
            <w:pPr>
              <w:pStyle w:val="TableContents"/>
              <w:spacing w:before="0" w:after="283"/>
              <w:jc w:val="left"/>
              <w:rPr/>
            </w:pPr>
            <w:r>
              <w:rPr/>
              <w:t>             </w:t>
            </w:r>
          </w:p>
        </w:tc>
        <w:tc>
          <w:tcPr>
            <w:tcW w:w="5555" w:type="dxa"/>
            <w:tcBorders/>
            <w:shd w:fill="E5FFFF" w:val="clear"/>
            <w:vAlign w:val="bottom"/>
          </w:tcPr>
          <w:p>
            <w:pPr>
              <w:pStyle w:val="TableContents"/>
              <w:spacing w:before="0" w:after="283"/>
              <w:jc w:val="left"/>
              <w:rPr>
                <w:rFonts w:ascii="Arial" w:hAnsi="Arial"/>
              </w:rPr>
            </w:pPr>
            <w:r>
              <w:rPr>
                <w:rFonts w:ascii="Arial" w:hAnsi="Arial"/>
              </w:rPr>
              <w:t>Actual 10 year average annual compounded</w:t>
              <w:br/>
              <w:t>rate of return</w:t>
            </w:r>
          </w:p>
        </w:tc>
        <w:tc>
          <w:tcPr>
            <w:tcW w:w="282" w:type="dxa"/>
            <w:tcBorders/>
            <w:shd w:fill="E5FFFF" w:val="clear"/>
            <w:vAlign w:val="bottom"/>
          </w:tcPr>
          <w:p>
            <w:pPr>
              <w:pStyle w:val="TableContents"/>
              <w:spacing w:before="0" w:after="283"/>
              <w:jc w:val="right"/>
              <w:rPr/>
            </w:pPr>
            <w:r>
              <w:rPr/>
              <w:t>    </w:t>
            </w:r>
          </w:p>
        </w:tc>
        <w:tc>
          <w:tcPr>
            <w:tcW w:w="70" w:type="dxa"/>
            <w:tcBorders/>
            <w:shd w:fill="E5FFFF" w:val="clear"/>
            <w:vAlign w:val="center"/>
          </w:tcPr>
          <w:p>
            <w:pPr>
              <w:pStyle w:val="TableContents"/>
              <w:spacing w:before="0" w:after="283"/>
              <w:rPr/>
            </w:pPr>
            <w:r>
              <w:rPr/>
              <w:t> </w:t>
            </w:r>
          </w:p>
        </w:tc>
        <w:tc>
          <w:tcPr>
            <w:tcW w:w="569" w:type="dxa"/>
            <w:tcBorders/>
            <w:shd w:fill="E5FFFF" w:val="clear"/>
            <w:vAlign w:val="bottom"/>
          </w:tcPr>
          <w:p>
            <w:pPr>
              <w:pStyle w:val="TableContents"/>
              <w:spacing w:before="0" w:after="283"/>
              <w:jc w:val="right"/>
              <w:rPr>
                <w:rFonts w:ascii="Arial" w:hAnsi="Arial"/>
              </w:rPr>
            </w:pPr>
            <w:r>
              <w:rPr>
                <w:rFonts w:ascii="Arial" w:hAnsi="Arial"/>
              </w:rPr>
              <w:t>10</w:t>
            </w:r>
          </w:p>
        </w:tc>
        <w:tc>
          <w:tcPr>
            <w:tcW w:w="271" w:type="dxa"/>
            <w:tcBorders/>
            <w:shd w:fill="E5FFFF" w:val="clear"/>
            <w:vAlign w:val="bottom"/>
          </w:tcPr>
          <w:p>
            <w:pPr>
              <w:pStyle w:val="TableContents"/>
              <w:spacing w:before="0" w:after="283"/>
              <w:jc w:val="left"/>
              <w:rPr>
                <w:rFonts w:ascii="Arial" w:hAnsi="Arial"/>
              </w:rPr>
            </w:pPr>
            <w:r>
              <w:rPr>
                <w:rFonts w:ascii="Arial" w:hAnsi="Arial"/>
              </w:rPr>
              <w:t>%</w:t>
            </w:r>
          </w:p>
        </w:tc>
        <w:tc>
          <w:tcPr>
            <w:tcW w:w="281" w:type="dxa"/>
            <w:tcBorders/>
            <w:shd w:fill="E5FFFF" w:val="clear"/>
            <w:vAlign w:val="bottom"/>
          </w:tcPr>
          <w:p>
            <w:pPr>
              <w:pStyle w:val="TableContents"/>
              <w:spacing w:before="0" w:after="283"/>
              <w:jc w:val="right"/>
              <w:rPr/>
            </w:pPr>
            <w:r>
              <w:rPr/>
              <w:t>    </w:t>
            </w:r>
          </w:p>
        </w:tc>
        <w:tc>
          <w:tcPr>
            <w:tcW w:w="71" w:type="dxa"/>
            <w:tcBorders/>
            <w:shd w:fill="E5FFFF" w:val="clear"/>
            <w:vAlign w:val="center"/>
          </w:tcPr>
          <w:p>
            <w:pPr>
              <w:pStyle w:val="TableContents"/>
              <w:spacing w:before="0" w:after="283"/>
              <w:rPr/>
            </w:pPr>
            <w:r>
              <w:rPr/>
              <w:t> </w:t>
            </w:r>
          </w:p>
        </w:tc>
        <w:tc>
          <w:tcPr>
            <w:tcW w:w="728" w:type="dxa"/>
            <w:tcBorders/>
            <w:shd w:fill="E5FFFF" w:val="clear"/>
            <w:vAlign w:val="bottom"/>
          </w:tcPr>
          <w:p>
            <w:pPr>
              <w:pStyle w:val="TableContents"/>
              <w:spacing w:before="0" w:after="283"/>
              <w:jc w:val="right"/>
              <w:rPr>
                <w:rFonts w:ascii="Arial" w:hAnsi="Arial"/>
              </w:rPr>
            </w:pPr>
            <w:r>
              <w:rPr>
                <w:rFonts w:ascii="Arial" w:hAnsi="Arial"/>
              </w:rPr>
              <w:t>10</w:t>
            </w:r>
          </w:p>
        </w:tc>
        <w:tc>
          <w:tcPr>
            <w:tcW w:w="270" w:type="dxa"/>
            <w:tcBorders/>
            <w:shd w:fill="E5FFFF" w:val="clear"/>
            <w:vAlign w:val="bottom"/>
          </w:tcPr>
          <w:p>
            <w:pPr>
              <w:pStyle w:val="TableContents"/>
              <w:spacing w:before="0" w:after="283"/>
              <w:jc w:val="left"/>
              <w:rPr>
                <w:rFonts w:ascii="Arial" w:hAnsi="Arial"/>
              </w:rPr>
            </w:pPr>
            <w:r>
              <w:rPr>
                <w:rFonts w:ascii="Arial" w:hAnsi="Arial"/>
              </w:rPr>
              <w:t>%</w:t>
            </w:r>
          </w:p>
        </w:tc>
        <w:tc>
          <w:tcPr>
            <w:tcW w:w="282" w:type="dxa"/>
            <w:tcBorders/>
            <w:shd w:fill="E5FFFF" w:val="clear"/>
            <w:vAlign w:val="bottom"/>
          </w:tcPr>
          <w:p>
            <w:pPr>
              <w:pStyle w:val="TableContents"/>
              <w:spacing w:before="0" w:after="283"/>
              <w:jc w:val="right"/>
              <w:rPr/>
            </w:pPr>
            <w:r>
              <w:rPr/>
              <w:t>    </w:t>
            </w:r>
          </w:p>
        </w:tc>
        <w:tc>
          <w:tcPr>
            <w:tcW w:w="70" w:type="dxa"/>
            <w:tcBorders/>
            <w:shd w:fill="E5FFFF" w:val="clear"/>
            <w:vAlign w:val="center"/>
          </w:tcPr>
          <w:p>
            <w:pPr>
              <w:pStyle w:val="TableContents"/>
              <w:spacing w:before="0" w:after="283"/>
              <w:rPr/>
            </w:pPr>
            <w:r>
              <w:rPr/>
              <w:t> </w:t>
            </w:r>
          </w:p>
        </w:tc>
        <w:tc>
          <w:tcPr>
            <w:tcW w:w="569" w:type="dxa"/>
            <w:tcBorders/>
            <w:shd w:fill="E5FFFF" w:val="clear"/>
            <w:vAlign w:val="bottom"/>
          </w:tcPr>
          <w:p>
            <w:pPr>
              <w:pStyle w:val="TableContents"/>
              <w:spacing w:before="0" w:after="283"/>
              <w:jc w:val="right"/>
              <w:rPr>
                <w:rFonts w:ascii="Arial" w:hAnsi="Arial"/>
              </w:rPr>
            </w:pPr>
            <w:r>
              <w:rPr>
                <w:rFonts w:ascii="Arial" w:hAnsi="Arial"/>
              </w:rPr>
              <w:t>11</w:t>
            </w:r>
          </w:p>
        </w:tc>
        <w:tc>
          <w:tcPr>
            <w:tcW w:w="27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916" w:type="dxa"/>
            <w:tcBorders/>
            <w:shd w:fill="FFFFFF" w:val="clear"/>
            <w:vAlign w:val="bottom"/>
          </w:tcPr>
          <w:p>
            <w:pPr>
              <w:pStyle w:val="TableContents"/>
              <w:spacing w:before="0" w:after="283"/>
              <w:jc w:val="left"/>
              <w:rPr/>
            </w:pPr>
            <w:r>
              <w:rPr/>
              <w:t>             </w:t>
            </w:r>
          </w:p>
        </w:tc>
        <w:tc>
          <w:tcPr>
            <w:tcW w:w="5555" w:type="dxa"/>
            <w:tcBorders/>
            <w:shd w:fill="FFFFFF" w:val="clear"/>
            <w:vAlign w:val="bottom"/>
          </w:tcPr>
          <w:p>
            <w:pPr>
              <w:pStyle w:val="TableContents"/>
              <w:spacing w:before="0" w:after="283"/>
              <w:rPr>
                <w:sz w:val="4"/>
                <w:szCs w:val="4"/>
              </w:rPr>
            </w:pPr>
            <w:r>
              <w:rPr>
                <w:sz w:val="4"/>
                <w:szCs w:val="4"/>
              </w:rPr>
            </w:r>
          </w:p>
        </w:tc>
        <w:tc>
          <w:tcPr>
            <w:tcW w:w="282"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69"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rPr/>
            </w:pPr>
            <w:r>
              <w:rPr/>
              <w:t> </w:t>
            </w:r>
          </w:p>
        </w:tc>
        <w:tc>
          <w:tcPr>
            <w:tcW w:w="71" w:type="dxa"/>
            <w:tcBorders/>
            <w:shd w:fill="FFFFFF" w:val="clear"/>
            <w:vAlign w:val="center"/>
          </w:tcPr>
          <w:p>
            <w:pPr>
              <w:pStyle w:val="TableContents"/>
              <w:spacing w:before="0" w:after="283"/>
              <w:rPr/>
            </w:pPr>
            <w:r>
              <w:rPr/>
              <w:t> </w:t>
            </w:r>
          </w:p>
        </w:tc>
        <w:tc>
          <w:tcPr>
            <w:tcW w:w="728" w:type="dxa"/>
            <w:tcBorders/>
            <w:shd w:fill="FFFFFF" w:val="clear"/>
            <w:vAlign w:val="center"/>
          </w:tcPr>
          <w:p>
            <w:pPr>
              <w:pStyle w:val="TableContents"/>
              <w:spacing w:before="0" w:after="283"/>
              <w:rPr/>
            </w:pPr>
            <w:r>
              <w:rPr/>
              <w:t> </w:t>
            </w:r>
          </w:p>
        </w:tc>
        <w:tc>
          <w:tcPr>
            <w:tcW w:w="270" w:type="dxa"/>
            <w:tcBorders/>
            <w:shd w:fill="FFFFFF" w:val="clear"/>
            <w:vAlign w:val="center"/>
          </w:tcPr>
          <w:p>
            <w:pPr>
              <w:pStyle w:val="TableContents"/>
              <w:spacing w:before="0" w:after="283"/>
              <w:rPr/>
            </w:pPr>
            <w:r>
              <w:rPr/>
              <w:t> </w:t>
            </w:r>
          </w:p>
        </w:tc>
        <w:tc>
          <w:tcPr>
            <w:tcW w:w="282"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569"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reduction in the discount rate in both 2006 and 2005 reflects the lower market interest rate environment for high-quality fixed income debt instruments. The discount rate is also volatile from year to year because it is determined based upon the prevailing rate as of the measurement date. We will use a 6.00 percent discount rate in 2007, reflecting the increase in the market interest rate environment. We plan to continue to use an expected rate of return on plan assets of 9 percent for 2007 based principally on our historical experience of actual plan returns. The net losses for our pension plans were $2.4 billion at December 31, 2006 compared with $3.4 billion at December 31, 2005. This decrease of $1.0 billion is due primarily to lower net losses in our U.S. plans due to a higher discount rate at December 31, 2006, an actual plan asset return of 14% in 2006 in our U.S. plans which was higher than the expected rate of return of 9%, and loss amortization in 2006. The net losses at December 31, 2006 principally result from the decline each year in the discount rate for the period 2001 through 2005 and from actual plan asset returns below expected rates of return during 2000, 2001, 2002 and 2005. Such net losses were recognized as of December 31, 2006 on our consolidated balance sheet and as a component of other comprehensive income (loss), net of tax, in accordance with SFAS No. 158, “Employers' Accounting for Defined Benefit Pension and Other Postretirement Plans (SFAS No. 158) which is discussed in detail in Notes 1 and 22 to the financial statements. In the future we will continue to systematically recognize such net losses in net periodic pension expense in accordance with Statement of Financial Accounting Standards No. 87, "Employers Accounting for Pensions' (SFAS No. 87). Under SFAS No. 87, we use the market-related value of plan assets reflecting changes in the fair value of plan assets over a three-year period. Further, net losses in excess of 10 percent of the greater of the market-related value of plan assets or the plans projected benefit obligation are recognized over a six-year period.</w:t>
      </w:r>
    </w:p>
    <w:p>
      <w:pPr>
        <w:pStyle w:val="TextBody"/>
        <w:jc w:val="left"/>
        <w:rPr/>
      </w:pPr>
      <w:r>
        <w:rPr/>
        <w:t>      </w:t>
      </w:r>
      <w:r>
        <w:rPr>
          <w:rFonts w:ascii="Arial" w:hAnsi="Arial"/>
        </w:rPr>
        <w:t>Changes in net periodic pension expense may occur in the future due to changes in our expected rate of return on plan assets and discount rate resulting from economic events. The following table</w:t>
      </w:r>
    </w:p>
    <w:p>
      <w:pPr>
        <w:pStyle w:val="TextBody"/>
        <w:jc w:val="center"/>
        <w:rPr>
          <w:rFonts w:ascii="Arial" w:hAnsi="Arial"/>
        </w:rPr>
      </w:pPr>
      <w:r>
        <w:rPr>
          <w:rFonts w:ascii="Arial" w:hAnsi="Arial"/>
        </w:rPr>
        <w:t>41</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highlights the sensitivity of our U.S. pension obligations and expense to changes in these assumptions, assuming all other assumptions remain constant:</w:t>
      </w:r>
    </w:p>
    <w:tbl>
      <w:tblPr>
        <w:tblW w:w="5000" w:type="pct"/>
        <w:jc w:val="left"/>
        <w:tblInd w:w="0" w:type="dxa"/>
        <w:tblCellMar>
          <w:top w:w="0" w:type="dxa"/>
          <w:left w:w="0" w:type="dxa"/>
          <w:bottom w:w="0" w:type="dxa"/>
          <w:right w:w="0" w:type="dxa"/>
        </w:tblCellMar>
      </w:tblPr>
      <w:tblGrid>
        <w:gridCol w:w="5681"/>
        <w:gridCol w:w="240"/>
        <w:gridCol w:w="1971"/>
        <w:gridCol w:w="240"/>
        <w:gridCol w:w="2073"/>
      </w:tblGrid>
      <w:tr>
        <w:trPr/>
        <w:tc>
          <w:tcPr>
            <w:tcW w:w="5681" w:type="dxa"/>
            <w:tcBorders/>
            <w:shd w:fill="FFFFFF" w:val="clear"/>
            <w:vAlign w:val="bottom"/>
          </w:tcPr>
          <w:p>
            <w:pPr>
              <w:pStyle w:val="TableContents"/>
              <w:spacing w:before="0" w:after="0"/>
              <w:jc w:val="center"/>
              <w:rPr>
                <w:rFonts w:ascii="Arial" w:hAnsi="Arial"/>
                <w:b/>
              </w:rPr>
            </w:pPr>
            <w:r>
              <w:rPr>
                <w:rFonts w:ascii="Arial" w:hAnsi="Arial"/>
                <w:b/>
              </w:rPr>
              <w:t>Change in Assumption</w:t>
            </w:r>
          </w:p>
          <w:p>
            <w:pPr>
              <w:pStyle w:val="HorizontalLine"/>
              <w:pBdr>
                <w:bottom w:val="single" w:sz="6" w:space="0" w:color="000000"/>
              </w:pBdr>
              <w:spacing w:before="0" w:after="283"/>
              <w:rPr/>
            </w:pPr>
            <w:r>
              <w:rPr/>
            </w:r>
          </w:p>
        </w:tc>
        <w:tc>
          <w:tcPr>
            <w:tcW w:w="240" w:type="dxa"/>
            <w:tcBorders/>
            <w:shd w:fill="FFFFFF" w:val="clear"/>
            <w:vAlign w:val="bottom"/>
          </w:tcPr>
          <w:p>
            <w:pPr>
              <w:pStyle w:val="TableContents"/>
              <w:spacing w:before="0" w:after="283"/>
              <w:jc w:val="center"/>
              <w:rPr/>
            </w:pPr>
            <w:r>
              <w:rPr/>
              <w:t>    </w:t>
            </w:r>
          </w:p>
        </w:tc>
        <w:tc>
          <w:tcPr>
            <w:tcW w:w="1971" w:type="dxa"/>
            <w:tcBorders/>
            <w:shd w:fill="FFFFFF" w:val="clear"/>
            <w:vAlign w:val="bottom"/>
          </w:tcPr>
          <w:p>
            <w:pPr>
              <w:pStyle w:val="TableContents"/>
              <w:spacing w:before="0" w:after="0"/>
              <w:jc w:val="center"/>
              <w:rPr>
                <w:rFonts w:ascii="Arial" w:hAnsi="Arial"/>
                <w:b/>
              </w:rPr>
            </w:pPr>
            <w:r>
              <w:rPr>
                <w:rFonts w:ascii="Arial" w:hAnsi="Arial"/>
                <w:b/>
              </w:rPr>
              <w:t>Impact on Annual</w:t>
              <w:br/>
              <w:t>Pension Expense</w:t>
            </w:r>
          </w:p>
          <w:p>
            <w:pPr>
              <w:pStyle w:val="HorizontalLine"/>
              <w:pBdr>
                <w:bottom w:val="single" w:sz="6" w:space="0" w:color="000000"/>
              </w:pBdr>
              <w:spacing w:before="0" w:after="283"/>
              <w:rPr/>
            </w:pPr>
            <w:r>
              <w:rPr/>
            </w:r>
          </w:p>
        </w:tc>
        <w:tc>
          <w:tcPr>
            <w:tcW w:w="240" w:type="dxa"/>
            <w:tcBorders/>
            <w:shd w:fill="FFFFFF" w:val="clear"/>
            <w:vAlign w:val="bottom"/>
          </w:tcPr>
          <w:p>
            <w:pPr>
              <w:pStyle w:val="TableContents"/>
              <w:spacing w:before="0" w:after="283"/>
              <w:jc w:val="center"/>
              <w:rPr/>
            </w:pPr>
            <w:r>
              <w:rPr/>
              <w:t>    </w:t>
            </w:r>
          </w:p>
        </w:tc>
        <w:tc>
          <w:tcPr>
            <w:tcW w:w="2073" w:type="dxa"/>
            <w:tcBorders/>
            <w:shd w:fill="FFFFFF" w:val="clear"/>
            <w:vAlign w:val="bottom"/>
          </w:tcPr>
          <w:p>
            <w:pPr>
              <w:pStyle w:val="TableContents"/>
              <w:spacing w:before="0" w:after="0"/>
              <w:jc w:val="center"/>
              <w:rPr>
                <w:rFonts w:ascii="Arial" w:hAnsi="Arial"/>
                <w:b/>
              </w:rPr>
            </w:pPr>
            <w:r>
              <w:rPr>
                <w:rFonts w:ascii="Arial" w:hAnsi="Arial"/>
                <w:b/>
              </w:rPr>
              <w:t>Impact on PBO</w:t>
            </w:r>
          </w:p>
          <w:p>
            <w:pPr>
              <w:pStyle w:val="HorizontalLine"/>
              <w:pBdr>
                <w:bottom w:val="single" w:sz="6" w:space="0" w:color="000000"/>
              </w:pBdr>
              <w:spacing w:before="0" w:after="283"/>
              <w:rPr/>
            </w:pPr>
            <w:r>
              <w:rPr/>
            </w:r>
          </w:p>
        </w:tc>
      </w:tr>
      <w:tr>
        <w:trPr/>
        <w:tc>
          <w:tcPr>
            <w:tcW w:w="5681" w:type="dxa"/>
            <w:tcBorders/>
            <w:shd w:fill="FFFFFF" w:val="clear"/>
            <w:vAlign w:val="bottom"/>
          </w:tcPr>
          <w:p>
            <w:pPr>
              <w:pStyle w:val="TableContents"/>
              <w:spacing w:before="0" w:after="283"/>
              <w:jc w:val="left"/>
              <w:rPr>
                <w:rFonts w:ascii="Arial" w:hAnsi="Arial"/>
              </w:rPr>
            </w:pPr>
            <w:r>
              <w:rPr>
                <w:rFonts w:ascii="Arial" w:hAnsi="Arial"/>
              </w:rPr>
              <w:t>0.25 percentage point decrease in discount rate</w:t>
            </w:r>
          </w:p>
        </w:tc>
        <w:tc>
          <w:tcPr>
            <w:tcW w:w="240" w:type="dxa"/>
            <w:tcBorders/>
            <w:shd w:fill="FFFFFF" w:val="clear"/>
            <w:vAlign w:val="bottom"/>
          </w:tcPr>
          <w:p>
            <w:pPr>
              <w:pStyle w:val="TableContents"/>
              <w:spacing w:before="0" w:after="283"/>
              <w:jc w:val="center"/>
              <w:rPr/>
            </w:pPr>
            <w:r>
              <w:rPr/>
              <w:t>    </w:t>
            </w:r>
          </w:p>
        </w:tc>
        <w:tc>
          <w:tcPr>
            <w:tcW w:w="1971" w:type="dxa"/>
            <w:tcBorders/>
            <w:shd w:fill="FFFFFF" w:val="clear"/>
            <w:vAlign w:val="bottom"/>
          </w:tcPr>
          <w:p>
            <w:pPr>
              <w:pStyle w:val="TableContents"/>
              <w:spacing w:before="0" w:after="283"/>
              <w:jc w:val="center"/>
              <w:rPr>
                <w:rFonts w:ascii="Arial" w:hAnsi="Arial"/>
              </w:rPr>
            </w:pPr>
            <w:r>
              <w:rPr>
                <w:rFonts w:ascii="Arial" w:hAnsi="Arial"/>
              </w:rPr>
              <w:t>Increase $50 million</w:t>
            </w:r>
          </w:p>
        </w:tc>
        <w:tc>
          <w:tcPr>
            <w:tcW w:w="240" w:type="dxa"/>
            <w:tcBorders/>
            <w:shd w:fill="FFFFFF" w:val="clear"/>
            <w:vAlign w:val="bottom"/>
          </w:tcPr>
          <w:p>
            <w:pPr>
              <w:pStyle w:val="TableContents"/>
              <w:spacing w:before="0" w:after="283"/>
              <w:jc w:val="center"/>
              <w:rPr/>
            </w:pPr>
            <w:r>
              <w:rPr/>
              <w:t>    </w:t>
            </w:r>
          </w:p>
        </w:tc>
        <w:tc>
          <w:tcPr>
            <w:tcW w:w="2073" w:type="dxa"/>
            <w:tcBorders/>
            <w:shd w:fill="FFFFFF" w:val="clear"/>
            <w:vAlign w:val="bottom"/>
          </w:tcPr>
          <w:p>
            <w:pPr>
              <w:pStyle w:val="TableContents"/>
              <w:spacing w:before="0" w:after="283"/>
              <w:jc w:val="center"/>
              <w:rPr>
                <w:rFonts w:ascii="Arial" w:hAnsi="Arial"/>
              </w:rPr>
            </w:pPr>
            <w:r>
              <w:rPr>
                <w:rFonts w:ascii="Arial" w:hAnsi="Arial"/>
              </w:rPr>
              <w:t>Increase $345 million</w:t>
            </w:r>
          </w:p>
        </w:tc>
      </w:tr>
      <w:tr>
        <w:trPr/>
        <w:tc>
          <w:tcPr>
            <w:tcW w:w="5681" w:type="dxa"/>
            <w:tcBorders/>
            <w:shd w:fill="E5FFFF" w:val="clear"/>
            <w:vAlign w:val="bottom"/>
          </w:tcPr>
          <w:p>
            <w:pPr>
              <w:pStyle w:val="TableContents"/>
              <w:spacing w:before="0" w:after="283"/>
              <w:jc w:val="left"/>
              <w:rPr>
                <w:rFonts w:ascii="Arial" w:hAnsi="Arial"/>
              </w:rPr>
            </w:pPr>
            <w:r>
              <w:rPr>
                <w:rFonts w:ascii="Arial" w:hAnsi="Arial"/>
              </w:rPr>
              <w:t>0.25 percentage point increase in discount rate</w:t>
            </w:r>
          </w:p>
        </w:tc>
        <w:tc>
          <w:tcPr>
            <w:tcW w:w="240" w:type="dxa"/>
            <w:tcBorders/>
            <w:shd w:fill="E5FFFF" w:val="clear"/>
            <w:vAlign w:val="bottom"/>
          </w:tcPr>
          <w:p>
            <w:pPr>
              <w:pStyle w:val="TableContents"/>
              <w:spacing w:before="0" w:after="283"/>
              <w:jc w:val="center"/>
              <w:rPr/>
            </w:pPr>
            <w:r>
              <w:rPr/>
              <w:t>    </w:t>
            </w:r>
          </w:p>
        </w:tc>
        <w:tc>
          <w:tcPr>
            <w:tcW w:w="1971" w:type="dxa"/>
            <w:tcBorders/>
            <w:shd w:fill="E5FFFF" w:val="clear"/>
            <w:vAlign w:val="bottom"/>
          </w:tcPr>
          <w:p>
            <w:pPr>
              <w:pStyle w:val="TableContents"/>
              <w:spacing w:before="0" w:after="283"/>
              <w:jc w:val="center"/>
              <w:rPr>
                <w:rFonts w:ascii="Arial" w:hAnsi="Arial"/>
              </w:rPr>
            </w:pPr>
            <w:r>
              <w:rPr>
                <w:rFonts w:ascii="Arial" w:hAnsi="Arial"/>
              </w:rPr>
              <w:t>Decrease $50 million</w:t>
            </w:r>
          </w:p>
        </w:tc>
        <w:tc>
          <w:tcPr>
            <w:tcW w:w="240" w:type="dxa"/>
            <w:tcBorders/>
            <w:shd w:fill="E5FFFF" w:val="clear"/>
            <w:vAlign w:val="bottom"/>
          </w:tcPr>
          <w:p>
            <w:pPr>
              <w:pStyle w:val="TableContents"/>
              <w:spacing w:before="0" w:after="283"/>
              <w:jc w:val="center"/>
              <w:rPr/>
            </w:pPr>
            <w:r>
              <w:rPr/>
              <w:t>    </w:t>
            </w:r>
          </w:p>
        </w:tc>
        <w:tc>
          <w:tcPr>
            <w:tcW w:w="2073" w:type="dxa"/>
            <w:tcBorders/>
            <w:shd w:fill="E5FFFF" w:val="clear"/>
            <w:vAlign w:val="bottom"/>
          </w:tcPr>
          <w:p>
            <w:pPr>
              <w:pStyle w:val="TableContents"/>
              <w:spacing w:before="0" w:after="283"/>
              <w:jc w:val="center"/>
              <w:rPr>
                <w:rFonts w:ascii="Arial" w:hAnsi="Arial"/>
              </w:rPr>
            </w:pPr>
            <w:r>
              <w:rPr>
                <w:rFonts w:ascii="Arial" w:hAnsi="Arial"/>
              </w:rPr>
              <w:t>Decrease $330 million</w:t>
            </w:r>
          </w:p>
        </w:tc>
      </w:tr>
      <w:tr>
        <w:trPr/>
        <w:tc>
          <w:tcPr>
            <w:tcW w:w="5681" w:type="dxa"/>
            <w:tcBorders/>
            <w:shd w:fill="FFFFFF" w:val="clear"/>
            <w:vAlign w:val="bottom"/>
          </w:tcPr>
          <w:p>
            <w:pPr>
              <w:pStyle w:val="TableContents"/>
              <w:spacing w:before="0" w:after="283"/>
              <w:jc w:val="left"/>
              <w:rPr>
                <w:rFonts w:ascii="Arial" w:hAnsi="Arial"/>
              </w:rPr>
            </w:pPr>
            <w:r>
              <w:rPr>
                <w:rFonts w:ascii="Arial" w:hAnsi="Arial"/>
              </w:rPr>
              <w:t>0.25 percentage point decrease in expected rate of return on assets</w:t>
            </w:r>
          </w:p>
        </w:tc>
        <w:tc>
          <w:tcPr>
            <w:tcW w:w="240" w:type="dxa"/>
            <w:tcBorders/>
            <w:shd w:fill="FFFFFF" w:val="clear"/>
            <w:vAlign w:val="bottom"/>
          </w:tcPr>
          <w:p>
            <w:pPr>
              <w:pStyle w:val="TableContents"/>
              <w:spacing w:before="0" w:after="283"/>
              <w:jc w:val="center"/>
              <w:rPr/>
            </w:pPr>
            <w:r>
              <w:rPr/>
              <w:t>    </w:t>
            </w:r>
          </w:p>
        </w:tc>
        <w:tc>
          <w:tcPr>
            <w:tcW w:w="1971" w:type="dxa"/>
            <w:tcBorders/>
            <w:shd w:fill="FFFFFF" w:val="clear"/>
            <w:vAlign w:val="bottom"/>
          </w:tcPr>
          <w:p>
            <w:pPr>
              <w:pStyle w:val="TableContents"/>
              <w:spacing w:before="0" w:after="283"/>
              <w:jc w:val="center"/>
              <w:rPr>
                <w:rFonts w:ascii="Arial" w:hAnsi="Arial"/>
              </w:rPr>
            </w:pPr>
            <w:r>
              <w:rPr>
                <w:rFonts w:ascii="Arial" w:hAnsi="Arial"/>
              </w:rPr>
              <w:t>Increase $30 million</w:t>
            </w:r>
          </w:p>
        </w:tc>
        <w:tc>
          <w:tcPr>
            <w:tcW w:w="240" w:type="dxa"/>
            <w:tcBorders/>
            <w:shd w:fill="FFFFFF" w:val="clear"/>
            <w:vAlign w:val="bottom"/>
          </w:tcPr>
          <w:p>
            <w:pPr>
              <w:pStyle w:val="TableContents"/>
              <w:spacing w:before="0" w:after="283"/>
              <w:jc w:val="center"/>
              <w:rPr/>
            </w:pPr>
            <w:r>
              <w:rPr/>
              <w:t>    </w:t>
            </w:r>
          </w:p>
        </w:tc>
        <w:tc>
          <w:tcPr>
            <w:tcW w:w="2073" w:type="dxa"/>
            <w:tcBorders/>
            <w:shd w:fill="FFFFFF" w:val="clear"/>
            <w:vAlign w:val="bottom"/>
          </w:tcPr>
          <w:p>
            <w:pPr>
              <w:pStyle w:val="TableContents"/>
              <w:spacing w:before="0" w:after="283"/>
              <w:jc w:val="center"/>
              <w:rPr/>
            </w:pPr>
            <w:r>
              <w:rPr/>
              <w:t>—</w:t>
            </w:r>
          </w:p>
        </w:tc>
      </w:tr>
      <w:tr>
        <w:trPr/>
        <w:tc>
          <w:tcPr>
            <w:tcW w:w="5681" w:type="dxa"/>
            <w:tcBorders/>
            <w:shd w:fill="E5FFFF" w:val="clear"/>
            <w:vAlign w:val="bottom"/>
          </w:tcPr>
          <w:p>
            <w:pPr>
              <w:pStyle w:val="TableContents"/>
              <w:spacing w:before="0" w:after="283"/>
              <w:jc w:val="left"/>
              <w:rPr>
                <w:rFonts w:ascii="Arial" w:hAnsi="Arial"/>
              </w:rPr>
            </w:pPr>
            <w:r>
              <w:rPr>
                <w:rFonts w:ascii="Arial" w:hAnsi="Arial"/>
              </w:rPr>
              <w:t>0.25 percentage point increase in expected rate of return on assets</w:t>
            </w:r>
          </w:p>
        </w:tc>
        <w:tc>
          <w:tcPr>
            <w:tcW w:w="240" w:type="dxa"/>
            <w:tcBorders/>
            <w:shd w:fill="E5FFFF" w:val="clear"/>
            <w:vAlign w:val="bottom"/>
          </w:tcPr>
          <w:p>
            <w:pPr>
              <w:pStyle w:val="TableContents"/>
              <w:spacing w:before="0" w:after="283"/>
              <w:jc w:val="center"/>
              <w:rPr/>
            </w:pPr>
            <w:r>
              <w:rPr/>
              <w:t>    </w:t>
            </w:r>
          </w:p>
        </w:tc>
        <w:tc>
          <w:tcPr>
            <w:tcW w:w="1971" w:type="dxa"/>
            <w:tcBorders/>
            <w:shd w:fill="E5FFFF" w:val="clear"/>
            <w:vAlign w:val="bottom"/>
          </w:tcPr>
          <w:p>
            <w:pPr>
              <w:pStyle w:val="TableContents"/>
              <w:spacing w:before="0" w:after="283"/>
              <w:jc w:val="center"/>
              <w:rPr>
                <w:rFonts w:ascii="Arial" w:hAnsi="Arial"/>
              </w:rPr>
            </w:pPr>
            <w:r>
              <w:rPr>
                <w:rFonts w:ascii="Arial" w:hAnsi="Arial"/>
              </w:rPr>
              <w:t>Decrease $30 million</w:t>
            </w:r>
          </w:p>
        </w:tc>
        <w:tc>
          <w:tcPr>
            <w:tcW w:w="240" w:type="dxa"/>
            <w:tcBorders/>
            <w:shd w:fill="E5FFFF" w:val="clear"/>
            <w:vAlign w:val="bottom"/>
          </w:tcPr>
          <w:p>
            <w:pPr>
              <w:pStyle w:val="TableContents"/>
              <w:spacing w:before="0" w:after="283"/>
              <w:jc w:val="center"/>
              <w:rPr/>
            </w:pPr>
            <w:r>
              <w:rPr/>
              <w:t>    </w:t>
            </w:r>
          </w:p>
        </w:tc>
        <w:tc>
          <w:tcPr>
            <w:tcW w:w="2073" w:type="dxa"/>
            <w:tcBorders/>
            <w:shd w:fill="E5FFFF" w:val="clear"/>
            <w:vAlign w:val="bottom"/>
          </w:tcPr>
          <w:p>
            <w:pPr>
              <w:pStyle w:val="TableContents"/>
              <w:spacing w:before="0" w:after="283"/>
              <w:jc w:val="center"/>
              <w:rPr/>
            </w:pPr>
            <w:r>
              <w:rPr/>
              <w:t>—</w:t>
            </w:r>
          </w:p>
        </w:tc>
      </w:tr>
      <w:tr>
        <w:trPr/>
        <w:tc>
          <w:tcPr>
            <w:tcW w:w="5681"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97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073"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Net periodic pension expense for our pension plans is expected to be approximately $200 million in 2007, a $113 million decrease from 2006 due principally to a decrease in the amortization of net losses. The decline in the amortization of net losses results principally from an increase in the discount rate at December 31, 2006 and actual plan asset returns higher than the expected rate of return in 2004 and 2006.</w:t>
      </w:r>
    </w:p>
    <w:p>
      <w:pPr>
        <w:pStyle w:val="TextBody"/>
        <w:jc w:val="left"/>
        <w:rPr/>
      </w:pPr>
      <w:r>
        <w:rPr/>
        <w:t>      </w:t>
      </w:r>
      <w:r>
        <w:rPr>
          <w:rFonts w:ascii="Arial" w:hAnsi="Arial"/>
        </w:rPr>
        <w:t>In 2006, 2005 and 2004 we were not required to make a contribution to satisfy minimum statutory funding requirements in our U.S. pension plans. We made voluntary contributions of $68 and $40 million to our U.S. pension plans in 2006 and 2004, respectively, mainly for government contracting purposes. Future plan contributions are dependent upon actual plan asset returns and interest rates. Assuming that actual plan returns are consistent with our expected plan return of 9 percent in 2007 and beyond, and that interest rates remain constant, we would not be required to make any contributions to our U.S. pension plans to satisfy minimum statutory funding requirements for the foreseeable future. However, we expect to make voluntary contributions of approximately $52 million in cash in 2007 to certain of our U.S. pension plans for government contracting purposes. We also expect to contribute approximately $155 million in cash in 2007 to our non-U.S. defined benefit pension plans to satisfy regulatory funding standards.</w:t>
      </w:r>
    </w:p>
    <w:p>
      <w:pPr>
        <w:pStyle w:val="TextBody"/>
        <w:jc w:val="left"/>
        <w:rPr/>
      </w:pPr>
      <w:r>
        <w:rPr/>
        <w:t>      </w:t>
      </w:r>
      <w:r>
        <w:rPr>
          <w:rFonts w:ascii="Arial" w:hAnsi="Arial"/>
          <w:b/>
          <w:i/>
        </w:rPr>
        <w:t>Long-Lived Assets (including Tangible and Definite-Lived Intangible Assets)—</w:t>
      </w:r>
      <w:r>
        <w:rPr>
          <w:rFonts w:ascii="Arial" w:hAnsi="Arial"/>
        </w:rPr>
        <w:t>To conduct our global business operations and execute our business strategy, we acquire tangible and intangible assets, including property, plant and equipment and definite-lived intangible assets. At December 31, 2006, the net carrying amount of these long-lived assets totaled $5.9 billion. The determination of useful lives (for depreciation/amortization purposes) and whether or not these assets are impaired involves the use of accounting estimates and assumptions, changes in which could materially impact our financial condition or operating performance if actual results differ from such estimates and assumptions. We periodically evaluate the recoverability of the carrying amount of our long-lived assets whenever events or changes in circumstances indicate that the carrying amount of a long-lived asset group may not be fully recoverable. The principal factors we consider in deciding when to perform an impairment review are as follows:</w:t>
      </w:r>
    </w:p>
    <w:tbl>
      <w:tblPr>
        <w:tblW w:w="5000" w:type="pct"/>
        <w:jc w:val="left"/>
        <w:tblInd w:w="0" w:type="dxa"/>
        <w:tblCellMar>
          <w:top w:w="0" w:type="dxa"/>
          <w:left w:w="0" w:type="dxa"/>
          <w:bottom w:w="0" w:type="dxa"/>
          <w:right w:w="0" w:type="dxa"/>
        </w:tblCellMar>
      </w:tblPr>
      <w:tblGrid>
        <w:gridCol w:w="359"/>
        <w:gridCol w:w="152"/>
        <w:gridCol w:w="9694"/>
      </w:tblGrid>
      <w:tr>
        <w:trPr/>
        <w:tc>
          <w:tcPr>
            <w:tcW w:w="359" w:type="dxa"/>
            <w:tcBorders/>
            <w:shd w:fill="FFFFFF" w:val="clear"/>
          </w:tcPr>
          <w:p>
            <w:pPr>
              <w:pStyle w:val="TableContents"/>
              <w:spacing w:before="0" w:after="283"/>
              <w:rPr>
                <w:sz w:val="4"/>
                <w:szCs w:val="4"/>
              </w:rPr>
            </w:pPr>
            <w:r>
              <w:rPr>
                <w:sz w:val="4"/>
                <w:szCs w:val="4"/>
              </w:rPr>
            </w:r>
          </w:p>
        </w:tc>
        <w:tc>
          <w:tcPr>
            <w:tcW w:w="152" w:type="dxa"/>
            <w:tcBorders/>
            <w:shd w:fill="FFFFFF" w:val="clear"/>
          </w:tcPr>
          <w:p>
            <w:pPr>
              <w:pStyle w:val="TableContents"/>
              <w:spacing w:before="0" w:after="283"/>
              <w:jc w:val="left"/>
              <w:rPr/>
            </w:pPr>
            <w:r>
              <w:rPr/>
              <w:t>•</w:t>
            </w:r>
          </w:p>
        </w:tc>
        <w:tc>
          <w:tcPr>
            <w:tcW w:w="9694" w:type="dxa"/>
            <w:tcBorders/>
            <w:shd w:fill="FFFFFF" w:val="clear"/>
          </w:tcPr>
          <w:p>
            <w:pPr>
              <w:pStyle w:val="TableContents"/>
              <w:spacing w:before="0" w:after="283"/>
              <w:jc w:val="left"/>
              <w:rPr>
                <w:rFonts w:ascii="Arial" w:hAnsi="Arial"/>
              </w:rPr>
            </w:pPr>
            <w:r>
              <w:rPr>
                <w:rFonts w:ascii="Arial" w:hAnsi="Arial"/>
              </w:rPr>
              <w:t>significant under-performance (i.e., declines in sales, earnings or cash flows) of a business or product line in relation to expectations;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52" w:type="dxa"/>
            <w:tcBorders/>
            <w:shd w:fill="FFFFFF" w:val="clear"/>
          </w:tcPr>
          <w:p>
            <w:pPr>
              <w:pStyle w:val="TableContents"/>
              <w:spacing w:before="0" w:after="283"/>
              <w:jc w:val="left"/>
              <w:rPr/>
            </w:pPr>
            <w:r>
              <w:rPr/>
              <w:t>•</w:t>
            </w:r>
          </w:p>
        </w:tc>
        <w:tc>
          <w:tcPr>
            <w:tcW w:w="9694" w:type="dxa"/>
            <w:tcBorders/>
            <w:shd w:fill="FFFFFF" w:val="clear"/>
          </w:tcPr>
          <w:p>
            <w:pPr>
              <w:pStyle w:val="TableContents"/>
              <w:spacing w:before="0" w:after="283"/>
              <w:jc w:val="left"/>
              <w:rPr>
                <w:rFonts w:ascii="Arial" w:hAnsi="Arial"/>
              </w:rPr>
            </w:pPr>
            <w:r>
              <w:rPr>
                <w:rFonts w:ascii="Arial" w:hAnsi="Arial"/>
              </w:rPr>
              <w:t>annual operating plans or five-year strategic plans that indicate an unfavorable trend in operating performance of a business or product line;</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52" w:type="dxa"/>
            <w:tcBorders/>
            <w:shd w:fill="FFFFFF" w:val="clear"/>
          </w:tcPr>
          <w:p>
            <w:pPr>
              <w:pStyle w:val="TableContents"/>
              <w:spacing w:before="0" w:after="283"/>
              <w:jc w:val="left"/>
              <w:rPr/>
            </w:pPr>
            <w:r>
              <w:rPr/>
              <w:t>•</w:t>
            </w:r>
          </w:p>
        </w:tc>
        <w:tc>
          <w:tcPr>
            <w:tcW w:w="9694" w:type="dxa"/>
            <w:tcBorders/>
            <w:shd w:fill="FFFFFF" w:val="clear"/>
          </w:tcPr>
          <w:p>
            <w:pPr>
              <w:pStyle w:val="TableContents"/>
              <w:spacing w:before="0" w:after="283"/>
              <w:jc w:val="left"/>
              <w:rPr>
                <w:rFonts w:ascii="Arial" w:hAnsi="Arial"/>
              </w:rPr>
            </w:pPr>
            <w:r>
              <w:rPr>
                <w:rFonts w:ascii="Arial" w:hAnsi="Arial"/>
              </w:rPr>
              <w:t>significant negative industry or economic trends; and</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52" w:type="dxa"/>
            <w:tcBorders/>
            <w:shd w:fill="FFFFFF" w:val="clear"/>
          </w:tcPr>
          <w:p>
            <w:pPr>
              <w:pStyle w:val="TableContents"/>
              <w:spacing w:before="0" w:after="283"/>
              <w:jc w:val="left"/>
              <w:rPr/>
            </w:pPr>
            <w:r>
              <w:rPr/>
              <w:t>•</w:t>
            </w:r>
          </w:p>
        </w:tc>
        <w:tc>
          <w:tcPr>
            <w:tcW w:w="9694" w:type="dxa"/>
            <w:tcBorders/>
            <w:shd w:fill="FFFFFF" w:val="clear"/>
          </w:tcPr>
          <w:p>
            <w:pPr>
              <w:pStyle w:val="TableContents"/>
              <w:spacing w:before="0" w:after="283"/>
              <w:jc w:val="left"/>
              <w:rPr>
                <w:rFonts w:ascii="Arial" w:hAnsi="Arial"/>
              </w:rPr>
            </w:pPr>
            <w:r>
              <w:rPr>
                <w:rFonts w:ascii="Arial" w:hAnsi="Arial"/>
              </w:rPr>
              <w:t>significant changes or planned changes in our use of the assets.</w:t>
            </w:r>
          </w:p>
        </w:tc>
      </w:tr>
    </w:tbl>
    <w:p>
      <w:pPr>
        <w:pStyle w:val="TextBody"/>
        <w:jc w:val="left"/>
        <w:rPr/>
      </w:pPr>
      <w:r>
        <w:rPr/>
        <w:t>      </w:t>
      </w:r>
      <w:r>
        <w:rPr>
          <w:rFonts w:ascii="Arial" w:hAnsi="Arial"/>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use the best information available to determine fair value, which are usually either market prices (if available) or an estimate of the future discounted cash flow. The key estimates in our discounted cash flow analysis include expected industry growth rates, our assumptions as to volume, selling prices and costs, and the discount rate selected. As described in more detail in the repositioning and other charges section of our MD&amp;A, we have recorded impairment charges related to long-lived assets of $12 and $23 million in 2006 and 2005, respectively, principally related to businesses in our Specialty Materials reportable segment. These businesses were</w:t>
      </w:r>
    </w:p>
    <w:p>
      <w:pPr>
        <w:pStyle w:val="TextBody"/>
        <w:jc w:val="center"/>
        <w:rPr>
          <w:rFonts w:ascii="Arial" w:hAnsi="Arial"/>
        </w:rPr>
      </w:pPr>
      <w:r>
        <w:rPr>
          <w:rFonts w:ascii="Arial" w:hAnsi="Arial"/>
        </w:rPr>
        <w:t>42</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significantly under-performing or were in industries with negative economic trends and subsequently these businesses were significantly restructured, sold or are in the process of being sold.</w:t>
      </w:r>
    </w:p>
    <w:p>
      <w:pPr>
        <w:pStyle w:val="TextBody"/>
        <w:jc w:val="left"/>
        <w:rPr/>
      </w:pPr>
      <w:r>
        <w:rPr/>
        <w:t>      </w:t>
      </w:r>
      <w:r>
        <w:rPr>
          <w:rFonts w:ascii="Arial" w:hAnsi="Arial"/>
          <w:b/>
          <w:i/>
        </w:rPr>
        <w:t>Goodwill Impairment Testing—</w:t>
      </w:r>
      <w:r>
        <w:rPr>
          <w:rFonts w:ascii="Arial" w:hAnsi="Arial"/>
        </w:rPr>
        <w:t>Goodwill represents the excess of acquisition costs over the fair value of the net tangible assets and identifiable intangible assets acquired in a business combination. Goodwill is not amortized, but is subject to impairment testing. Our Goodwill balance, $8.4 billion as of December 31, 2006, is subject to impairment testing annually as of March 31, or whenever events or changes in circumstances indicate that the carrying amount may not be fully recoverable, using the guidance and criteria described in Statement of Financial Accounting Standards No. 142, (SFAS No. 142) “Goodwill and Other Intangible Assets”. This testing compares carrying values to fair values and, when appropriate, the carrying value is reduced to fair value. The fair value of our reporting units is estimated utilizing a discounted cash flow approach incorporating historic and projected future operating performance. This impairment test involves the use of accounting estimates and assumptions, changes in which could materially impact our financial condition or operating performance if actual results differ from such estimates and assumptions. We completed our annual impairment test as of March 31, 2006 and determined that there was no impairment as of that date.</w:t>
      </w:r>
    </w:p>
    <w:p>
      <w:pPr>
        <w:pStyle w:val="TextBody"/>
        <w:jc w:val="left"/>
        <w:rPr/>
      </w:pPr>
      <w:r>
        <w:rPr/>
        <w:t>      </w:t>
      </w:r>
      <w:r>
        <w:rPr>
          <w:rFonts w:ascii="Arial" w:hAnsi="Arial"/>
          <w:b/>
          <w:i/>
        </w:rPr>
        <w:t>Income Taxes—</w:t>
      </w:r>
      <w:r>
        <w:rPr>
          <w:rFonts w:ascii="Arial" w:hAnsi="Arial"/>
        </w:rPr>
        <w:t>Deferred tax assets and liabilities are determined based on the difference between the financial statements and tax basis of assets and liabilities using enacted tax rates in effect for the year in which the differences are expected to reverse. Our provision for income taxes is based on domestic and international statutory income tax rates and tax planning opportunities in the jurisdictions in which we operate. Significant judgment is required in determining income tax provisions as well as deferred tax asset and liability balances, including the estimation of valuation allowances and the evaluation of tax positions.</w:t>
      </w:r>
    </w:p>
    <w:p>
      <w:pPr>
        <w:pStyle w:val="TextBody"/>
        <w:jc w:val="left"/>
        <w:rPr/>
      </w:pPr>
      <w:r>
        <w:rPr/>
        <w:t>      </w:t>
      </w:r>
      <w:r>
        <w:rPr>
          <w:rFonts w:ascii="Arial" w:hAnsi="Arial"/>
        </w:rPr>
        <w:t>As of December 31, 2006, we recognized a net deferred tax asset of $2,414 million, less a valuation allowance of $516 million. Net deferred tax assets are primarily comprised of net deductible temporary differences, net operating loss carryforwards and tax credit carryforwards that are available to reduce taxable income in future periods.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 valuation allowance is required when it is more likely than not that all or a portion of a deferred tax asset will not be realized.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pStyle w:val="TextBody"/>
        <w:jc w:val="left"/>
        <w:rPr/>
      </w:pPr>
      <w:r>
        <w:rPr/>
        <w:t>      </w:t>
      </w:r>
      <w:r>
        <w:rPr>
          <w:rFonts w:ascii="Arial" w:hAnsi="Arial"/>
        </w:rPr>
        <w:t>Our net deferred tax asset of $2,414 million is comprised of $1,624 million related to U.S. operations and $790 million related to non-U.S. operations. The U.S. net deferred tax asset of $1,624 million is comprised of net deductible temporary differences, tax credit carryforwards and state tax net operating losses which we believe will more likely than not be realized through the generation of future taxable income in the U.S. and tax planning strategies. We maintain a valuation allowance of $35 million against such asset related to state tax net operating losses. The non-U.S. net deferred tax asset of $790 million is comprised principally of net operating and capital loss carryforwards, mainly in Germany, France and the United Kingdom. We maintain a valuation allowance of $481 million against these deferred tax assets reflecting our historical experience and lower expectations of taxable income over the applicable carryforward periods. As more fully described in Note 6 to the financial statements, our valuation allowance increased by $39, $139 and $39 million in 2006, 2005 and 2004, respectively. In the event we determine that we will not be able to realize our net deferred tax assets in the future, we will reduce such amounts through a charge to income in the period such determination is made. Conversely, if we determine that we will be able to realize net deferred tax assets in excess of the carrying amounts, we will decrease the recorded valuation allowance through a credit to income or a credit to goodwill in the period that such determination is made. If a valuation allowance is recognized for the net deferred tax asset for an acquired entity's deductible temporary differences, operating loss, capital loss, or tax credit carryforwards at the acquisition date, the tax benefits for those items recognized after the acquisition date shall be applied first to reduce to zero goodwill related to the</w:t>
      </w:r>
    </w:p>
    <w:p>
      <w:pPr>
        <w:pStyle w:val="TextBody"/>
        <w:jc w:val="center"/>
        <w:rPr>
          <w:rFonts w:ascii="Arial" w:hAnsi="Arial"/>
        </w:rPr>
      </w:pPr>
      <w:r>
        <w:rPr>
          <w:rFonts w:ascii="Arial" w:hAnsi="Arial"/>
        </w:rPr>
        <w:t>43</w:t>
      </w:r>
    </w:p>
    <w:p>
      <w:pPr>
        <w:pStyle w:val="HorizontalLine"/>
        <w:pBdr>
          <w:bottom w:val="single" w:sz="20" w:space="0" w:color="000000"/>
        </w:pBdr>
        <w:rPr/>
      </w:pPr>
      <w:r>
        <w:rPr/>
      </w:r>
      <w:r>
        <w:br w:type="page"/>
      </w:r>
    </w:p>
    <w:p>
      <w:pPr>
        <w:pStyle w:val="TextBody"/>
        <w:jc w:val="left"/>
        <w:rPr>
          <w:rFonts w:ascii="Arial" w:hAnsi="Arial"/>
        </w:rPr>
      </w:pPr>
      <w:r>
        <w:rPr>
          <w:rFonts w:ascii="Arial" w:hAnsi="Arial"/>
        </w:rPr>
        <w:t>acquisition, second to reduce to zero other non-current intangible assets related to the acquisition, and third to reduce income tax expense.</w:t>
      </w:r>
    </w:p>
    <w:p>
      <w:pPr>
        <w:pStyle w:val="TextBody"/>
        <w:jc w:val="left"/>
        <w:rPr/>
      </w:pPr>
      <w:r>
        <w:rPr/>
        <w:t>      </w:t>
      </w:r>
      <w:r>
        <w:rPr>
          <w:rFonts w:ascii="Arial" w:hAnsi="Arial"/>
        </w:rPr>
        <w:t>Significant judgment is required in determining income tax provisions under Statement of Financial Accounting Standards No. 109 “Accounting for Income Taxes” (SFAS No. 109) and in evaluating tax positions. We establish additional provisions for income taxes when, despite the belief that tax positions are fully supportable, there remain certain positions that are likely to be challenged and that may not be sustained on review by tax authorities.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revision become known.</w:t>
      </w:r>
    </w:p>
    <w:p>
      <w:pPr>
        <w:pStyle w:val="TextBody"/>
        <w:jc w:val="left"/>
        <w:rPr/>
      </w:pPr>
      <w:r>
        <w:rPr/>
        <w:t>      </w:t>
      </w:r>
      <w:r>
        <w:rPr>
          <w:rFonts w:ascii="Arial" w:hAnsi="Arial"/>
        </w:rPr>
        <w:t>As described in further detail in the Recent Accounting Pronouncements section in Note 1 of Notes to Financial Statements in “Item 8. Financial Statements and Supplementary Data”, FASB Interpretation (“FIN”) No. 48 “Accounting for Uncertainty in Income Taxes—an interpretation of FASB Statement 109” is effective beginning January 1, 2007. FIN 48 establishes a single model to address accounting for uncertainty 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Honeywell will adopt FIN 48 as of January 1, 2007 as required. Based on our current assessment, and subject to any changes that may result from additional technical guidance being issued, the adoption of FIN 48 on January 1, 2007 is expected to reduce our existing reserves for uncertain tax positions by approximately $130 million, to be recorded as a cumulative effect adjustment to equity, largely relating to state income tax matters.</w:t>
      </w:r>
    </w:p>
    <w:p>
      <w:pPr>
        <w:pStyle w:val="TextBody"/>
        <w:jc w:val="left"/>
        <w:rPr/>
      </w:pPr>
      <w:r>
        <w:rPr/>
        <w:t>      </w:t>
      </w:r>
      <w:r>
        <w:rPr>
          <w:rFonts w:ascii="Arial" w:hAnsi="Arial"/>
          <w:b/>
          <w:i/>
        </w:rPr>
        <w:t>Sales Recognition on Long-Term Contracts—</w:t>
      </w:r>
      <w:r>
        <w:rPr>
          <w:rFonts w:ascii="Arial" w:hAnsi="Arial"/>
        </w:rPr>
        <w:t>In 2006, we recognized approximately 12 percent of our total net sales using the percentage-of-completion method for long-term contracts in our Automation and Control Solutions, Aerospace and Specialty Materials reportable segments.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pStyle w:val="TextBody"/>
        <w:jc w:val="left"/>
        <w:rPr>
          <w:rFonts w:ascii="Arial" w:hAnsi="Arial"/>
          <w:b/>
        </w:rPr>
      </w:pPr>
      <w:bookmarkStart w:id="14" w:name="other"/>
      <w:bookmarkEnd w:id="14"/>
      <w:r>
        <w:rPr>
          <w:rFonts w:ascii="Arial" w:hAnsi="Arial"/>
          <w:b/>
        </w:rPr>
        <w:t>OTHER MATTERS</w:t>
      </w:r>
    </w:p>
    <w:p>
      <w:pPr>
        <w:pStyle w:val="TextBody"/>
        <w:jc w:val="left"/>
        <w:rPr>
          <w:rFonts w:ascii="Arial" w:hAnsi="Arial"/>
          <w:b/>
        </w:rPr>
      </w:pPr>
      <w:r>
        <w:rPr>
          <w:rFonts w:ascii="Arial" w:hAnsi="Arial"/>
          <w:b/>
        </w:rPr>
        <w:t>Litigation</w:t>
      </w:r>
    </w:p>
    <w:p>
      <w:pPr>
        <w:pStyle w:val="TextBody"/>
        <w:jc w:val="left"/>
        <w:rPr/>
      </w:pPr>
      <w:r>
        <w:rPr/>
        <w:t>      </w:t>
      </w:r>
      <w:r>
        <w:rPr>
          <w:rFonts w:ascii="Arial" w:hAnsi="Arial"/>
        </w:rPr>
        <w:t>See Note 21 to the financial statements for a discussion of environmental, asbestos and other litigation matters.</w:t>
      </w:r>
    </w:p>
    <w:p>
      <w:pPr>
        <w:pStyle w:val="TextBody"/>
        <w:jc w:val="left"/>
        <w:rPr>
          <w:rFonts w:ascii="Arial" w:hAnsi="Arial"/>
          <w:b/>
        </w:rPr>
      </w:pPr>
      <w:r>
        <w:rPr>
          <w:rFonts w:ascii="Arial" w:hAnsi="Arial"/>
          <w:b/>
        </w:rPr>
        <w:t>Recent Accounting Pronouncements</w:t>
      </w:r>
    </w:p>
    <w:p>
      <w:pPr>
        <w:pStyle w:val="TextBody"/>
        <w:jc w:val="left"/>
        <w:rPr/>
      </w:pPr>
      <w:r>
        <w:rPr/>
        <w:t>      </w:t>
      </w:r>
      <w:r>
        <w:rPr>
          <w:rFonts w:ascii="Arial" w:hAnsi="Arial"/>
        </w:rPr>
        <w:t>See Note 1 to the financial statements for a discussion of recent accounting pronouncements.</w:t>
      </w:r>
    </w:p>
    <w:p>
      <w:pPr>
        <w:pStyle w:val="TextBody"/>
        <w:jc w:val="left"/>
        <w:rPr>
          <w:rFonts w:ascii="Arial" w:hAnsi="Arial"/>
          <w:b/>
        </w:rPr>
      </w:pPr>
      <w:bookmarkStart w:id="15" w:name="Quantitative"/>
      <w:bookmarkEnd w:id="15"/>
      <w:r>
        <w:rPr>
          <w:rFonts w:ascii="Arial" w:hAnsi="Arial"/>
          <w:b/>
        </w:rPr>
        <w:t>Item 7A. Quantitative and Qualitative Disclosures About Market Risk</w:t>
      </w:r>
    </w:p>
    <w:p>
      <w:pPr>
        <w:pStyle w:val="TextBody"/>
        <w:jc w:val="left"/>
        <w:rPr/>
      </w:pPr>
      <w:r>
        <w:rPr/>
        <w:t>      </w:t>
      </w:r>
      <w:r>
        <w:rPr>
          <w:rFonts w:ascii="Arial" w:hAnsi="Arial"/>
        </w:rPr>
        <w:t>Information relating to market risk is included in “Item 7. Management's Discussion and Analysis of Financial Condition and Results of Operations” under the caption “Financial Instruments”.</w:t>
      </w:r>
    </w:p>
    <w:p>
      <w:pPr>
        <w:pStyle w:val="TextBody"/>
        <w:jc w:val="center"/>
        <w:rPr>
          <w:rFonts w:ascii="Arial" w:hAnsi="Arial"/>
        </w:rPr>
      </w:pPr>
      <w:r>
        <w:rPr>
          <w:rFonts w:ascii="Arial" w:hAnsi="Arial"/>
        </w:rPr>
        <w:t>44</w:t>
      </w:r>
    </w:p>
    <w:p>
      <w:pPr>
        <w:pStyle w:val="HorizontalLine"/>
        <w:pBdr>
          <w:bottom w:val="single" w:sz="20" w:space="0" w:color="000000"/>
        </w:pBdr>
        <w:rPr/>
      </w:pPr>
      <w:r>
        <w:rPr/>
      </w:r>
      <w:r>
        <w:br w:type="page"/>
      </w:r>
    </w:p>
    <w:p>
      <w:pPr>
        <w:pStyle w:val="TextBody"/>
        <w:jc w:val="left"/>
        <w:rPr>
          <w:rFonts w:ascii="Arial" w:hAnsi="Arial"/>
          <w:b/>
        </w:rPr>
      </w:pPr>
      <w:bookmarkStart w:id="16" w:name="Financial"/>
      <w:bookmarkEnd w:id="16"/>
      <w:r>
        <w:rPr>
          <w:rFonts w:ascii="Arial" w:hAnsi="Arial"/>
          <w:b/>
        </w:rPr>
        <w:t>Item 8. Financial Statements and Supplementary Data</w:t>
      </w:r>
    </w:p>
    <w:p>
      <w:pPr>
        <w:pStyle w:val="TextBody"/>
        <w:jc w:val="center"/>
        <w:rPr>
          <w:rFonts w:ascii="Arial" w:hAnsi="Arial"/>
          <w:b/>
        </w:rPr>
      </w:pPr>
      <w:r>
        <w:rPr>
          <w:rFonts w:ascii="Arial" w:hAnsi="Arial"/>
          <w:b/>
        </w:rPr>
        <w:t>HONEYWELL INTERNATIONAL INC.</w:t>
        <w:br/>
        <w:t>CONSOLIDATED STATEMENT OF OPERATIONS</w:t>
      </w:r>
    </w:p>
    <w:tbl>
      <w:tblPr>
        <w:tblW w:w="5000" w:type="pct"/>
        <w:jc w:val="left"/>
        <w:tblInd w:w="0" w:type="dxa"/>
        <w:tblCellMar>
          <w:top w:w="0" w:type="dxa"/>
          <w:left w:w="0" w:type="dxa"/>
          <w:bottom w:w="0" w:type="dxa"/>
          <w:right w:w="0" w:type="dxa"/>
        </w:tblCellMar>
      </w:tblPr>
      <w:tblGrid>
        <w:gridCol w:w="6469"/>
        <w:gridCol w:w="240"/>
        <w:gridCol w:w="155"/>
        <w:gridCol w:w="755"/>
        <w:gridCol w:w="95"/>
        <w:gridCol w:w="240"/>
        <w:gridCol w:w="155"/>
        <w:gridCol w:w="755"/>
        <w:gridCol w:w="95"/>
        <w:gridCol w:w="240"/>
        <w:gridCol w:w="155"/>
        <w:gridCol w:w="755"/>
        <w:gridCol w:w="96"/>
      </w:tblGrid>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496"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0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0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06"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496"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br/>
              <w:t>except per share amounts)</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Product sales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25,165</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22,257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20,400</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Service sales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6,202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5,395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5,193</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Net sales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31,367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27,652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25,593</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Costs, expenses and other</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Cost of products sold</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19,649</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17,681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17,071</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Cost of services sold</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4,447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3,843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3,681</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24,096</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21,524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20,752</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Selling, general and administrative expenses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4,210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3,707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3,316</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Other (income)/expense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(111</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(231</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(429</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Interest and other financial charges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374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356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331</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28,569</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25,356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23,970</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Income from continuing operations before taxes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2,798</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2,296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1,623</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Tax expense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720</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732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377</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Income from continuing operations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2,078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1,564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1,246</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Income from discontinued operations, net of taxes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95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Cumulative effect of accounting change, net of taxes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(21</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Net income</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2,083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1,638</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1,246</w:t>
            </w:r>
          </w:p>
        </w:tc>
        <w:tc>
          <w:tcPr>
            <w:tcW w:w="96" w:type="dxa"/>
            <w:tcBorders/>
            <w:shd w:fill="E5FFFF" w:val="clear"/>
            <w:vAlign w:val="center"/>
          </w:tcPr>
          <w:p>
            <w:pPr>
              <w:pStyle w:val="TableContents"/>
              <w:spacing w:before="0" w:after="283"/>
              <w:rPr/>
            </w:pPr>
            <w:r>
              <w:rPr/>
              <w:t> </w:t>
            </w:r>
          </w:p>
        </w:tc>
      </w:tr>
      <w:tr>
        <w:trPr/>
        <w:tc>
          <w:tcPr>
            <w:tcW w:w="6469"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HorizontalLine"/>
              <w:pBdr>
                <w:bottom w:val="single" w:sz="18" w:space="0" w:color="000000"/>
              </w:pBdr>
              <w:spacing w:before="0" w:after="283"/>
              <w:rPr/>
            </w:pPr>
            <w:r>
              <w:rPr/>
            </w:r>
          </w:p>
        </w:tc>
        <w:tc>
          <w:tcPr>
            <w:tcW w:w="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HorizontalLine"/>
              <w:pBdr>
                <w:bottom w:val="single" w:sz="18" w:space="0" w:color="000000"/>
              </w:pBdr>
              <w:spacing w:before="0" w:after="283"/>
              <w:rPr/>
            </w:pPr>
            <w:r>
              <w:rPr/>
            </w:r>
          </w:p>
        </w:tc>
        <w:tc>
          <w:tcPr>
            <w:tcW w:w="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HorizontalLine"/>
              <w:pBdr>
                <w:bottom w:val="single" w:sz="18" w:space="0" w:color="000000"/>
              </w:pBdr>
              <w:spacing w:before="0" w:after="283"/>
              <w:rPr/>
            </w:pPr>
            <w:r>
              <w:rPr/>
            </w:r>
          </w:p>
        </w:tc>
        <w:tc>
          <w:tcPr>
            <w:tcW w:w="96" w:type="dxa"/>
            <w:tcBorders/>
            <w:shd w:fill="auto"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Earnings (loss) per share of common stock—basic:</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46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Income from continuing operations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2.53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1.85</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1.45</w:t>
            </w:r>
          </w:p>
        </w:tc>
        <w:tc>
          <w:tcPr>
            <w:tcW w:w="96" w:type="dxa"/>
            <w:tcBorders/>
            <w:shd w:fill="E5FFFF" w:val="clear"/>
            <w:vAlign w:val="center"/>
          </w:tcPr>
          <w:p>
            <w:pPr>
              <w:pStyle w:val="TableContents"/>
              <w:spacing w:before="0" w:after="283"/>
              <w:rPr/>
            </w:pPr>
            <w:r>
              <w:rPr/>
              <w:t> </w:t>
            </w:r>
          </w:p>
        </w:tc>
      </w:tr>
      <w:tr>
        <w:trPr/>
        <w:tc>
          <w:tcPr>
            <w:tcW w:w="6469" w:type="dxa"/>
            <w:tcBorders/>
            <w:shd w:fill="auto" w:val="clear"/>
            <w:vAlign w:val="bottom"/>
          </w:tcPr>
          <w:p>
            <w:pPr>
              <w:pStyle w:val="TableContents"/>
              <w:spacing w:before="0" w:after="283"/>
              <w:jc w:val="left"/>
              <w:rPr>
                <w:rFonts w:ascii="Arial" w:hAnsi="Arial"/>
              </w:rPr>
            </w:pPr>
            <w:r>
              <w:rPr>
                <w:rFonts w:ascii="Arial" w:hAnsi="Arial"/>
              </w:rPr>
              <w:t>Income from discontinued operations</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0.01</w:t>
            </w:r>
          </w:p>
        </w:tc>
        <w:tc>
          <w:tcPr>
            <w:tcW w:w="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0.11</w:t>
            </w:r>
          </w:p>
        </w:tc>
        <w:tc>
          <w:tcPr>
            <w:tcW w:w="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w:t>
            </w:r>
          </w:p>
        </w:tc>
        <w:tc>
          <w:tcPr>
            <w:tcW w:w="96" w:type="dxa"/>
            <w:tcBorders/>
            <w:shd w:fill="auto"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Cumulative effect of accounting change</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(0.03</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6469"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HorizontalLine"/>
              <w:pBdr>
                <w:bottom w:val="single" w:sz="6" w:space="0" w:color="000000"/>
              </w:pBdr>
              <w:spacing w:before="0" w:after="283"/>
              <w:rPr/>
            </w:pPr>
            <w:r>
              <w:rPr/>
            </w:r>
          </w:p>
        </w:tc>
        <w:tc>
          <w:tcPr>
            <w:tcW w:w="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HorizontalLine"/>
              <w:pBdr>
                <w:bottom w:val="single" w:sz="6" w:space="0" w:color="000000"/>
              </w:pBdr>
              <w:spacing w:before="0" w:after="283"/>
              <w:rPr/>
            </w:pPr>
            <w:r>
              <w:rPr/>
            </w:r>
          </w:p>
        </w:tc>
        <w:tc>
          <w:tcPr>
            <w:tcW w:w="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755" w:type="dxa"/>
            <w:tcBorders/>
            <w:shd w:fill="auto" w:val="clear"/>
            <w:vAlign w:val="bottom"/>
          </w:tcPr>
          <w:p>
            <w:pPr>
              <w:pStyle w:val="HorizontalLine"/>
              <w:pBdr>
                <w:bottom w:val="single" w:sz="6" w:space="0" w:color="000000"/>
              </w:pBdr>
              <w:spacing w:before="0" w:after="283"/>
              <w:rPr/>
            </w:pPr>
            <w:r>
              <w:rPr/>
            </w:r>
          </w:p>
        </w:tc>
        <w:tc>
          <w:tcPr>
            <w:tcW w:w="96" w:type="dxa"/>
            <w:tcBorders/>
            <w:shd w:fill="auto"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Net income</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2.54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1.93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1.45</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18"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Earnings (loss) per share of common stock—assuming dilution:</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Income from continuing operations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2.51</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1.84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1.45</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bottom"/>
          </w:tcPr>
          <w:p>
            <w:pPr>
              <w:pStyle w:val="TableContents"/>
              <w:spacing w:before="0" w:after="283"/>
              <w:jc w:val="left"/>
              <w:rPr>
                <w:rFonts w:ascii="Arial" w:hAnsi="Arial"/>
              </w:rPr>
            </w:pPr>
            <w:r>
              <w:rPr>
                <w:rFonts w:ascii="Arial" w:hAnsi="Arial"/>
              </w:rPr>
              <w:t>Income from discontinued operations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0.01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0.11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Cumulative effect of accounting change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(0.03</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jc w:val="left"/>
              <w:rPr>
                <w:rFonts w:ascii="Arial" w:hAnsi="Arial"/>
              </w:rPr>
            </w:pPr>
            <w:r>
              <w:rPr>
                <w:rFonts w:ascii="Arial" w:hAnsi="Arial"/>
              </w:rPr>
              <w:t>Net income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2.52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1.92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1.45</w:t>
            </w:r>
          </w:p>
        </w:tc>
        <w:tc>
          <w:tcPr>
            <w:tcW w:w="96" w:type="dxa"/>
            <w:tcBorders/>
            <w:shd w:fill="FFFFFF" w:val="clear"/>
            <w:vAlign w:val="center"/>
          </w:tcPr>
          <w:p>
            <w:pPr>
              <w:pStyle w:val="TableContents"/>
              <w:spacing w:before="0" w:after="283"/>
              <w:rPr/>
            </w:pPr>
            <w:r>
              <w:rPr/>
              <w:t> </w:t>
            </w:r>
          </w:p>
        </w:tc>
      </w:tr>
      <w:tr>
        <w:trPr/>
        <w:tc>
          <w:tcPr>
            <w:tcW w:w="64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18"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46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The Notes to Financial Statements are an integral part of this statement.</w:t>
      </w:r>
    </w:p>
    <w:p>
      <w:pPr>
        <w:pStyle w:val="TextBody"/>
        <w:jc w:val="center"/>
        <w:rPr>
          <w:rFonts w:ascii="Arial" w:hAnsi="Arial"/>
        </w:rPr>
      </w:pPr>
      <w:r>
        <w:rPr>
          <w:rFonts w:ascii="Arial" w:hAnsi="Arial"/>
        </w:rPr>
        <w:t>45</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HONEYWELL INTERNATIONAL INC.</w:t>
        <w:br/>
        <w:t>CONSOLIDATED BALANCE SHEET</w:t>
      </w:r>
    </w:p>
    <w:tbl>
      <w:tblPr>
        <w:tblW w:w="5000" w:type="pct"/>
        <w:jc w:val="left"/>
        <w:tblInd w:w="0" w:type="dxa"/>
        <w:tblCellMar>
          <w:top w:w="0" w:type="dxa"/>
          <w:left w:w="0" w:type="dxa"/>
          <w:bottom w:w="0" w:type="dxa"/>
          <w:right w:w="0" w:type="dxa"/>
        </w:tblCellMar>
      </w:tblPr>
      <w:tblGrid>
        <w:gridCol w:w="7647"/>
        <w:gridCol w:w="247"/>
        <w:gridCol w:w="159"/>
        <w:gridCol w:w="775"/>
        <w:gridCol w:w="98"/>
        <w:gridCol w:w="246"/>
        <w:gridCol w:w="160"/>
        <w:gridCol w:w="775"/>
        <w:gridCol w:w="98"/>
      </w:tblGrid>
      <w:tr>
        <w:trPr/>
        <w:tc>
          <w:tcPr>
            <w:tcW w:w="7647"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2311"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7647"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103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6" w:type="dxa"/>
            <w:tcBorders/>
            <w:shd w:fill="FFFFFF" w:val="clear"/>
            <w:vAlign w:val="center"/>
          </w:tcPr>
          <w:p>
            <w:pPr>
              <w:pStyle w:val="TableContents"/>
              <w:spacing w:before="0" w:after="283"/>
              <w:rPr/>
            </w:pPr>
            <w:r>
              <w:rPr/>
              <w:t> </w:t>
            </w:r>
          </w:p>
        </w:tc>
        <w:tc>
          <w:tcPr>
            <w:tcW w:w="103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7647"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2311" w:type="dxa"/>
            <w:gridSpan w:val="7"/>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7647" w:type="dxa"/>
            <w:tcBorders/>
            <w:shd w:fill="E5FFFF" w:val="clear"/>
            <w:vAlign w:val="bottom"/>
          </w:tcPr>
          <w:p>
            <w:pPr>
              <w:pStyle w:val="TableContents"/>
              <w:spacing w:before="0" w:after="283"/>
              <w:jc w:val="left"/>
              <w:rPr>
                <w:rFonts w:ascii="Arial" w:hAnsi="Arial"/>
                <w:b/>
                <w:sz w:val="14"/>
              </w:rPr>
            </w:pPr>
            <w:r>
              <w:rPr>
                <w:rFonts w:ascii="Arial" w:hAnsi="Arial"/>
                <w:b/>
                <w:sz w:val="14"/>
              </w:rPr>
              <w:t>ASSETS</w:t>
            </w:r>
          </w:p>
        </w:tc>
        <w:tc>
          <w:tcPr>
            <w:tcW w:w="247" w:type="dxa"/>
            <w:tcBorders/>
            <w:shd w:fill="E5FFFF" w:val="clear"/>
            <w:vAlign w:val="center"/>
          </w:tcPr>
          <w:p>
            <w:pPr>
              <w:pStyle w:val="TableContents"/>
              <w:spacing w:before="0" w:after="283"/>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Current assets:</w:t>
            </w:r>
          </w:p>
        </w:tc>
        <w:tc>
          <w:tcPr>
            <w:tcW w:w="24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Cash and cash equivalents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bottom"/>
          </w:tcPr>
          <w:p>
            <w:pPr>
              <w:pStyle w:val="TableContents"/>
              <w:spacing w:before="0" w:after="283"/>
              <w:jc w:val="right"/>
              <w:rPr>
                <w:rFonts w:ascii="Arial" w:hAnsi="Arial"/>
              </w:rPr>
            </w:pPr>
            <w:r>
              <w:rPr>
                <w:rFonts w:ascii="Arial" w:hAnsi="Arial"/>
              </w:rPr>
              <w:t>$</w:t>
            </w:r>
          </w:p>
        </w:tc>
        <w:tc>
          <w:tcPr>
            <w:tcW w:w="775" w:type="dxa"/>
            <w:tcBorders/>
            <w:shd w:fill="E5FFFF" w:val="clear"/>
            <w:vAlign w:val="bottom"/>
          </w:tcPr>
          <w:p>
            <w:pPr>
              <w:pStyle w:val="TableContents"/>
              <w:spacing w:before="0" w:after="283"/>
              <w:jc w:val="right"/>
              <w:rPr>
                <w:rFonts w:ascii="Arial" w:hAnsi="Arial"/>
              </w:rPr>
            </w:pPr>
            <w:r>
              <w:rPr>
                <w:rFonts w:ascii="Arial" w:hAnsi="Arial"/>
              </w:rPr>
              <w:t>1,224</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rPr>
            </w:pPr>
            <w:r>
              <w:rPr>
                <w:rFonts w:ascii="Arial" w:hAnsi="Arial"/>
              </w:rPr>
              <w:t>$</w:t>
            </w:r>
          </w:p>
        </w:tc>
        <w:tc>
          <w:tcPr>
            <w:tcW w:w="775" w:type="dxa"/>
            <w:tcBorders/>
            <w:shd w:fill="E5FFFF" w:val="clear"/>
            <w:vAlign w:val="bottom"/>
          </w:tcPr>
          <w:p>
            <w:pPr>
              <w:pStyle w:val="TableContents"/>
              <w:spacing w:before="0" w:after="283"/>
              <w:jc w:val="right"/>
              <w:rPr>
                <w:rFonts w:ascii="Arial" w:hAnsi="Arial"/>
              </w:rPr>
            </w:pPr>
            <w:r>
              <w:rPr>
                <w:rFonts w:ascii="Arial" w:hAnsi="Arial"/>
              </w:rPr>
              <w:t>1,234</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Accounts, notes and other receivables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5,740</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5,017</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Inventories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3,588</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3,401</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Deferred income taxes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1,215</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1,243</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Other current assets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470</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542</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Assets held for disposal</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67</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525</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Total current assets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12,304</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11,962</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Investments and long-term receivables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382</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370</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Property, plant and equipment—net</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4,797</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4,658</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Goodwill</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8,403</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7,660</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Other intangible assets—net</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1,247</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1,173</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Insurance recoveries for asbestos related liabilities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1,100</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1,302</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Deferred income taxes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1,075</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730</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Prepaid pension benefit cost</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695</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2,716</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Other assets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938</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1,062</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Total assets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right"/>
              <w:rPr>
                <w:rFonts w:ascii="Arial" w:hAnsi="Arial"/>
              </w:rPr>
            </w:pPr>
            <w:r>
              <w:rPr>
                <w:rFonts w:ascii="Arial" w:hAnsi="Arial"/>
              </w:rPr>
              <w:t>$</w:t>
            </w:r>
          </w:p>
        </w:tc>
        <w:tc>
          <w:tcPr>
            <w:tcW w:w="775" w:type="dxa"/>
            <w:tcBorders/>
            <w:shd w:fill="auto" w:val="clear"/>
            <w:vAlign w:val="bottom"/>
          </w:tcPr>
          <w:p>
            <w:pPr>
              <w:pStyle w:val="TableContents"/>
              <w:spacing w:before="0" w:after="283"/>
              <w:jc w:val="right"/>
              <w:rPr>
                <w:rFonts w:ascii="Arial" w:hAnsi="Arial"/>
              </w:rPr>
            </w:pPr>
            <w:r>
              <w:rPr>
                <w:rFonts w:ascii="Arial" w:hAnsi="Arial"/>
              </w:rPr>
              <w:t>30,941</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right"/>
              <w:rPr>
                <w:rFonts w:ascii="Arial" w:hAnsi="Arial"/>
              </w:rPr>
            </w:pPr>
            <w:r>
              <w:rPr>
                <w:rFonts w:ascii="Arial" w:hAnsi="Arial"/>
              </w:rPr>
              <w:t>$</w:t>
            </w:r>
          </w:p>
        </w:tc>
        <w:tc>
          <w:tcPr>
            <w:tcW w:w="775" w:type="dxa"/>
            <w:tcBorders/>
            <w:shd w:fill="auto" w:val="clear"/>
            <w:vAlign w:val="bottom"/>
          </w:tcPr>
          <w:p>
            <w:pPr>
              <w:pStyle w:val="TableContents"/>
              <w:spacing w:before="0" w:after="283"/>
              <w:jc w:val="right"/>
              <w:rPr>
                <w:rFonts w:ascii="Arial" w:hAnsi="Arial"/>
              </w:rPr>
            </w:pPr>
            <w:r>
              <w:rPr>
                <w:rFonts w:ascii="Arial" w:hAnsi="Arial"/>
              </w:rPr>
              <w:t>31,633</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18" w:space="0" w:color="000000"/>
              </w:pBdr>
              <w:spacing w:before="0" w:after="283"/>
              <w:rPr/>
            </w:pPr>
            <w:r>
              <w:rPr/>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18" w:space="0" w:color="000000"/>
              </w:pBdr>
              <w:spacing w:before="0" w:after="283"/>
              <w:rPr/>
            </w:pPr>
            <w:r>
              <w:rPr/>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b/>
                <w:sz w:val="14"/>
              </w:rPr>
            </w:pPr>
            <w:r>
              <w:rPr>
                <w:rFonts w:ascii="Arial" w:hAnsi="Arial"/>
                <w:b/>
                <w:sz w:val="14"/>
              </w:rPr>
              <w:t>LIABILITIES</w:t>
            </w:r>
          </w:p>
        </w:tc>
        <w:tc>
          <w:tcPr>
            <w:tcW w:w="247"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Current liabilities:</w:t>
            </w:r>
          </w:p>
        </w:tc>
        <w:tc>
          <w:tcPr>
            <w:tcW w:w="247" w:type="dxa"/>
            <w:tcBorders/>
            <w:shd w:fill="E5FFFF" w:val="clear"/>
            <w:vAlign w:val="center"/>
          </w:tcPr>
          <w:p>
            <w:pPr>
              <w:pStyle w:val="TableContents"/>
              <w:spacing w:before="0" w:after="283"/>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Accounts payable</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right"/>
              <w:rPr>
                <w:rFonts w:ascii="Arial" w:hAnsi="Arial"/>
              </w:rPr>
            </w:pPr>
            <w:r>
              <w:rPr>
                <w:rFonts w:ascii="Arial" w:hAnsi="Arial"/>
              </w:rPr>
              <w:t>$</w:t>
            </w:r>
          </w:p>
        </w:tc>
        <w:tc>
          <w:tcPr>
            <w:tcW w:w="775" w:type="dxa"/>
            <w:tcBorders/>
            <w:shd w:fill="auto" w:val="clear"/>
            <w:vAlign w:val="bottom"/>
          </w:tcPr>
          <w:p>
            <w:pPr>
              <w:pStyle w:val="TableContents"/>
              <w:spacing w:before="0" w:after="283"/>
              <w:jc w:val="right"/>
              <w:rPr>
                <w:rFonts w:ascii="Arial" w:hAnsi="Arial"/>
              </w:rPr>
            </w:pPr>
            <w:r>
              <w:rPr>
                <w:rFonts w:ascii="Arial" w:hAnsi="Arial"/>
              </w:rPr>
              <w:t>3,518</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jc w:val="right"/>
              <w:rPr>
                <w:rFonts w:ascii="Arial" w:hAnsi="Arial"/>
              </w:rPr>
            </w:pPr>
            <w:r>
              <w:rPr>
                <w:rFonts w:ascii="Arial" w:hAnsi="Arial"/>
              </w:rPr>
              <w:t>$</w:t>
            </w:r>
          </w:p>
        </w:tc>
        <w:tc>
          <w:tcPr>
            <w:tcW w:w="775" w:type="dxa"/>
            <w:tcBorders/>
            <w:shd w:fill="auto" w:val="clear"/>
            <w:vAlign w:val="bottom"/>
          </w:tcPr>
          <w:p>
            <w:pPr>
              <w:pStyle w:val="TableContents"/>
              <w:spacing w:before="0" w:after="283"/>
              <w:jc w:val="right"/>
              <w:rPr>
                <w:rFonts w:ascii="Arial" w:hAnsi="Arial"/>
              </w:rPr>
            </w:pPr>
            <w:r>
              <w:rPr>
                <w:rFonts w:ascii="Arial" w:hAnsi="Arial"/>
              </w:rPr>
              <w:t>2,886</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Short-term borrowings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62</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275</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Commercial paper</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669</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754</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Current maturities of long-term debt</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423</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995</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Accrued liabilities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5,455</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5,359</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Liabilities related to assets held for disposal</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8</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161</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HorizontalLine"/>
              <w:pBdr>
                <w:bottom w:val="single" w:sz="6" w:space="0" w:color="000000"/>
              </w:pBdr>
              <w:spacing w:before="0" w:after="283"/>
              <w:rPr/>
            </w:pPr>
            <w:r>
              <w:rPr/>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Total current liabilities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10,135</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10,430</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Long-term debt</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3,909</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3,082</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Deferred income taxes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352</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334</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Postretirement benefit obligations other than pensions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2,090</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1,786</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Asbestos related liabilities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1,262</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1,549</w:t>
            </w:r>
          </w:p>
        </w:tc>
        <w:tc>
          <w:tcPr>
            <w:tcW w:w="98" w:type="dxa"/>
            <w:tcBorders/>
            <w:shd w:fill="E5FFFF" w:val="clear"/>
            <w:vAlign w:val="center"/>
          </w:tcPr>
          <w:p>
            <w:pPr>
              <w:pStyle w:val="TableContents"/>
              <w:spacing w:before="0" w:after="283"/>
              <w:rPr/>
            </w:pPr>
            <w:r>
              <w:rPr/>
              <w:t> </w:t>
            </w:r>
          </w:p>
        </w:tc>
      </w:tr>
      <w:tr>
        <w:trPr/>
        <w:tc>
          <w:tcPr>
            <w:tcW w:w="7647" w:type="dxa"/>
            <w:tcBorders/>
            <w:shd w:fill="auto" w:val="clear"/>
            <w:vAlign w:val="bottom"/>
          </w:tcPr>
          <w:p>
            <w:pPr>
              <w:pStyle w:val="TableContents"/>
              <w:spacing w:before="0" w:after="283"/>
              <w:jc w:val="left"/>
              <w:rPr>
                <w:rFonts w:ascii="Arial" w:hAnsi="Arial"/>
              </w:rPr>
            </w:pPr>
            <w:r>
              <w:rPr>
                <w:rFonts w:ascii="Arial" w:hAnsi="Arial"/>
              </w:rPr>
              <w:t>Other liabilities</w:t>
            </w:r>
          </w:p>
        </w:tc>
        <w:tc>
          <w:tcPr>
            <w:tcW w:w="247" w:type="dxa"/>
            <w:tcBorders/>
            <w:shd w:fill="auto" w:val="clear"/>
            <w:vAlign w:val="bottom"/>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3,473</w:t>
            </w:r>
          </w:p>
        </w:tc>
        <w:tc>
          <w:tcPr>
            <w:tcW w:w="98"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Arial" w:hAnsi="Arial"/>
              </w:rPr>
            </w:pPr>
            <w:r>
              <w:rPr>
                <w:rFonts w:ascii="Arial" w:hAnsi="Arial"/>
              </w:rPr>
              <w:t>3,690</w:t>
            </w:r>
          </w:p>
        </w:tc>
        <w:tc>
          <w:tcPr>
            <w:tcW w:w="98" w:type="dxa"/>
            <w:tcBorders/>
            <w:shd w:fill="auto"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b/>
                <w:sz w:val="14"/>
              </w:rPr>
            </w:pPr>
            <w:r>
              <w:rPr>
                <w:rFonts w:ascii="Arial" w:hAnsi="Arial"/>
                <w:b/>
                <w:sz w:val="14"/>
              </w:rPr>
              <w:t>CONTINGENCIES</w:t>
            </w:r>
          </w:p>
        </w:tc>
        <w:tc>
          <w:tcPr>
            <w:tcW w:w="247" w:type="dxa"/>
            <w:tcBorders/>
            <w:shd w:fill="E5FFFF" w:val="clear"/>
            <w:vAlign w:val="center"/>
          </w:tcPr>
          <w:p>
            <w:pPr>
              <w:pStyle w:val="TableContents"/>
              <w:spacing w:before="0" w:after="283"/>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b/>
                <w:sz w:val="14"/>
              </w:rPr>
            </w:pPr>
            <w:r>
              <w:rPr>
                <w:rFonts w:ascii="Arial" w:hAnsi="Arial"/>
                <w:b/>
                <w:sz w:val="14"/>
              </w:rPr>
              <w:t>SHAREOWNERS' EQUITY</w:t>
            </w:r>
          </w:p>
        </w:tc>
        <w:tc>
          <w:tcPr>
            <w:tcW w:w="247" w:type="dxa"/>
            <w:tcBorders/>
            <w:shd w:fill="E5FFFF" w:val="clear"/>
            <w:vAlign w:val="center"/>
          </w:tcPr>
          <w:p>
            <w:pPr>
              <w:pStyle w:val="TableContents"/>
              <w:spacing w:before="0" w:after="283"/>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r>
      <w:tr>
        <w:trPr/>
        <w:tc>
          <w:tcPr>
            <w:tcW w:w="7647" w:type="dxa"/>
            <w:tcBorders/>
            <w:shd w:fill="FFFFFF" w:val="clear"/>
            <w:vAlign w:val="bottom"/>
          </w:tcPr>
          <w:p>
            <w:pPr>
              <w:pStyle w:val="TableContents"/>
              <w:spacing w:before="0" w:after="283"/>
              <w:jc w:val="left"/>
              <w:rPr>
                <w:rFonts w:ascii="Arial" w:hAnsi="Arial"/>
              </w:rPr>
            </w:pPr>
            <w:r>
              <w:rPr>
                <w:rFonts w:ascii="Arial" w:hAnsi="Arial"/>
              </w:rPr>
              <w:t>Capital—common stock—Authorized 2,000,000,000 shares (par value</w:t>
              <w:br/>
              <w:t>$1 per share):</w:t>
            </w:r>
          </w:p>
        </w:tc>
        <w:tc>
          <w:tcPr>
            <w:tcW w:w="24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rPr/>
            </w:pPr>
            <w:r>
              <w:rPr/>
              <w:t> </w:t>
            </w:r>
          </w:p>
        </w:tc>
        <w:tc>
          <w:tcPr>
            <w:tcW w:w="775"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75"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pPr>
            <w:r>
              <w:rPr/>
              <w:t>—</w:t>
            </w:r>
            <w:r>
              <w:rPr>
                <w:rFonts w:ascii="Arial" w:hAnsi="Arial"/>
              </w:rPr>
              <w:t>issued 957,599,900 shares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958</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958</w:t>
            </w:r>
          </w:p>
        </w:tc>
        <w:tc>
          <w:tcPr>
            <w:tcW w:w="98" w:type="dxa"/>
            <w:tcBorders/>
            <w:shd w:fill="E5FFFF" w:val="clear"/>
            <w:vAlign w:val="center"/>
          </w:tcPr>
          <w:p>
            <w:pPr>
              <w:pStyle w:val="TableContents"/>
              <w:spacing w:before="0" w:after="283"/>
              <w:rPr/>
            </w:pPr>
            <w:r>
              <w:rPr/>
              <w:t> </w:t>
            </w:r>
          </w:p>
        </w:tc>
      </w:tr>
      <w:tr>
        <w:trPr/>
        <w:tc>
          <w:tcPr>
            <w:tcW w:w="7647" w:type="dxa"/>
            <w:tcBorders/>
            <w:shd w:fill="FFFFFF" w:val="clear"/>
            <w:vAlign w:val="bottom"/>
          </w:tcPr>
          <w:p>
            <w:pPr>
              <w:pStyle w:val="TableContents"/>
              <w:spacing w:before="0" w:after="283"/>
              <w:jc w:val="left"/>
              <w:rPr/>
            </w:pPr>
            <w:r>
              <w:rPr/>
              <w:t>—</w:t>
            </w:r>
            <w:r>
              <w:rPr>
                <w:rFonts w:ascii="Arial" w:hAnsi="Arial"/>
              </w:rPr>
              <w:t>additional paid-in capital</w:t>
            </w:r>
          </w:p>
        </w:tc>
        <w:tc>
          <w:tcPr>
            <w:tcW w:w="247" w:type="dxa"/>
            <w:tcBorders/>
            <w:shd w:fill="FFFFFF" w:val="clear"/>
            <w:vAlign w:val="bottom"/>
          </w:tcPr>
          <w:p>
            <w:pPr>
              <w:pStyle w:val="TableContents"/>
              <w:spacing w:before="0" w:after="283"/>
              <w:jc w:val="right"/>
              <w:rPr/>
            </w:pPr>
            <w:r>
              <w:rPr/>
              <w:t>    </w:t>
            </w:r>
          </w:p>
        </w:tc>
        <w:tc>
          <w:tcPr>
            <w:tcW w:w="159"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3,845</w:t>
            </w:r>
          </w:p>
        </w:tc>
        <w:tc>
          <w:tcPr>
            <w:tcW w:w="9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3,626</w:t>
            </w:r>
          </w:p>
        </w:tc>
        <w:tc>
          <w:tcPr>
            <w:tcW w:w="98" w:type="dxa"/>
            <w:tcBorders/>
            <w:shd w:fill="FFFFFF" w:val="clear"/>
            <w:vAlign w:val="center"/>
          </w:tcPr>
          <w:p>
            <w:pPr>
              <w:pStyle w:val="TableContents"/>
              <w:spacing w:before="0" w:after="283"/>
              <w:rPr/>
            </w:pPr>
            <w:r>
              <w:rPr/>
              <w:t> </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Common stock held in treasury, at cost:</w:t>
            </w:r>
          </w:p>
        </w:tc>
        <w:tc>
          <w:tcPr>
            <w:tcW w:w="247" w:type="dxa"/>
            <w:tcBorders/>
            <w:shd w:fill="E5FFFF" w:val="clear"/>
            <w:vAlign w:val="center"/>
          </w:tcPr>
          <w:p>
            <w:pPr>
              <w:pStyle w:val="TableContents"/>
              <w:spacing w:before="0" w:after="283"/>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c>
          <w:tcPr>
            <w:tcW w:w="246" w:type="dxa"/>
            <w:tcBorders/>
            <w:shd w:fill="E5FFFF" w:val="clear"/>
            <w:vAlign w:val="center"/>
          </w:tcPr>
          <w:p>
            <w:pPr>
              <w:pStyle w:val="TableContents"/>
              <w:spacing w:before="0" w:after="283"/>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center"/>
          </w:tcPr>
          <w:p>
            <w:pPr>
              <w:pStyle w:val="TableContents"/>
              <w:spacing w:before="0" w:after="283"/>
              <w:rPr/>
            </w:pPr>
            <w:r>
              <w:rPr/>
              <w:t> </w:t>
            </w:r>
          </w:p>
        </w:tc>
        <w:tc>
          <w:tcPr>
            <w:tcW w:w="98" w:type="dxa"/>
            <w:tcBorders/>
            <w:shd w:fill="E5FFFF" w:val="clear"/>
            <w:vAlign w:val="center"/>
          </w:tcPr>
          <w:p>
            <w:pPr>
              <w:pStyle w:val="TableContents"/>
              <w:spacing w:before="0" w:after="283"/>
              <w:rPr/>
            </w:pPr>
            <w:r>
              <w:rPr/>
              <w:t> </w:t>
            </w:r>
          </w:p>
        </w:tc>
      </w:tr>
      <w:tr>
        <w:trPr/>
        <w:tc>
          <w:tcPr>
            <w:tcW w:w="7647" w:type="dxa"/>
            <w:tcBorders/>
            <w:shd w:fill="FFFFFF" w:val="clear"/>
            <w:vAlign w:val="bottom"/>
          </w:tcPr>
          <w:p>
            <w:pPr>
              <w:pStyle w:val="TableContents"/>
              <w:spacing w:before="0" w:after="283"/>
              <w:jc w:val="left"/>
              <w:rPr>
                <w:rFonts w:ascii="Arial" w:hAnsi="Arial"/>
              </w:rPr>
            </w:pPr>
            <w:r>
              <w:rPr>
                <w:rFonts w:ascii="Arial" w:hAnsi="Arial"/>
              </w:rPr>
              <w:t>2006—157,008,412 shares; 2005—128,116,854 shares</w:t>
            </w:r>
          </w:p>
        </w:tc>
        <w:tc>
          <w:tcPr>
            <w:tcW w:w="247" w:type="dxa"/>
            <w:tcBorders/>
            <w:shd w:fill="FFFFFF" w:val="clear"/>
            <w:vAlign w:val="bottom"/>
          </w:tcPr>
          <w:p>
            <w:pPr>
              <w:pStyle w:val="TableContents"/>
              <w:spacing w:before="0" w:after="283"/>
              <w:jc w:val="right"/>
              <w:rPr/>
            </w:pPr>
            <w:r>
              <w:rPr/>
              <w:t>    </w:t>
            </w:r>
          </w:p>
        </w:tc>
        <w:tc>
          <w:tcPr>
            <w:tcW w:w="159"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(6,339</w:t>
            </w:r>
          </w:p>
        </w:tc>
        <w:tc>
          <w:tcPr>
            <w:tcW w:w="98" w:type="dxa"/>
            <w:tcBorders/>
            <w:shd w:fill="FFFFFF" w:val="clear"/>
            <w:vAlign w:val="bottom"/>
          </w:tcPr>
          <w:p>
            <w:pPr>
              <w:pStyle w:val="TableContents"/>
              <w:spacing w:before="0" w:after="283"/>
              <w:jc w:val="left"/>
              <w:rPr>
                <w:rFonts w:ascii="Arial" w:hAnsi="Arial"/>
              </w:rPr>
            </w:pPr>
            <w:r>
              <w:rPr>
                <w:rFonts w:ascii="Arial" w:hAnsi="Arial"/>
              </w:rPr>
              <w:t>)</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(5,027</w:t>
            </w:r>
          </w:p>
        </w:tc>
        <w:tc>
          <w:tcPr>
            <w:tcW w:w="98"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7647" w:type="dxa"/>
            <w:tcBorders/>
            <w:shd w:fill="E5FFFF" w:val="clear"/>
            <w:vAlign w:val="bottom"/>
          </w:tcPr>
          <w:p>
            <w:pPr>
              <w:pStyle w:val="TableContents"/>
              <w:spacing w:before="0" w:after="283"/>
              <w:jc w:val="left"/>
              <w:rPr>
                <w:rFonts w:ascii="Arial" w:hAnsi="Arial"/>
              </w:rPr>
            </w:pPr>
            <w:r>
              <w:rPr>
                <w:rFonts w:ascii="Arial" w:hAnsi="Arial"/>
              </w:rPr>
              <w:t>Accumulated other comprehensive income (loss)</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(1,307</w:t>
            </w:r>
          </w:p>
        </w:tc>
        <w:tc>
          <w:tcPr>
            <w:tcW w:w="98" w:type="dxa"/>
            <w:tcBorders/>
            <w:shd w:fill="E5FFFF" w:val="clear"/>
            <w:vAlign w:val="bottom"/>
          </w:tcPr>
          <w:p>
            <w:pPr>
              <w:pStyle w:val="TableContents"/>
              <w:spacing w:before="0" w:after="283"/>
              <w:jc w:val="left"/>
              <w:rPr>
                <w:rFonts w:ascii="Arial" w:hAnsi="Arial"/>
              </w:rPr>
            </w:pPr>
            <w:r>
              <w:rPr>
                <w:rFonts w:ascii="Arial" w:hAnsi="Arial"/>
              </w:rPr>
              <w:t>)</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TableContents"/>
              <w:spacing w:before="0" w:after="283"/>
              <w:jc w:val="right"/>
              <w:rPr>
                <w:rFonts w:ascii="Arial" w:hAnsi="Arial"/>
              </w:rPr>
            </w:pPr>
            <w:r>
              <w:rPr>
                <w:rFonts w:ascii="Arial" w:hAnsi="Arial"/>
              </w:rPr>
              <w:t>(25</w:t>
            </w:r>
          </w:p>
        </w:tc>
        <w:tc>
          <w:tcPr>
            <w:tcW w:w="98"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7647" w:type="dxa"/>
            <w:tcBorders/>
            <w:shd w:fill="FFFFFF" w:val="clear"/>
            <w:vAlign w:val="bottom"/>
          </w:tcPr>
          <w:p>
            <w:pPr>
              <w:pStyle w:val="TableContents"/>
              <w:spacing w:before="0" w:after="283"/>
              <w:jc w:val="left"/>
              <w:rPr>
                <w:rFonts w:ascii="Arial" w:hAnsi="Arial"/>
              </w:rPr>
            </w:pPr>
            <w:r>
              <w:rPr>
                <w:rFonts w:ascii="Arial" w:hAnsi="Arial"/>
              </w:rPr>
              <w:t>Retained earnings</w:t>
            </w:r>
          </w:p>
        </w:tc>
        <w:tc>
          <w:tcPr>
            <w:tcW w:w="247" w:type="dxa"/>
            <w:tcBorders/>
            <w:shd w:fill="FFFFFF" w:val="clear"/>
            <w:vAlign w:val="bottom"/>
          </w:tcPr>
          <w:p>
            <w:pPr>
              <w:pStyle w:val="TableContents"/>
              <w:spacing w:before="0" w:after="283"/>
              <w:jc w:val="right"/>
              <w:rPr/>
            </w:pPr>
            <w:r>
              <w:rPr/>
              <w:t>    </w:t>
            </w:r>
          </w:p>
        </w:tc>
        <w:tc>
          <w:tcPr>
            <w:tcW w:w="159"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12,563</w:t>
            </w:r>
          </w:p>
        </w:tc>
        <w:tc>
          <w:tcPr>
            <w:tcW w:w="9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11,230</w:t>
            </w:r>
          </w:p>
        </w:tc>
        <w:tc>
          <w:tcPr>
            <w:tcW w:w="98" w:type="dxa"/>
            <w:tcBorders/>
            <w:shd w:fill="FFFFFF" w:val="clear"/>
            <w:vAlign w:val="center"/>
          </w:tcPr>
          <w:p>
            <w:pPr>
              <w:pStyle w:val="TableContents"/>
              <w:spacing w:before="0" w:after="283"/>
              <w:rPr/>
            </w:pPr>
            <w:r>
              <w:rPr/>
              <w:t> </w:t>
            </w:r>
          </w:p>
        </w:tc>
      </w:tr>
      <w:tr>
        <w:trPr/>
        <w:tc>
          <w:tcPr>
            <w:tcW w:w="7647"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r>
      <w:tr>
        <w:trPr/>
        <w:tc>
          <w:tcPr>
            <w:tcW w:w="7647" w:type="dxa"/>
            <w:tcBorders/>
            <w:shd w:fill="FFFFFF" w:val="clear"/>
            <w:vAlign w:val="bottom"/>
          </w:tcPr>
          <w:p>
            <w:pPr>
              <w:pStyle w:val="TableContents"/>
              <w:spacing w:before="0" w:after="283"/>
              <w:jc w:val="left"/>
              <w:rPr>
                <w:rFonts w:ascii="Arial" w:hAnsi="Arial"/>
              </w:rPr>
            </w:pPr>
            <w:r>
              <w:rPr>
                <w:rFonts w:ascii="Arial" w:hAnsi="Arial"/>
              </w:rPr>
              <w:t>Total shareowners' equity</w:t>
            </w:r>
          </w:p>
        </w:tc>
        <w:tc>
          <w:tcPr>
            <w:tcW w:w="247" w:type="dxa"/>
            <w:tcBorders/>
            <w:shd w:fill="FFFFFF" w:val="clear"/>
            <w:vAlign w:val="bottom"/>
          </w:tcPr>
          <w:p>
            <w:pPr>
              <w:pStyle w:val="TableContents"/>
              <w:spacing w:before="0" w:after="283"/>
              <w:jc w:val="right"/>
              <w:rPr/>
            </w:pPr>
            <w:r>
              <w:rPr/>
              <w:t>    </w:t>
            </w:r>
          </w:p>
        </w:tc>
        <w:tc>
          <w:tcPr>
            <w:tcW w:w="159"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9,720</w:t>
            </w:r>
          </w:p>
        </w:tc>
        <w:tc>
          <w:tcPr>
            <w:tcW w:w="9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775" w:type="dxa"/>
            <w:tcBorders/>
            <w:shd w:fill="FFFFFF" w:val="clear"/>
            <w:vAlign w:val="bottom"/>
          </w:tcPr>
          <w:p>
            <w:pPr>
              <w:pStyle w:val="TableContents"/>
              <w:spacing w:before="0" w:after="283"/>
              <w:jc w:val="right"/>
              <w:rPr>
                <w:rFonts w:ascii="Arial" w:hAnsi="Arial"/>
              </w:rPr>
            </w:pPr>
            <w:r>
              <w:rPr>
                <w:rFonts w:ascii="Arial" w:hAnsi="Arial"/>
              </w:rPr>
              <w:t>10,762</w:t>
            </w:r>
          </w:p>
        </w:tc>
        <w:tc>
          <w:tcPr>
            <w:tcW w:w="98" w:type="dxa"/>
            <w:tcBorders/>
            <w:shd w:fill="FFFFFF" w:val="clear"/>
            <w:vAlign w:val="center"/>
          </w:tcPr>
          <w:p>
            <w:pPr>
              <w:pStyle w:val="TableContents"/>
              <w:spacing w:before="0" w:after="283"/>
              <w:rPr/>
            </w:pPr>
            <w:r>
              <w:rPr/>
              <w:t> </w:t>
            </w:r>
          </w:p>
        </w:tc>
      </w:tr>
      <w:tr>
        <w:trPr/>
        <w:tc>
          <w:tcPr>
            <w:tcW w:w="7647"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6" w:space="0" w:color="000000"/>
              </w:pBdr>
              <w:spacing w:before="0" w:after="283"/>
              <w:rPr/>
            </w:pPr>
            <w:r>
              <w:rPr/>
            </w:r>
          </w:p>
        </w:tc>
        <w:tc>
          <w:tcPr>
            <w:tcW w:w="98" w:type="dxa"/>
            <w:tcBorders/>
            <w:shd w:fill="E5FFFF" w:val="clear"/>
            <w:vAlign w:val="center"/>
          </w:tcPr>
          <w:p>
            <w:pPr>
              <w:pStyle w:val="TableContents"/>
              <w:spacing w:before="0" w:after="283"/>
              <w:rPr/>
            </w:pPr>
            <w:r>
              <w:rPr/>
              <w:t> </w:t>
            </w:r>
          </w:p>
        </w:tc>
      </w:tr>
      <w:tr>
        <w:trPr/>
        <w:tc>
          <w:tcPr>
            <w:tcW w:w="7647" w:type="dxa"/>
            <w:tcBorders/>
            <w:shd w:fill="FFFFFF" w:val="clear"/>
            <w:vAlign w:val="bottom"/>
          </w:tcPr>
          <w:p>
            <w:pPr>
              <w:pStyle w:val="TableContents"/>
              <w:spacing w:before="0" w:after="283"/>
              <w:jc w:val="left"/>
              <w:rPr>
                <w:rFonts w:ascii="Arial" w:hAnsi="Arial"/>
              </w:rPr>
            </w:pPr>
            <w:r>
              <w:rPr>
                <w:rFonts w:ascii="Arial" w:hAnsi="Arial"/>
              </w:rPr>
              <w:t>Total liabilities and shareowners' equity</w:t>
            </w:r>
          </w:p>
        </w:tc>
        <w:tc>
          <w:tcPr>
            <w:tcW w:w="247"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right"/>
              <w:rPr>
                <w:rFonts w:ascii="Arial" w:hAnsi="Arial"/>
              </w:rPr>
            </w:pPr>
            <w:r>
              <w:rPr>
                <w:rFonts w:ascii="Arial" w:hAnsi="Arial"/>
              </w:rPr>
              <w:t>$</w:t>
            </w:r>
          </w:p>
        </w:tc>
        <w:tc>
          <w:tcPr>
            <w:tcW w:w="775" w:type="dxa"/>
            <w:tcBorders/>
            <w:shd w:fill="FFFFFF" w:val="clear"/>
            <w:vAlign w:val="bottom"/>
          </w:tcPr>
          <w:p>
            <w:pPr>
              <w:pStyle w:val="TableContents"/>
              <w:spacing w:before="0" w:after="283"/>
              <w:jc w:val="right"/>
              <w:rPr>
                <w:rFonts w:ascii="Arial" w:hAnsi="Arial"/>
              </w:rPr>
            </w:pPr>
            <w:r>
              <w:rPr>
                <w:rFonts w:ascii="Arial" w:hAnsi="Arial"/>
              </w:rPr>
              <w:t>30,941</w:t>
            </w:r>
          </w:p>
        </w:tc>
        <w:tc>
          <w:tcPr>
            <w:tcW w:w="9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rPr>
            </w:pPr>
            <w:r>
              <w:rPr>
                <w:rFonts w:ascii="Arial" w:hAnsi="Arial"/>
              </w:rPr>
              <w:t>$</w:t>
            </w:r>
          </w:p>
        </w:tc>
        <w:tc>
          <w:tcPr>
            <w:tcW w:w="775" w:type="dxa"/>
            <w:tcBorders/>
            <w:shd w:fill="FFFFFF" w:val="clear"/>
            <w:vAlign w:val="bottom"/>
          </w:tcPr>
          <w:p>
            <w:pPr>
              <w:pStyle w:val="TableContents"/>
              <w:spacing w:before="0" w:after="283"/>
              <w:jc w:val="right"/>
              <w:rPr>
                <w:rFonts w:ascii="Arial" w:hAnsi="Arial"/>
              </w:rPr>
            </w:pPr>
            <w:r>
              <w:rPr>
                <w:rFonts w:ascii="Arial" w:hAnsi="Arial"/>
              </w:rPr>
              <w:t>31,633</w:t>
            </w:r>
          </w:p>
        </w:tc>
        <w:tc>
          <w:tcPr>
            <w:tcW w:w="98" w:type="dxa"/>
            <w:tcBorders/>
            <w:shd w:fill="FFFFFF" w:val="clear"/>
            <w:vAlign w:val="center"/>
          </w:tcPr>
          <w:p>
            <w:pPr>
              <w:pStyle w:val="TableContents"/>
              <w:spacing w:before="0" w:after="283"/>
              <w:rPr/>
            </w:pPr>
            <w:r>
              <w:rPr/>
              <w:t> </w:t>
            </w:r>
          </w:p>
        </w:tc>
      </w:tr>
      <w:tr>
        <w:trPr/>
        <w:tc>
          <w:tcPr>
            <w:tcW w:w="7647"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59"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18" w:space="0" w:color="000000"/>
              </w:pBdr>
              <w:spacing w:before="0" w:after="283"/>
              <w:rPr/>
            </w:pPr>
            <w:r>
              <w:rPr/>
            </w:r>
          </w:p>
        </w:tc>
        <w:tc>
          <w:tcPr>
            <w:tcW w:w="9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775" w:type="dxa"/>
            <w:tcBorders/>
            <w:shd w:fill="E5FFFF" w:val="clear"/>
            <w:vAlign w:val="bottom"/>
          </w:tcPr>
          <w:p>
            <w:pPr>
              <w:pStyle w:val="HorizontalLine"/>
              <w:pBdr>
                <w:bottom w:val="single" w:sz="18" w:space="0" w:color="000000"/>
              </w:pBdr>
              <w:spacing w:before="0" w:after="283"/>
              <w:rPr/>
            </w:pPr>
            <w:r>
              <w:rPr/>
            </w:r>
          </w:p>
        </w:tc>
        <w:tc>
          <w:tcPr>
            <w:tcW w:w="98" w:type="dxa"/>
            <w:tcBorders/>
            <w:shd w:fill="E5FFFF" w:val="clear"/>
            <w:vAlign w:val="center"/>
          </w:tcPr>
          <w:p>
            <w:pPr>
              <w:pStyle w:val="TableContents"/>
              <w:spacing w:before="0" w:after="283"/>
              <w:rPr/>
            </w:pPr>
            <w:r>
              <w:rPr/>
              <w:t> </w:t>
            </w:r>
          </w:p>
        </w:tc>
      </w:tr>
      <w:tr>
        <w:trPr/>
        <w:tc>
          <w:tcPr>
            <w:tcW w:w="7647" w:type="dxa"/>
            <w:tcBorders/>
            <w:shd w:fill="FFFFFF" w:val="clear"/>
            <w:vAlign w:val="bottom"/>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pPr>
            <w:r>
              <w:rPr/>
              <w:t> </w:t>
            </w:r>
          </w:p>
        </w:tc>
        <w:tc>
          <w:tcPr>
            <w:tcW w:w="159" w:type="dxa"/>
            <w:tcBorders/>
            <w:shd w:fill="FFFFFF" w:val="clear"/>
            <w:vAlign w:val="center"/>
          </w:tcPr>
          <w:p>
            <w:pPr>
              <w:pStyle w:val="TableContents"/>
              <w:spacing w:before="0" w:after="283"/>
              <w:rPr/>
            </w:pPr>
            <w:r>
              <w:rPr/>
              <w:t> </w:t>
            </w:r>
          </w:p>
        </w:tc>
        <w:tc>
          <w:tcPr>
            <w:tcW w:w="775"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75"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The Notes to Financial Statements are an integral part of this statement.</w:t>
      </w:r>
    </w:p>
    <w:p>
      <w:pPr>
        <w:pStyle w:val="TextBody"/>
        <w:jc w:val="center"/>
        <w:rPr>
          <w:rFonts w:ascii="Arial" w:hAnsi="Arial"/>
        </w:rPr>
      </w:pPr>
      <w:r>
        <w:rPr>
          <w:rFonts w:ascii="Arial" w:hAnsi="Arial"/>
        </w:rPr>
        <w:t>46</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HONEYWELL INTERNATIONAL INC.</w:t>
        <w:br/>
        <w:t>CONSOLIDATED STATEMENT OF CASH FLOWS</w:t>
      </w:r>
    </w:p>
    <w:tbl>
      <w:tblPr>
        <w:tblW w:w="5000" w:type="pct"/>
        <w:jc w:val="left"/>
        <w:tblInd w:w="0" w:type="dxa"/>
        <w:tblCellMar>
          <w:top w:w="0" w:type="dxa"/>
          <w:left w:w="0" w:type="dxa"/>
          <w:bottom w:w="0" w:type="dxa"/>
          <w:right w:w="0" w:type="dxa"/>
        </w:tblCellMar>
      </w:tblPr>
      <w:tblGrid>
        <w:gridCol w:w="6649"/>
        <w:gridCol w:w="240"/>
        <w:gridCol w:w="155"/>
        <w:gridCol w:w="695"/>
        <w:gridCol w:w="95"/>
        <w:gridCol w:w="240"/>
        <w:gridCol w:w="155"/>
        <w:gridCol w:w="695"/>
        <w:gridCol w:w="95"/>
        <w:gridCol w:w="240"/>
        <w:gridCol w:w="155"/>
        <w:gridCol w:w="695"/>
        <w:gridCol w:w="96"/>
      </w:tblGrid>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316"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4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4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46"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316" w:type="dxa"/>
            <w:gridSpan w:val="11"/>
            <w:tcBorders/>
            <w:shd w:fill="FFFFFF" w:val="clear"/>
          </w:tcPr>
          <w:p>
            <w:pPr>
              <w:pStyle w:val="TableContents"/>
              <w:spacing w:before="0" w:after="283"/>
              <w:jc w:val="center"/>
              <w:rPr>
                <w:rFonts w:ascii="Arial" w:hAnsi="Arial"/>
                <w:b/>
                <w:sz w:val="14"/>
              </w:rPr>
            </w:pPr>
            <w:r>
              <w:rPr>
                <w:rFonts w:ascii="Arial" w:hAnsi="Arial"/>
                <w:b/>
                <w:sz w:val="14"/>
              </w:rPr>
              <w:t>(Dollars in millions)</w:t>
            </w:r>
          </w:p>
        </w:tc>
      </w:tr>
      <w:tr>
        <w:trPr/>
        <w:tc>
          <w:tcPr>
            <w:tcW w:w="6649" w:type="dxa"/>
            <w:tcBorders/>
            <w:shd w:fill="E5FFFF" w:val="clear"/>
            <w:vAlign w:val="bottom"/>
          </w:tcPr>
          <w:p>
            <w:pPr>
              <w:pStyle w:val="TableContents"/>
              <w:spacing w:before="0" w:after="283"/>
              <w:jc w:val="left"/>
              <w:rPr>
                <w:rFonts w:ascii="Arial" w:hAnsi="Arial"/>
                <w:b/>
              </w:rPr>
            </w:pPr>
            <w:r>
              <w:rPr>
                <w:rFonts w:ascii="Arial" w:hAnsi="Arial"/>
                <w:b/>
              </w:rPr>
              <w:t>Cash flows from operating activities:</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Net income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2,083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1,638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1,246</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Adjustments to reconcile net income to net cash provided by operating activities:</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Cumulative effect of accounting change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21</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Depreciation and amortization</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794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653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614</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Repositioning and other charges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483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412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775</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Payments of repositioning and other charges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(559</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(1,008</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(863</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Pension and other postretirement expense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459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561</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628</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Pension and other postretirement benefit payments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(353</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(199</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(247</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Stock option expense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Deferred income taxes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450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42</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201</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Excess tax benefits from share based payment arrangements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(31</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Other</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(56</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(358</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Changes in assets and liabilities, net of the effects of acquisitions and divestitures:</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Accounts, notes and other receivables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(573</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(94</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(470</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Inventories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(128</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37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(84</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Other current assets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(11</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61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(77</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Accounts payable</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516</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181</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408</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Accrued liabilities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(16</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193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480</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Net cash provided by operating activities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3,211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2,442</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2,253</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b/>
              </w:rPr>
            </w:pPr>
            <w:r>
              <w:rPr>
                <w:rFonts w:ascii="Arial" w:hAnsi="Arial"/>
                <w:b/>
              </w:rPr>
              <w:t>Cash flows from investing activities:</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Expenditures for property, plant and equipment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(733</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(684</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(629</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Proceeds from disposals of property, plant and equipment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87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71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38</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Proceeds from investments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285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80</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Increase in investments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(115</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Cash paid for acquisitions, net of cash acquired</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(633</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(2,679</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(384</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Proceeds from sales of businesses, net of fees paid</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665</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997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426</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Net cash (used for) investing activities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(614</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(2,010</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(584</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b/>
              </w:rPr>
            </w:pPr>
            <w:r>
              <w:rPr>
                <w:rFonts w:ascii="Arial" w:hAnsi="Arial"/>
                <w:b/>
              </w:rPr>
              <w:t>Cash flows from financing activities:</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Net (decrease)/increase in commercial paper</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(86</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534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220</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Net (decrease)/increase in short-term borrowings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(224</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100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(121</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Payment of debt assumed with acquisitions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(346</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(702</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Proceeds from issuance of common stock</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396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167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74</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Proceeds from issuance of long-term debt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1,239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Payments of long-term debt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(1,019</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(982</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(29</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Excess tax benefits from share based payment arrangements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31</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Repurchases of common stock</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(1,896</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(1,133</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(724</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Cash dividends paid on common stock</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(744</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(700</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(643</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Net cash (used for) financing activities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(2,649</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(2,716</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(1,223</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64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Effect of foreign exchange rate changes on cash and cash equivalents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(68</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190</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jc w:val="left"/>
              <w:rPr>
                <w:rFonts w:ascii="Arial" w:hAnsi="Arial"/>
              </w:rPr>
            </w:pPr>
            <w:r>
              <w:rPr>
                <w:rFonts w:ascii="Arial" w:hAnsi="Arial"/>
              </w:rPr>
              <w:t>Net (decrease)/increase in cash and cash equivalents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(10</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(2,352</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636</w:t>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Cash and cash equivalents at beginning of period</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1,234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3,586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2,950</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649" w:type="dxa"/>
            <w:tcBorders/>
            <w:shd w:fill="E5FFFF" w:val="clear"/>
            <w:vAlign w:val="bottom"/>
          </w:tcPr>
          <w:p>
            <w:pPr>
              <w:pStyle w:val="TableContents"/>
              <w:spacing w:before="0" w:after="283"/>
              <w:jc w:val="left"/>
              <w:rPr>
                <w:rFonts w:ascii="Arial" w:hAnsi="Arial"/>
              </w:rPr>
            </w:pPr>
            <w:r>
              <w:rPr>
                <w:rFonts w:ascii="Arial" w:hAnsi="Arial"/>
              </w:rPr>
              <w:t>Cash and cash equivalents at end of period</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1,224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1,234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3,586</w:t>
            </w:r>
          </w:p>
        </w:tc>
        <w:tc>
          <w:tcPr>
            <w:tcW w:w="96" w:type="dxa"/>
            <w:tcBorders/>
            <w:shd w:fill="E5FFFF" w:val="clear"/>
            <w:vAlign w:val="center"/>
          </w:tcPr>
          <w:p>
            <w:pPr>
              <w:pStyle w:val="TableContents"/>
              <w:spacing w:before="0" w:after="283"/>
              <w:rPr/>
            </w:pPr>
            <w:r>
              <w:rPr/>
              <w:t> </w:t>
            </w:r>
          </w:p>
        </w:tc>
      </w:tr>
      <w:tr>
        <w:trPr/>
        <w:tc>
          <w:tcPr>
            <w:tcW w:w="664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664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The Notes to Financial Statements are an integral part of this statement.</w:t>
      </w:r>
    </w:p>
    <w:p>
      <w:pPr>
        <w:pStyle w:val="TextBody"/>
        <w:jc w:val="center"/>
        <w:rPr>
          <w:rFonts w:ascii="Arial" w:hAnsi="Arial"/>
        </w:rPr>
      </w:pPr>
      <w:r>
        <w:rPr>
          <w:rFonts w:ascii="Arial" w:hAnsi="Arial"/>
        </w:rPr>
        <w:t>47</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HONEYWELL INTERNATIONAL INC.</w:t>
        <w:br/>
        <w:t>CONSOLIDATED STATEMENT OF SHAREOWNERS' EQUITY</w:t>
      </w:r>
    </w:p>
    <w:tbl>
      <w:tblPr>
        <w:tblW w:w="12120" w:type="dxa"/>
        <w:jc w:val="left"/>
        <w:tblInd w:w="0" w:type="dxa"/>
        <w:tblCellMar>
          <w:top w:w="0" w:type="dxa"/>
          <w:left w:w="0" w:type="dxa"/>
          <w:bottom w:w="0" w:type="dxa"/>
          <w:right w:w="0" w:type="dxa"/>
        </w:tblCellMar>
      </w:tblPr>
      <w:tblGrid>
        <w:gridCol w:w="995"/>
        <w:gridCol w:w="240"/>
        <w:gridCol w:w="102"/>
        <w:gridCol w:w="624"/>
        <w:gridCol w:w="104"/>
        <w:gridCol w:w="240"/>
        <w:gridCol w:w="222"/>
        <w:gridCol w:w="572"/>
        <w:gridCol w:w="141"/>
        <w:gridCol w:w="240"/>
        <w:gridCol w:w="217"/>
        <w:gridCol w:w="835"/>
        <w:gridCol w:w="138"/>
        <w:gridCol w:w="240"/>
        <w:gridCol w:w="93"/>
        <w:gridCol w:w="636"/>
        <w:gridCol w:w="101"/>
        <w:gridCol w:w="240"/>
        <w:gridCol w:w="155"/>
        <w:gridCol w:w="672"/>
        <w:gridCol w:w="108"/>
        <w:gridCol w:w="240"/>
        <w:gridCol w:w="305"/>
        <w:gridCol w:w="1319"/>
        <w:gridCol w:w="211"/>
        <w:gridCol w:w="240"/>
        <w:gridCol w:w="167"/>
        <w:gridCol w:w="773"/>
        <w:gridCol w:w="115"/>
        <w:gridCol w:w="240"/>
        <w:gridCol w:w="252"/>
        <w:gridCol w:w="1169"/>
        <w:gridCol w:w="174"/>
      </w:tblGrid>
      <w:tr>
        <w:trPr/>
        <w:tc>
          <w:tcPr>
            <w:tcW w:w="9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005" w:type="dxa"/>
            <w:gridSpan w:val="7"/>
            <w:tcBorders/>
            <w:shd w:fill="FFFFFF" w:val="clear"/>
            <w:vAlign w:val="bottom"/>
          </w:tcPr>
          <w:p>
            <w:pPr>
              <w:pStyle w:val="TableContents"/>
              <w:spacing w:before="0" w:after="0"/>
              <w:jc w:val="center"/>
              <w:rPr>
                <w:rFonts w:ascii="Arial" w:hAnsi="Arial"/>
                <w:b/>
              </w:rPr>
            </w:pPr>
            <w:r>
              <w:rPr>
                <w:rFonts w:ascii="Arial" w:hAnsi="Arial"/>
                <w:b/>
              </w:rPr>
              <w:t>Common</w:t>
              <w:br/>
              <w:t>Stock Issued</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005" w:type="dxa"/>
            <w:gridSpan w:val="7"/>
            <w:tcBorders/>
            <w:shd w:fill="FFFFFF" w:val="clear"/>
            <w:vAlign w:val="bottom"/>
          </w:tcPr>
          <w:p>
            <w:pPr>
              <w:pStyle w:val="TableContents"/>
              <w:spacing w:before="0" w:after="0"/>
              <w:jc w:val="center"/>
              <w:rPr>
                <w:rFonts w:ascii="Arial" w:hAnsi="Arial"/>
                <w:b/>
              </w:rPr>
            </w:pPr>
            <w:r>
              <w:rPr>
                <w:rFonts w:ascii="Arial" w:hAnsi="Arial"/>
                <w:b/>
              </w:rPr>
              <w:t>Common Stock</w:t>
              <w:br/>
              <w:t>Held in Treasury</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r>
      <w:tr>
        <w:trPr/>
        <w:tc>
          <w:tcPr>
            <w:tcW w:w="9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830" w:type="dxa"/>
            <w:gridSpan w:val="3"/>
            <w:tcBorders/>
            <w:shd w:fill="FFFFFF" w:val="clear"/>
            <w:vAlign w:val="bottom"/>
          </w:tcPr>
          <w:p>
            <w:pPr>
              <w:pStyle w:val="TableContents"/>
              <w:spacing w:before="0" w:after="0"/>
              <w:jc w:val="center"/>
              <w:rPr>
                <w:rFonts w:ascii="Arial" w:hAnsi="Arial"/>
                <w:b/>
              </w:rPr>
            </w:pPr>
            <w:r>
              <w:rPr>
                <w:rFonts w:ascii="Arial" w:hAnsi="Arial"/>
                <w:b/>
              </w:rPr>
              <w:t>Shares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35" w:type="dxa"/>
            <w:gridSpan w:val="3"/>
            <w:tcBorders/>
            <w:shd w:fill="FFFFFF" w:val="clear"/>
            <w:vAlign w:val="bottom"/>
          </w:tcPr>
          <w:p>
            <w:pPr>
              <w:pStyle w:val="TableContents"/>
              <w:spacing w:before="0" w:after="0"/>
              <w:jc w:val="center"/>
              <w:rPr>
                <w:rFonts w:ascii="Arial" w:hAnsi="Arial"/>
                <w:b/>
              </w:rPr>
            </w:pPr>
            <w:r>
              <w:rPr>
                <w:rFonts w:ascii="Arial" w:hAnsi="Arial"/>
                <w:b/>
              </w:rPr>
              <w:t>Amount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190" w:type="dxa"/>
            <w:gridSpan w:val="3"/>
            <w:tcBorders/>
            <w:shd w:fill="FFFFFF" w:val="clear"/>
            <w:vAlign w:val="bottom"/>
          </w:tcPr>
          <w:p>
            <w:pPr>
              <w:pStyle w:val="TableContents"/>
              <w:spacing w:before="0" w:after="0"/>
              <w:jc w:val="center"/>
              <w:rPr>
                <w:rFonts w:ascii="Arial" w:hAnsi="Arial"/>
                <w:b/>
              </w:rPr>
            </w:pPr>
            <w:r>
              <w:rPr>
                <w:rFonts w:ascii="Arial" w:hAnsi="Arial"/>
                <w:b/>
              </w:rPr>
              <w:t>Additional</w:t>
              <w:br/>
              <w:t>Paid-in</w:t>
              <w:br/>
              <w:t>Capital</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30" w:type="dxa"/>
            <w:gridSpan w:val="3"/>
            <w:tcBorders/>
            <w:shd w:fill="FFFFFF" w:val="clear"/>
            <w:vAlign w:val="bottom"/>
          </w:tcPr>
          <w:p>
            <w:pPr>
              <w:pStyle w:val="TableContents"/>
              <w:spacing w:before="0" w:after="0"/>
              <w:jc w:val="center"/>
              <w:rPr>
                <w:rFonts w:ascii="Arial" w:hAnsi="Arial"/>
                <w:b/>
              </w:rPr>
            </w:pPr>
            <w:r>
              <w:rPr>
                <w:rFonts w:ascii="Arial" w:hAnsi="Arial"/>
                <w:b/>
              </w:rPr>
              <w:t>Shares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35" w:type="dxa"/>
            <w:gridSpan w:val="3"/>
            <w:tcBorders/>
            <w:shd w:fill="FFFFFF" w:val="clear"/>
            <w:vAlign w:val="bottom"/>
          </w:tcPr>
          <w:p>
            <w:pPr>
              <w:pStyle w:val="TableContents"/>
              <w:spacing w:before="0" w:after="0"/>
              <w:jc w:val="center"/>
              <w:rPr>
                <w:rFonts w:ascii="Arial" w:hAnsi="Arial"/>
                <w:b/>
              </w:rPr>
            </w:pPr>
            <w:r>
              <w:rPr>
                <w:rFonts w:ascii="Arial" w:hAnsi="Arial"/>
                <w:b/>
              </w:rPr>
              <w:t>Amount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835" w:type="dxa"/>
            <w:gridSpan w:val="3"/>
            <w:tcBorders/>
            <w:shd w:fill="FFFFFF" w:val="clear"/>
            <w:vAlign w:val="bottom"/>
          </w:tcPr>
          <w:p>
            <w:pPr>
              <w:pStyle w:val="TableContents"/>
              <w:spacing w:before="0" w:after="0"/>
              <w:jc w:val="center"/>
              <w:rPr>
                <w:rFonts w:ascii="Arial" w:hAnsi="Arial"/>
                <w:b/>
              </w:rPr>
            </w:pPr>
            <w:r>
              <w:rPr>
                <w:rFonts w:ascii="Arial" w:hAnsi="Arial"/>
                <w:b/>
              </w:rPr>
              <w:t>Accumulated</w:t>
              <w:br/>
              <w:t>Other</w:t>
              <w:br/>
              <w:t>Comprehensive</w:t>
              <w:br/>
              <w:t>Income</w:t>
              <w:br/>
              <w:t>(Loss)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55" w:type="dxa"/>
            <w:gridSpan w:val="3"/>
            <w:tcBorders/>
            <w:shd w:fill="FFFFFF" w:val="clear"/>
            <w:vAlign w:val="bottom"/>
          </w:tcPr>
          <w:p>
            <w:pPr>
              <w:pStyle w:val="TableContents"/>
              <w:spacing w:before="0" w:after="0"/>
              <w:jc w:val="center"/>
              <w:rPr>
                <w:rFonts w:ascii="Arial" w:hAnsi="Arial"/>
                <w:b/>
              </w:rPr>
            </w:pPr>
            <w:r>
              <w:rPr>
                <w:rFonts w:ascii="Arial" w:hAnsi="Arial"/>
                <w:b/>
              </w:rPr>
              <w:t>Retained</w:t>
              <w:br/>
              <w:t>Earnings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595" w:type="dxa"/>
            <w:gridSpan w:val="3"/>
            <w:tcBorders/>
            <w:shd w:fill="FFFFFF" w:val="clear"/>
            <w:vAlign w:val="bottom"/>
          </w:tcPr>
          <w:p>
            <w:pPr>
              <w:pStyle w:val="TableContents"/>
              <w:spacing w:before="0" w:after="0"/>
              <w:jc w:val="center"/>
              <w:rPr>
                <w:rFonts w:ascii="Arial" w:hAnsi="Arial"/>
                <w:b/>
              </w:rPr>
            </w:pPr>
            <w:r>
              <w:rPr>
                <w:rFonts w:ascii="Arial" w:hAnsi="Arial"/>
                <w:b/>
              </w:rPr>
              <w:t>Total</w:t>
              <w:br/>
              <w:t>Shareowners'</w:t>
              <w:br/>
              <w:t>Equity</w:t>
            </w:r>
          </w:p>
          <w:p>
            <w:pPr>
              <w:pStyle w:val="HorizontalLine"/>
              <w:pBdr>
                <w:bottom w:val="single" w:sz="6" w:space="0" w:color="000000"/>
              </w:pBdr>
              <w:spacing w:before="0" w:after="283"/>
              <w:rPr/>
            </w:pPr>
            <w:r>
              <w:rPr/>
            </w:r>
          </w:p>
        </w:tc>
      </w:tr>
      <w:tr>
        <w:trPr/>
        <w:tc>
          <w:tcPr>
            <w:tcW w:w="9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885" w:type="dxa"/>
            <w:gridSpan w:val="31"/>
            <w:tcBorders/>
            <w:shd w:fill="FFFFFF" w:val="clear"/>
          </w:tcPr>
          <w:p>
            <w:pPr>
              <w:pStyle w:val="TableContents"/>
              <w:spacing w:before="0" w:after="283"/>
              <w:jc w:val="center"/>
              <w:rPr>
                <w:rFonts w:ascii="Arial" w:hAnsi="Arial"/>
                <w:b/>
                <w:sz w:val="14"/>
              </w:rPr>
            </w:pPr>
            <w:r>
              <w:rPr>
                <w:rFonts w:ascii="Arial" w:hAnsi="Arial"/>
                <w:b/>
                <w:sz w:val="14"/>
              </w:rPr>
              <w:t>(In millions, except per share amounts)</w:t>
            </w:r>
          </w:p>
        </w:tc>
      </w:tr>
      <w:tr>
        <w:trPr/>
        <w:tc>
          <w:tcPr>
            <w:tcW w:w="995" w:type="dxa"/>
            <w:tcBorders/>
            <w:shd w:fill="E5FFFF" w:val="clear"/>
            <w:vAlign w:val="bottom"/>
          </w:tcPr>
          <w:p>
            <w:pPr>
              <w:pStyle w:val="TableContents"/>
              <w:spacing w:before="0" w:after="283"/>
              <w:jc w:val="left"/>
              <w:rPr>
                <w:rFonts w:ascii="Arial" w:hAnsi="Arial"/>
                <w:b/>
                <w:sz w:val="14"/>
              </w:rPr>
            </w:pPr>
            <w:r>
              <w:rPr>
                <w:rFonts w:ascii="Arial" w:hAnsi="Arial"/>
                <w:b/>
                <w:sz w:val="14"/>
              </w:rPr>
              <w:t>Balance at December 31, 2003</w:t>
            </w:r>
          </w:p>
        </w:tc>
        <w:tc>
          <w:tcPr>
            <w:tcW w:w="240" w:type="dxa"/>
            <w:tcBorders/>
            <w:shd w:fill="E5FFFF" w:val="clear"/>
            <w:vAlign w:val="bottom"/>
          </w:tcPr>
          <w:p>
            <w:pPr>
              <w:pStyle w:val="TableContents"/>
              <w:spacing w:before="0" w:after="283"/>
              <w:jc w:val="right"/>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bottom"/>
          </w:tcPr>
          <w:p>
            <w:pPr>
              <w:pStyle w:val="TableContents"/>
              <w:spacing w:before="0" w:after="283"/>
              <w:jc w:val="right"/>
              <w:rPr>
                <w:rFonts w:ascii="Arial" w:hAnsi="Arial"/>
                <w:sz w:val="14"/>
              </w:rPr>
            </w:pPr>
            <w:r>
              <w:rPr>
                <w:rFonts w:ascii="Arial" w:hAnsi="Arial"/>
                <w:sz w:val="14"/>
              </w:rPr>
              <w:t>957.6</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72" w:type="dxa"/>
            <w:tcBorders/>
            <w:shd w:fill="E5FFFF" w:val="clear"/>
            <w:vAlign w:val="bottom"/>
          </w:tcPr>
          <w:p>
            <w:pPr>
              <w:pStyle w:val="TableContents"/>
              <w:spacing w:before="0" w:after="283"/>
              <w:jc w:val="right"/>
              <w:rPr>
                <w:rFonts w:ascii="Arial" w:hAnsi="Arial"/>
                <w:sz w:val="14"/>
              </w:rPr>
            </w:pPr>
            <w:r>
              <w:rPr>
                <w:rFonts w:ascii="Arial" w:hAnsi="Arial"/>
                <w:sz w:val="14"/>
              </w:rPr>
              <w:t>958</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835" w:type="dxa"/>
            <w:tcBorders/>
            <w:shd w:fill="E5FFFF" w:val="clear"/>
            <w:vAlign w:val="bottom"/>
          </w:tcPr>
          <w:p>
            <w:pPr>
              <w:pStyle w:val="TableContents"/>
              <w:spacing w:before="0" w:after="283"/>
              <w:jc w:val="right"/>
              <w:rPr>
                <w:rFonts w:ascii="Arial" w:hAnsi="Arial"/>
                <w:sz w:val="14"/>
              </w:rPr>
            </w:pPr>
            <w:r>
              <w:rPr>
                <w:rFonts w:ascii="Arial" w:hAnsi="Arial"/>
                <w:sz w:val="14"/>
              </w:rPr>
              <w:t>3,486</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TableContents"/>
              <w:spacing w:before="0" w:after="283"/>
              <w:jc w:val="right"/>
              <w:rPr>
                <w:rFonts w:ascii="Arial" w:hAnsi="Arial"/>
                <w:sz w:val="14"/>
              </w:rPr>
            </w:pPr>
            <w:r>
              <w:rPr>
                <w:rFonts w:ascii="Arial" w:hAnsi="Arial"/>
                <w:sz w:val="14"/>
              </w:rPr>
              <w:t>(95.3</w:t>
            </w:r>
          </w:p>
        </w:tc>
        <w:tc>
          <w:tcPr>
            <w:tcW w:w="10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72" w:type="dxa"/>
            <w:tcBorders/>
            <w:shd w:fill="E5FFFF" w:val="clear"/>
            <w:vAlign w:val="bottom"/>
          </w:tcPr>
          <w:p>
            <w:pPr>
              <w:pStyle w:val="TableContents"/>
              <w:spacing w:before="0" w:after="283"/>
              <w:jc w:val="right"/>
              <w:rPr>
                <w:rFonts w:ascii="Arial" w:hAnsi="Arial"/>
                <w:sz w:val="14"/>
              </w:rPr>
            </w:pPr>
            <w:r>
              <w:rPr>
                <w:rFonts w:ascii="Arial" w:hAnsi="Arial"/>
                <w:sz w:val="14"/>
              </w:rPr>
              <w:t>(3,655</w:t>
            </w:r>
          </w:p>
        </w:tc>
        <w:tc>
          <w:tcPr>
            <w:tcW w:w="10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(189</w:t>
            </w:r>
          </w:p>
        </w:tc>
        <w:tc>
          <w:tcPr>
            <w:tcW w:w="21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73" w:type="dxa"/>
            <w:tcBorders/>
            <w:shd w:fill="E5FFFF" w:val="clear"/>
            <w:vAlign w:val="bottom"/>
          </w:tcPr>
          <w:p>
            <w:pPr>
              <w:pStyle w:val="TableContents"/>
              <w:spacing w:before="0" w:after="283"/>
              <w:jc w:val="right"/>
              <w:rPr>
                <w:rFonts w:ascii="Arial" w:hAnsi="Arial"/>
                <w:sz w:val="14"/>
              </w:rPr>
            </w:pPr>
            <w:r>
              <w:rPr>
                <w:rFonts w:ascii="Arial" w:hAnsi="Arial"/>
                <w:sz w:val="14"/>
              </w:rPr>
              <w:t>9,689</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10,289</w:t>
            </w:r>
          </w:p>
        </w:tc>
        <w:tc>
          <w:tcPr>
            <w:tcW w:w="174" w:type="dxa"/>
            <w:tcBorders/>
            <w:shd w:fill="E5FFFF" w:val="clear"/>
            <w:vAlign w:val="center"/>
          </w:tcPr>
          <w:p>
            <w:pPr>
              <w:pStyle w:val="TableContents"/>
              <w:spacing w:before="0" w:after="283"/>
              <w:rPr/>
            </w:pPr>
            <w:r>
              <w:rPr/>
              <w:t> </w:t>
            </w:r>
          </w:p>
        </w:tc>
      </w:tr>
      <w:tr>
        <w:trPr/>
        <w:tc>
          <w:tcPr>
            <w:tcW w:w="995" w:type="dxa"/>
            <w:tcBorders/>
            <w:shd w:fill="auto" w:val="clear"/>
            <w:vAlign w:val="bottom"/>
          </w:tcPr>
          <w:p>
            <w:pPr>
              <w:pStyle w:val="TableContents"/>
              <w:spacing w:before="0" w:after="283"/>
              <w:jc w:val="left"/>
              <w:rPr>
                <w:rFonts w:ascii="Arial" w:hAnsi="Arial"/>
                <w:sz w:val="14"/>
              </w:rPr>
            </w:pPr>
            <w:r>
              <w:rPr>
                <w:rFonts w:ascii="Arial" w:hAnsi="Arial"/>
                <w:sz w:val="14"/>
              </w:rPr>
              <w:t>Net income</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Arial" w:hAnsi="Arial"/>
                <w:sz w:val="14"/>
              </w:rPr>
            </w:pPr>
            <w:r>
              <w:rPr>
                <w:rFonts w:ascii="Arial" w:hAnsi="Arial"/>
                <w:sz w:val="14"/>
              </w:rPr>
              <w:t>1,246</w:t>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TableContents"/>
              <w:spacing w:before="0" w:after="283"/>
              <w:jc w:val="right"/>
              <w:rPr>
                <w:rFonts w:ascii="Arial" w:hAnsi="Arial"/>
                <w:sz w:val="14"/>
              </w:rPr>
            </w:pPr>
            <w:r>
              <w:rPr>
                <w:rFonts w:ascii="Arial" w:hAnsi="Arial"/>
                <w:sz w:val="14"/>
              </w:rPr>
              <w:t>1,246</w:t>
            </w:r>
          </w:p>
        </w:tc>
        <w:tc>
          <w:tcPr>
            <w:tcW w:w="174" w:type="dxa"/>
            <w:tcBorders/>
            <w:shd w:fill="auto"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Foreign exchange translation adjustments</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351</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351</w:t>
            </w:r>
          </w:p>
        </w:tc>
        <w:tc>
          <w:tcPr>
            <w:tcW w:w="174" w:type="dxa"/>
            <w:tcBorders/>
            <w:shd w:fill="E5FFFF" w:val="clear"/>
            <w:vAlign w:val="center"/>
          </w:tcPr>
          <w:p>
            <w:pPr>
              <w:pStyle w:val="TableContents"/>
              <w:spacing w:before="0" w:after="283"/>
              <w:rPr/>
            </w:pPr>
            <w:r>
              <w:rPr/>
              <w:t> </w:t>
            </w:r>
          </w:p>
        </w:tc>
      </w:tr>
      <w:tr>
        <w:trPr/>
        <w:tc>
          <w:tcPr>
            <w:tcW w:w="995" w:type="dxa"/>
            <w:tcBorders/>
            <w:shd w:fill="auto" w:val="clear"/>
            <w:vAlign w:val="bottom"/>
          </w:tcPr>
          <w:p>
            <w:pPr>
              <w:pStyle w:val="TableContents"/>
              <w:spacing w:before="0" w:after="283"/>
              <w:jc w:val="left"/>
              <w:rPr>
                <w:rFonts w:ascii="Arial" w:hAnsi="Arial"/>
                <w:sz w:val="14"/>
              </w:rPr>
            </w:pPr>
            <w:r>
              <w:rPr>
                <w:rFonts w:ascii="Arial" w:hAnsi="Arial"/>
                <w:sz w:val="14"/>
              </w:rPr>
              <w:t>Minimum pension liability adjustment</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bottom"/>
          </w:tcPr>
          <w:p>
            <w:pPr>
              <w:pStyle w:val="TableContents"/>
              <w:spacing w:before="0" w:after="283"/>
              <w:jc w:val="right"/>
              <w:rPr>
                <w:rFonts w:ascii="Arial" w:hAnsi="Arial"/>
                <w:sz w:val="14"/>
              </w:rPr>
            </w:pPr>
            <w:r>
              <w:rPr>
                <w:rFonts w:ascii="Arial" w:hAnsi="Arial"/>
                <w:sz w:val="14"/>
              </w:rPr>
              <w:t>(15</w:t>
            </w:r>
          </w:p>
        </w:tc>
        <w:tc>
          <w:tcPr>
            <w:tcW w:w="211" w:type="dxa"/>
            <w:tcBorders/>
            <w:shd w:fill="auto"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TableContents"/>
              <w:spacing w:before="0" w:after="283"/>
              <w:jc w:val="right"/>
              <w:rPr>
                <w:rFonts w:ascii="Arial" w:hAnsi="Arial"/>
                <w:sz w:val="14"/>
              </w:rPr>
            </w:pPr>
            <w:r>
              <w:rPr>
                <w:rFonts w:ascii="Arial" w:hAnsi="Arial"/>
                <w:sz w:val="14"/>
              </w:rPr>
              <w:t>(15</w:t>
            </w:r>
          </w:p>
        </w:tc>
        <w:tc>
          <w:tcPr>
            <w:tcW w:w="174" w:type="dxa"/>
            <w:tcBorders/>
            <w:shd w:fill="auto"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Change in fair value of effective cash flow hedges</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(9</w:t>
            </w:r>
          </w:p>
        </w:tc>
        <w:tc>
          <w:tcPr>
            <w:tcW w:w="21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(9</w:t>
            </w:r>
          </w:p>
        </w:tc>
        <w:tc>
          <w:tcPr>
            <w:tcW w:w="174"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Other Comprehensive Income (Loss)</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1,573</w:t>
            </w:r>
          </w:p>
        </w:tc>
        <w:tc>
          <w:tcPr>
            <w:tcW w:w="174" w:type="dxa"/>
            <w:tcBorders/>
            <w:shd w:fill="E5FFFF" w:val="clear"/>
            <w:vAlign w:val="center"/>
          </w:tcPr>
          <w:p>
            <w:pPr>
              <w:pStyle w:val="TableContents"/>
              <w:spacing w:before="0" w:after="283"/>
              <w:rPr/>
            </w:pPr>
            <w:r>
              <w:rPr/>
              <w:t> </w:t>
            </w:r>
          </w:p>
        </w:tc>
      </w:tr>
      <w:tr>
        <w:trPr/>
        <w:tc>
          <w:tcPr>
            <w:tcW w:w="995" w:type="dxa"/>
            <w:tcBorders/>
            <w:shd w:fill="auto" w:val="clear"/>
            <w:vAlign w:val="bottom"/>
          </w:tcPr>
          <w:p>
            <w:pPr>
              <w:pStyle w:val="TableContents"/>
              <w:spacing w:before="0" w:after="283"/>
              <w:jc w:val="left"/>
              <w:rPr>
                <w:rFonts w:ascii="Arial" w:hAnsi="Arial"/>
                <w:sz w:val="14"/>
              </w:rPr>
            </w:pPr>
            <w:r>
              <w:rPr>
                <w:rFonts w:ascii="Arial" w:hAnsi="Arial"/>
                <w:sz w:val="14"/>
              </w:rPr>
              <w:t>Common stock issued for employee</w:t>
              <w:br/>
              <w:t>savings and option plans (including</w:t>
              <w:br/>
              <w:t>related tax benefits of $19)</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Arial" w:hAnsi="Arial"/>
                <w:sz w:val="14"/>
              </w:rPr>
            </w:pPr>
            <w:r>
              <w:rPr>
                <w:rFonts w:ascii="Arial" w:hAnsi="Arial"/>
                <w:sz w:val="14"/>
              </w:rPr>
              <w:t>79</w:t>
            </w:r>
          </w:p>
        </w:tc>
        <w:tc>
          <w:tcPr>
            <w:tcW w:w="13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bottom"/>
          </w:tcPr>
          <w:p>
            <w:pPr>
              <w:pStyle w:val="TableContents"/>
              <w:spacing w:before="0" w:after="283"/>
              <w:jc w:val="right"/>
              <w:rPr>
                <w:rFonts w:ascii="Arial" w:hAnsi="Arial"/>
                <w:sz w:val="14"/>
              </w:rPr>
            </w:pPr>
            <w:r>
              <w:rPr>
                <w:rFonts w:ascii="Arial" w:hAnsi="Arial"/>
                <w:sz w:val="14"/>
              </w:rPr>
              <w:t>7.5</w:t>
            </w:r>
          </w:p>
        </w:tc>
        <w:tc>
          <w:tcPr>
            <w:tcW w:w="10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Arial" w:hAnsi="Arial"/>
                <w:sz w:val="14"/>
              </w:rPr>
            </w:pPr>
            <w:r>
              <w:rPr>
                <w:rFonts w:ascii="Arial" w:hAnsi="Arial"/>
                <w:sz w:val="14"/>
              </w:rPr>
              <w:t>162</w:t>
            </w:r>
          </w:p>
        </w:tc>
        <w:tc>
          <w:tcPr>
            <w:tcW w:w="10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TableContents"/>
              <w:spacing w:before="0" w:after="283"/>
              <w:jc w:val="right"/>
              <w:rPr>
                <w:rFonts w:ascii="Arial" w:hAnsi="Arial"/>
                <w:sz w:val="14"/>
              </w:rPr>
            </w:pPr>
            <w:r>
              <w:rPr>
                <w:rFonts w:ascii="Arial" w:hAnsi="Arial"/>
                <w:sz w:val="14"/>
              </w:rPr>
              <w:t>241</w:t>
            </w:r>
          </w:p>
        </w:tc>
        <w:tc>
          <w:tcPr>
            <w:tcW w:w="174" w:type="dxa"/>
            <w:tcBorders/>
            <w:shd w:fill="auto"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Repurchases of common stock</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TableContents"/>
              <w:spacing w:before="0" w:after="283"/>
              <w:jc w:val="right"/>
              <w:rPr>
                <w:rFonts w:ascii="Arial" w:hAnsi="Arial"/>
                <w:sz w:val="14"/>
              </w:rPr>
            </w:pPr>
            <w:r>
              <w:rPr>
                <w:rFonts w:ascii="Arial" w:hAnsi="Arial"/>
                <w:sz w:val="14"/>
              </w:rPr>
              <w:t>(20.1</w:t>
            </w:r>
          </w:p>
        </w:tc>
        <w:tc>
          <w:tcPr>
            <w:tcW w:w="10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TableContents"/>
              <w:spacing w:before="0" w:after="283"/>
              <w:jc w:val="right"/>
              <w:rPr>
                <w:rFonts w:ascii="Arial" w:hAnsi="Arial"/>
                <w:sz w:val="14"/>
              </w:rPr>
            </w:pPr>
            <w:r>
              <w:rPr>
                <w:rFonts w:ascii="Arial" w:hAnsi="Arial"/>
                <w:sz w:val="14"/>
              </w:rPr>
              <w:t>(699</w:t>
            </w:r>
          </w:p>
        </w:tc>
        <w:tc>
          <w:tcPr>
            <w:tcW w:w="10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(699</w:t>
            </w:r>
          </w:p>
        </w:tc>
        <w:tc>
          <w:tcPr>
            <w:tcW w:w="174"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auto" w:val="clear"/>
            <w:vAlign w:val="bottom"/>
          </w:tcPr>
          <w:p>
            <w:pPr>
              <w:pStyle w:val="TableContents"/>
              <w:spacing w:before="0" w:after="283"/>
              <w:jc w:val="left"/>
              <w:rPr>
                <w:rFonts w:ascii="Arial" w:hAnsi="Arial"/>
                <w:sz w:val="14"/>
              </w:rPr>
            </w:pPr>
            <w:r>
              <w:rPr>
                <w:rFonts w:ascii="Arial" w:hAnsi="Arial"/>
                <w:sz w:val="14"/>
              </w:rPr>
              <w:t>Cash dividends on common stock</w:t>
              <w:br/>
              <w:t>($0.75 per share)</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Arial" w:hAnsi="Arial"/>
                <w:sz w:val="14"/>
              </w:rPr>
            </w:pPr>
            <w:r>
              <w:rPr>
                <w:rFonts w:ascii="Arial" w:hAnsi="Arial"/>
                <w:sz w:val="14"/>
              </w:rPr>
              <w:t>(643</w:t>
            </w:r>
          </w:p>
        </w:tc>
        <w:tc>
          <w:tcPr>
            <w:tcW w:w="115" w:type="dxa"/>
            <w:tcBorders/>
            <w:shd w:fill="auto"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TableContents"/>
              <w:spacing w:before="0" w:after="283"/>
              <w:jc w:val="right"/>
              <w:rPr>
                <w:rFonts w:ascii="Arial" w:hAnsi="Arial"/>
                <w:sz w:val="14"/>
              </w:rPr>
            </w:pPr>
            <w:r>
              <w:rPr>
                <w:rFonts w:ascii="Arial" w:hAnsi="Arial"/>
                <w:sz w:val="14"/>
              </w:rPr>
              <w:t>(643</w:t>
            </w:r>
          </w:p>
        </w:tc>
        <w:tc>
          <w:tcPr>
            <w:tcW w:w="174" w:type="dxa"/>
            <w:tcBorders/>
            <w:shd w:fill="auto"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Other owner changes</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TableContents"/>
              <w:spacing w:before="0" w:after="283"/>
              <w:jc w:val="right"/>
              <w:rPr>
                <w:rFonts w:ascii="Arial" w:hAnsi="Arial"/>
                <w:sz w:val="14"/>
              </w:rPr>
            </w:pPr>
            <w:r>
              <w:rPr>
                <w:rFonts w:ascii="Arial" w:hAnsi="Arial"/>
                <w:sz w:val="14"/>
              </w:rPr>
              <w:t>9</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TableContents"/>
              <w:spacing w:before="0" w:after="283"/>
              <w:jc w:val="right"/>
              <w:rPr>
                <w:rFonts w:ascii="Arial" w:hAnsi="Arial"/>
                <w:sz w:val="14"/>
              </w:rPr>
            </w:pPr>
            <w:r>
              <w:rPr>
                <w:rFonts w:ascii="Arial" w:hAnsi="Arial"/>
                <w:sz w:val="14"/>
              </w:rPr>
              <w:t>.3</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TableContents"/>
              <w:spacing w:before="0" w:after="283"/>
              <w:jc w:val="right"/>
              <w:rPr>
                <w:rFonts w:ascii="Arial" w:hAnsi="Arial"/>
                <w:sz w:val="14"/>
              </w:rPr>
            </w:pPr>
            <w:r>
              <w:rPr>
                <w:rFonts w:ascii="Arial" w:hAnsi="Arial"/>
                <w:sz w:val="14"/>
              </w:rPr>
              <w:t>7</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16</w:t>
            </w:r>
          </w:p>
        </w:tc>
        <w:tc>
          <w:tcPr>
            <w:tcW w:w="174" w:type="dxa"/>
            <w:tcBorders/>
            <w:shd w:fill="E5FF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bottom"/>
          </w:tcPr>
          <w:p>
            <w:pPr>
              <w:pStyle w:val="HorizontalLine"/>
              <w:pBdr>
                <w:bottom w:val="single" w:sz="6" w:space="0" w:color="000000"/>
              </w:pBdr>
              <w:spacing w:before="0" w:after="283"/>
              <w:rPr/>
            </w:pPr>
            <w:r>
              <w:rPr/>
            </w:r>
          </w:p>
        </w:tc>
        <w:tc>
          <w:tcPr>
            <w:tcW w:w="14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bottom"/>
          </w:tcPr>
          <w:p>
            <w:pPr>
              <w:pStyle w:val="HorizontalLine"/>
              <w:pBdr>
                <w:bottom w:val="single" w:sz="6" w:space="0" w:color="000000"/>
              </w:pBdr>
              <w:spacing w:before="0" w:after="283"/>
              <w:rPr/>
            </w:pPr>
            <w:r>
              <w:rPr/>
            </w:r>
          </w:p>
        </w:tc>
        <w:tc>
          <w:tcPr>
            <w:tcW w:w="10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bottom"/>
          </w:tcPr>
          <w:p>
            <w:pPr>
              <w:pStyle w:val="HorizontalLine"/>
              <w:pBdr>
                <w:bottom w:val="single" w:sz="6" w:space="0" w:color="000000"/>
              </w:pBdr>
              <w:spacing w:before="0" w:after="283"/>
              <w:rPr/>
            </w:pPr>
            <w:r>
              <w:rPr/>
            </w:r>
          </w:p>
        </w:tc>
        <w:tc>
          <w:tcPr>
            <w:tcW w:w="10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bottom"/>
          </w:tcPr>
          <w:p>
            <w:pPr>
              <w:pStyle w:val="HorizontalLine"/>
              <w:pBdr>
                <w:bottom w:val="single" w:sz="6" w:space="0" w:color="000000"/>
              </w:pBdr>
              <w:spacing w:before="0" w:after="283"/>
              <w:rPr/>
            </w:pPr>
            <w:r>
              <w:rPr/>
            </w:r>
          </w:p>
        </w:tc>
        <w:tc>
          <w:tcPr>
            <w:tcW w:w="21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b/>
                <w:sz w:val="14"/>
              </w:rPr>
            </w:pPr>
            <w:r>
              <w:rPr>
                <w:rFonts w:ascii="Arial" w:hAnsi="Arial"/>
                <w:b/>
                <w:sz w:val="14"/>
              </w:rPr>
              <w:t>Balance at December 31, 2004</w:t>
            </w:r>
          </w:p>
        </w:tc>
        <w:tc>
          <w:tcPr>
            <w:tcW w:w="240" w:type="dxa"/>
            <w:tcBorders/>
            <w:shd w:fill="E5FFFF" w:val="clear"/>
            <w:vAlign w:val="bottom"/>
          </w:tcPr>
          <w:p>
            <w:pPr>
              <w:pStyle w:val="TableContents"/>
              <w:spacing w:before="0" w:after="283"/>
              <w:jc w:val="right"/>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bottom"/>
          </w:tcPr>
          <w:p>
            <w:pPr>
              <w:pStyle w:val="TableContents"/>
              <w:spacing w:before="0" w:after="283"/>
              <w:jc w:val="right"/>
              <w:rPr>
                <w:rFonts w:ascii="Arial" w:hAnsi="Arial"/>
                <w:sz w:val="14"/>
              </w:rPr>
            </w:pPr>
            <w:r>
              <w:rPr>
                <w:rFonts w:ascii="Arial" w:hAnsi="Arial"/>
                <w:sz w:val="14"/>
              </w:rPr>
              <w:t>957.6</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bottom"/>
          </w:tcPr>
          <w:p>
            <w:pPr>
              <w:pStyle w:val="TableContents"/>
              <w:spacing w:before="0" w:after="283"/>
              <w:jc w:val="right"/>
              <w:rPr>
                <w:rFonts w:ascii="Arial" w:hAnsi="Arial"/>
                <w:sz w:val="14"/>
              </w:rPr>
            </w:pPr>
            <w:r>
              <w:rPr>
                <w:rFonts w:ascii="Arial" w:hAnsi="Arial"/>
                <w:sz w:val="14"/>
              </w:rPr>
              <w:t>958</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TableContents"/>
              <w:spacing w:before="0" w:after="283"/>
              <w:jc w:val="right"/>
              <w:rPr>
                <w:rFonts w:ascii="Arial" w:hAnsi="Arial"/>
                <w:sz w:val="14"/>
              </w:rPr>
            </w:pPr>
            <w:r>
              <w:rPr>
                <w:rFonts w:ascii="Arial" w:hAnsi="Arial"/>
                <w:sz w:val="14"/>
              </w:rPr>
              <w:t>3,574</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TableContents"/>
              <w:spacing w:before="0" w:after="283"/>
              <w:jc w:val="right"/>
              <w:rPr>
                <w:rFonts w:ascii="Arial" w:hAnsi="Arial"/>
                <w:sz w:val="14"/>
              </w:rPr>
            </w:pPr>
            <w:r>
              <w:rPr>
                <w:rFonts w:ascii="Arial" w:hAnsi="Arial"/>
                <w:sz w:val="14"/>
              </w:rPr>
              <w:t>(107.6</w:t>
            </w:r>
          </w:p>
        </w:tc>
        <w:tc>
          <w:tcPr>
            <w:tcW w:w="10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TableContents"/>
              <w:spacing w:before="0" w:after="283"/>
              <w:jc w:val="right"/>
              <w:rPr>
                <w:rFonts w:ascii="Arial" w:hAnsi="Arial"/>
                <w:sz w:val="14"/>
              </w:rPr>
            </w:pPr>
            <w:r>
              <w:rPr>
                <w:rFonts w:ascii="Arial" w:hAnsi="Arial"/>
                <w:sz w:val="14"/>
              </w:rPr>
              <w:t>(4,185</w:t>
            </w:r>
          </w:p>
        </w:tc>
        <w:tc>
          <w:tcPr>
            <w:tcW w:w="10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138</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TableContents"/>
              <w:spacing w:before="0" w:after="283"/>
              <w:jc w:val="right"/>
              <w:rPr>
                <w:rFonts w:ascii="Arial" w:hAnsi="Arial"/>
                <w:sz w:val="14"/>
              </w:rPr>
            </w:pPr>
            <w:r>
              <w:rPr>
                <w:rFonts w:ascii="Arial" w:hAnsi="Arial"/>
                <w:sz w:val="14"/>
              </w:rPr>
              <w:t>10,292</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10,777</w:t>
            </w:r>
          </w:p>
        </w:tc>
        <w:tc>
          <w:tcPr>
            <w:tcW w:w="174" w:type="dxa"/>
            <w:tcBorders/>
            <w:shd w:fill="E5FF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bottom"/>
          </w:tcPr>
          <w:p>
            <w:pPr>
              <w:pStyle w:val="HorizontalLine"/>
              <w:pBdr>
                <w:bottom w:val="single" w:sz="6" w:space="0" w:color="000000"/>
              </w:pBdr>
              <w:spacing w:before="0" w:after="283"/>
              <w:rPr/>
            </w:pPr>
            <w:r>
              <w:rPr/>
            </w:r>
          </w:p>
        </w:tc>
        <w:tc>
          <w:tcPr>
            <w:tcW w:w="14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bottom"/>
          </w:tcPr>
          <w:p>
            <w:pPr>
              <w:pStyle w:val="HorizontalLine"/>
              <w:pBdr>
                <w:bottom w:val="single" w:sz="6" w:space="0" w:color="000000"/>
              </w:pBdr>
              <w:spacing w:before="0" w:after="283"/>
              <w:rPr/>
            </w:pPr>
            <w:r>
              <w:rPr/>
            </w:r>
          </w:p>
        </w:tc>
        <w:tc>
          <w:tcPr>
            <w:tcW w:w="13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bottom"/>
          </w:tcPr>
          <w:p>
            <w:pPr>
              <w:pStyle w:val="HorizontalLine"/>
              <w:pBdr>
                <w:bottom w:val="single" w:sz="6" w:space="0" w:color="000000"/>
              </w:pBdr>
              <w:spacing w:before="0" w:after="283"/>
              <w:rPr/>
            </w:pPr>
            <w:r>
              <w:rPr/>
            </w:r>
          </w:p>
        </w:tc>
        <w:tc>
          <w:tcPr>
            <w:tcW w:w="10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bottom"/>
          </w:tcPr>
          <w:p>
            <w:pPr>
              <w:pStyle w:val="HorizontalLine"/>
              <w:pBdr>
                <w:bottom w:val="single" w:sz="6" w:space="0" w:color="000000"/>
              </w:pBdr>
              <w:spacing w:before="0" w:after="283"/>
              <w:rPr/>
            </w:pPr>
            <w:r>
              <w:rPr/>
            </w:r>
          </w:p>
        </w:tc>
        <w:tc>
          <w:tcPr>
            <w:tcW w:w="10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bottom"/>
          </w:tcPr>
          <w:p>
            <w:pPr>
              <w:pStyle w:val="HorizontalLine"/>
              <w:pBdr>
                <w:bottom w:val="single" w:sz="6" w:space="0" w:color="000000"/>
              </w:pBdr>
              <w:spacing w:before="0" w:after="283"/>
              <w:rPr/>
            </w:pPr>
            <w:r>
              <w:rPr/>
            </w:r>
          </w:p>
        </w:tc>
        <w:tc>
          <w:tcPr>
            <w:tcW w:w="21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Net income</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TableContents"/>
              <w:spacing w:before="0" w:after="283"/>
              <w:jc w:val="right"/>
              <w:rPr>
                <w:rFonts w:ascii="Arial" w:hAnsi="Arial"/>
                <w:sz w:val="14"/>
              </w:rPr>
            </w:pPr>
            <w:r>
              <w:rPr>
                <w:rFonts w:ascii="Arial" w:hAnsi="Arial"/>
                <w:sz w:val="14"/>
              </w:rPr>
              <w:t>1,638</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1,638</w:t>
            </w:r>
          </w:p>
        </w:tc>
        <w:tc>
          <w:tcPr>
            <w:tcW w:w="174" w:type="dxa"/>
            <w:tcBorders/>
            <w:shd w:fill="E5FFFF" w:val="clear"/>
            <w:vAlign w:val="center"/>
          </w:tcPr>
          <w:p>
            <w:pPr>
              <w:pStyle w:val="TableContents"/>
              <w:spacing w:before="0" w:after="283"/>
              <w:rPr/>
            </w:pPr>
            <w:r>
              <w:rPr/>
              <w:t> </w:t>
            </w:r>
          </w:p>
        </w:tc>
      </w:tr>
      <w:tr>
        <w:trPr/>
        <w:tc>
          <w:tcPr>
            <w:tcW w:w="995" w:type="dxa"/>
            <w:tcBorders/>
            <w:shd w:fill="auto" w:val="clear"/>
            <w:vAlign w:val="bottom"/>
          </w:tcPr>
          <w:p>
            <w:pPr>
              <w:pStyle w:val="TableContents"/>
              <w:spacing w:before="0" w:after="283"/>
              <w:jc w:val="left"/>
              <w:rPr>
                <w:rFonts w:ascii="Arial" w:hAnsi="Arial"/>
                <w:sz w:val="14"/>
              </w:rPr>
            </w:pPr>
            <w:r>
              <w:rPr>
                <w:rFonts w:ascii="Arial" w:hAnsi="Arial"/>
                <w:sz w:val="14"/>
              </w:rPr>
              <w:t>Foreign exchange translation adjustments</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bottom"/>
          </w:tcPr>
          <w:p>
            <w:pPr>
              <w:pStyle w:val="TableContents"/>
              <w:spacing w:before="0" w:after="283"/>
              <w:jc w:val="right"/>
              <w:rPr>
                <w:rFonts w:ascii="Arial" w:hAnsi="Arial"/>
                <w:sz w:val="14"/>
              </w:rPr>
            </w:pPr>
            <w:r>
              <w:rPr>
                <w:rFonts w:ascii="Arial" w:hAnsi="Arial"/>
                <w:sz w:val="14"/>
              </w:rPr>
              <w:t>(147</w:t>
            </w:r>
          </w:p>
        </w:tc>
        <w:tc>
          <w:tcPr>
            <w:tcW w:w="211" w:type="dxa"/>
            <w:tcBorders/>
            <w:shd w:fill="auto"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TableContents"/>
              <w:spacing w:before="0" w:after="283"/>
              <w:jc w:val="right"/>
              <w:rPr>
                <w:rFonts w:ascii="Arial" w:hAnsi="Arial"/>
                <w:sz w:val="14"/>
              </w:rPr>
            </w:pPr>
            <w:r>
              <w:rPr>
                <w:rFonts w:ascii="Arial" w:hAnsi="Arial"/>
                <w:sz w:val="14"/>
              </w:rPr>
              <w:t>(147</w:t>
            </w:r>
          </w:p>
        </w:tc>
        <w:tc>
          <w:tcPr>
            <w:tcW w:w="174" w:type="dxa"/>
            <w:tcBorders/>
            <w:shd w:fill="auto"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Minimum pension liability adjustment</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(16</w:t>
            </w:r>
          </w:p>
        </w:tc>
        <w:tc>
          <w:tcPr>
            <w:tcW w:w="21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(16</w:t>
            </w:r>
          </w:p>
        </w:tc>
        <w:tc>
          <w:tcPr>
            <w:tcW w:w="174"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63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72"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1319" w:type="dxa"/>
            <w:tcBorders/>
            <w:shd w:fill="auto" w:val="clear"/>
            <w:vAlign w:val="center"/>
          </w:tcPr>
          <w:p>
            <w:pPr>
              <w:pStyle w:val="TableContents"/>
              <w:spacing w:before="0" w:after="283"/>
              <w:rPr/>
            </w:pPr>
            <w:r>
              <w:rPr/>
              <w:t> </w:t>
            </w:r>
          </w:p>
        </w:tc>
        <w:tc>
          <w:tcPr>
            <w:tcW w:w="211"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77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jc w:val="right"/>
              <w:rPr/>
            </w:pPr>
            <w:r>
              <w:rPr/>
              <w:t>    </w:t>
            </w:r>
          </w:p>
        </w:tc>
        <w:tc>
          <w:tcPr>
            <w:tcW w:w="252" w:type="dxa"/>
            <w:tcBorders/>
            <w:shd w:fill="auto" w:val="clear"/>
            <w:vAlign w:val="center"/>
          </w:tcPr>
          <w:p>
            <w:pPr>
              <w:pStyle w:val="TableContents"/>
              <w:spacing w:before="0" w:after="283"/>
              <w:rPr/>
            </w:pPr>
            <w:r>
              <w:rPr/>
              <w:t> </w:t>
            </w:r>
          </w:p>
        </w:tc>
        <w:tc>
          <w:tcPr>
            <w:tcW w:w="1169" w:type="dxa"/>
            <w:tcBorders/>
            <w:shd w:fill="auto" w:val="clear"/>
            <w:vAlign w:val="bottom"/>
          </w:tcPr>
          <w:p>
            <w:pPr>
              <w:pStyle w:val="HorizontalLine"/>
              <w:pBdr>
                <w:bottom w:val="single" w:sz="6" w:space="0" w:color="000000"/>
              </w:pBdr>
              <w:spacing w:before="0" w:after="283"/>
              <w:rPr/>
            </w:pPr>
            <w:r>
              <w:rPr/>
            </w:r>
          </w:p>
        </w:tc>
        <w:tc>
          <w:tcPr>
            <w:tcW w:w="174" w:type="dxa"/>
            <w:tcBorders/>
            <w:shd w:fill="auto"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Other Comprehensive Income (Loss)</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1,475</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Common stock issued for employee</w:t>
              <w:br/>
              <w:t>savings and option plans (including</w:t>
              <w:br/>
              <w:t>related tax benefits of $17)</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TableContents"/>
              <w:spacing w:before="0" w:after="283"/>
              <w:jc w:val="right"/>
              <w:rPr>
                <w:rFonts w:ascii="Arial" w:hAnsi="Arial"/>
                <w:sz w:val="14"/>
              </w:rPr>
            </w:pPr>
            <w:r>
              <w:rPr>
                <w:rFonts w:ascii="Arial" w:hAnsi="Arial"/>
                <w:sz w:val="14"/>
              </w:rPr>
              <w:t>50</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TableContents"/>
              <w:spacing w:before="0" w:after="283"/>
              <w:jc w:val="right"/>
              <w:rPr>
                <w:rFonts w:ascii="Arial" w:hAnsi="Arial"/>
                <w:sz w:val="14"/>
              </w:rPr>
            </w:pPr>
            <w:r>
              <w:rPr>
                <w:rFonts w:ascii="Arial" w:hAnsi="Arial"/>
                <w:sz w:val="14"/>
              </w:rPr>
              <w:t>9.7</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TableContents"/>
              <w:spacing w:before="0" w:after="283"/>
              <w:jc w:val="right"/>
              <w:rPr>
                <w:rFonts w:ascii="Arial" w:hAnsi="Arial"/>
                <w:sz w:val="14"/>
              </w:rPr>
            </w:pPr>
            <w:r>
              <w:rPr>
                <w:rFonts w:ascii="Arial" w:hAnsi="Arial"/>
                <w:sz w:val="14"/>
              </w:rPr>
              <w:t>283</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333</w:t>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Repurchases of common stock</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bottom"/>
          </w:tcPr>
          <w:p>
            <w:pPr>
              <w:pStyle w:val="TableContents"/>
              <w:spacing w:before="0" w:after="283"/>
              <w:jc w:val="right"/>
              <w:rPr>
                <w:rFonts w:ascii="Arial" w:hAnsi="Arial"/>
                <w:sz w:val="14"/>
              </w:rPr>
            </w:pPr>
            <w:r>
              <w:rPr>
                <w:rFonts w:ascii="Arial" w:hAnsi="Arial"/>
                <w:sz w:val="14"/>
              </w:rPr>
              <w:t>(30.6</w:t>
            </w:r>
          </w:p>
        </w:tc>
        <w:tc>
          <w:tcPr>
            <w:tcW w:w="10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bottom"/>
          </w:tcPr>
          <w:p>
            <w:pPr>
              <w:pStyle w:val="TableContents"/>
              <w:spacing w:before="0" w:after="283"/>
              <w:jc w:val="right"/>
              <w:rPr>
                <w:rFonts w:ascii="Arial" w:hAnsi="Arial"/>
                <w:sz w:val="14"/>
              </w:rPr>
            </w:pPr>
            <w:r>
              <w:rPr>
                <w:rFonts w:ascii="Arial" w:hAnsi="Arial"/>
                <w:sz w:val="14"/>
              </w:rPr>
              <w:t>(1,133</w:t>
            </w:r>
          </w:p>
        </w:tc>
        <w:tc>
          <w:tcPr>
            <w:tcW w:w="108"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(1,133</w:t>
            </w:r>
          </w:p>
        </w:tc>
        <w:tc>
          <w:tcPr>
            <w:tcW w:w="174" w:type="dxa"/>
            <w:tcBorders/>
            <w:shd w:fill="FF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Cash dividends on common stock</w:t>
              <w:br/>
              <w:t>($0.825 per share)</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TableContents"/>
              <w:spacing w:before="0" w:after="283"/>
              <w:jc w:val="right"/>
              <w:rPr>
                <w:rFonts w:ascii="Arial" w:hAnsi="Arial"/>
                <w:sz w:val="14"/>
              </w:rPr>
            </w:pPr>
            <w:r>
              <w:rPr>
                <w:rFonts w:ascii="Arial" w:hAnsi="Arial"/>
                <w:sz w:val="14"/>
              </w:rPr>
              <w:t>(700</w:t>
            </w:r>
          </w:p>
        </w:tc>
        <w:tc>
          <w:tcPr>
            <w:tcW w:w="115"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(700</w:t>
            </w:r>
          </w:p>
        </w:tc>
        <w:tc>
          <w:tcPr>
            <w:tcW w:w="174"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Other owner changes</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Arial" w:hAnsi="Arial"/>
                <w:sz w:val="14"/>
              </w:rPr>
            </w:pPr>
            <w:r>
              <w:rPr>
                <w:rFonts w:ascii="Arial" w:hAnsi="Arial"/>
                <w:sz w:val="14"/>
              </w:rPr>
              <w:t>2</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bottom"/>
          </w:tcPr>
          <w:p>
            <w:pPr>
              <w:pStyle w:val="TableContents"/>
              <w:spacing w:before="0" w:after="283"/>
              <w:jc w:val="right"/>
              <w:rPr>
                <w:rFonts w:ascii="Arial" w:hAnsi="Arial"/>
                <w:sz w:val="14"/>
              </w:rPr>
            </w:pPr>
            <w:r>
              <w:rPr>
                <w:rFonts w:ascii="Arial" w:hAnsi="Arial"/>
                <w:sz w:val="14"/>
              </w:rPr>
              <w:t>.4</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bottom"/>
          </w:tcPr>
          <w:p>
            <w:pPr>
              <w:pStyle w:val="TableContents"/>
              <w:spacing w:before="0" w:after="283"/>
              <w:jc w:val="right"/>
              <w:rPr>
                <w:rFonts w:ascii="Arial" w:hAnsi="Arial"/>
                <w:sz w:val="14"/>
              </w:rPr>
            </w:pPr>
            <w:r>
              <w:rPr>
                <w:rFonts w:ascii="Arial" w:hAnsi="Arial"/>
                <w:sz w:val="14"/>
              </w:rPr>
              <w:t>8</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10</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bottom"/>
          </w:tcPr>
          <w:p>
            <w:pPr>
              <w:pStyle w:val="HorizontalLine"/>
              <w:pBdr>
                <w:bottom w:val="single" w:sz="6" w:space="0" w:color="000000"/>
              </w:pBdr>
              <w:spacing w:before="0" w:after="283"/>
              <w:rPr/>
            </w:pPr>
            <w:r>
              <w:rPr/>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HorizontalLine"/>
              <w:pBdr>
                <w:bottom w:val="single" w:sz="6" w:space="0" w:color="000000"/>
              </w:pBdr>
              <w:spacing w:before="0" w:after="283"/>
              <w:rPr/>
            </w:pPr>
            <w:r>
              <w:rPr/>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HorizontalLine"/>
              <w:pBdr>
                <w:bottom w:val="single" w:sz="6" w:space="0" w:color="000000"/>
              </w:pBdr>
              <w:spacing w:before="0" w:after="283"/>
              <w:rPr/>
            </w:pPr>
            <w:r>
              <w:rPr/>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HorizontalLine"/>
              <w:pBdr>
                <w:bottom w:val="single" w:sz="6"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HorizontalLine"/>
              <w:pBdr>
                <w:bottom w:val="single" w:sz="6" w:space="0" w:color="000000"/>
              </w:pBdr>
              <w:spacing w:before="0" w:after="283"/>
              <w:rPr/>
            </w:pPr>
            <w:r>
              <w:rPr/>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HorizontalLine"/>
              <w:pBdr>
                <w:bottom w:val="single" w:sz="6" w:space="0" w:color="000000"/>
              </w:pBdr>
              <w:spacing w:before="0" w:after="283"/>
              <w:rPr/>
            </w:pPr>
            <w:r>
              <w:rPr/>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HorizontalLine"/>
              <w:pBdr>
                <w:bottom w:val="single" w:sz="6" w:space="0" w:color="000000"/>
              </w:pBdr>
              <w:spacing w:before="0" w:after="283"/>
              <w:rPr/>
            </w:pPr>
            <w:r>
              <w:rPr/>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b/>
                <w:sz w:val="14"/>
              </w:rPr>
            </w:pPr>
            <w:r>
              <w:rPr>
                <w:rFonts w:ascii="Arial" w:hAnsi="Arial"/>
                <w:b/>
                <w:sz w:val="14"/>
              </w:rPr>
              <w:t>Balance at December 31, 2005</w:t>
            </w:r>
          </w:p>
        </w:tc>
        <w:tc>
          <w:tcPr>
            <w:tcW w:w="240" w:type="dxa"/>
            <w:tcBorders/>
            <w:shd w:fill="FFFFFF" w:val="clear"/>
            <w:vAlign w:val="bottom"/>
          </w:tcPr>
          <w:p>
            <w:pPr>
              <w:pStyle w:val="TableContents"/>
              <w:spacing w:before="0" w:after="283"/>
              <w:jc w:val="right"/>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bottom"/>
          </w:tcPr>
          <w:p>
            <w:pPr>
              <w:pStyle w:val="TableContents"/>
              <w:spacing w:before="0" w:after="283"/>
              <w:jc w:val="right"/>
              <w:rPr>
                <w:rFonts w:ascii="Arial" w:hAnsi="Arial"/>
                <w:sz w:val="14"/>
              </w:rPr>
            </w:pPr>
            <w:r>
              <w:rPr>
                <w:rFonts w:ascii="Arial" w:hAnsi="Arial"/>
                <w:sz w:val="14"/>
              </w:rPr>
              <w:t>957.6</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bottom"/>
          </w:tcPr>
          <w:p>
            <w:pPr>
              <w:pStyle w:val="TableContents"/>
              <w:spacing w:before="0" w:after="283"/>
              <w:jc w:val="right"/>
              <w:rPr>
                <w:rFonts w:ascii="Arial" w:hAnsi="Arial"/>
                <w:sz w:val="14"/>
              </w:rPr>
            </w:pPr>
            <w:r>
              <w:rPr>
                <w:rFonts w:ascii="Arial" w:hAnsi="Arial"/>
                <w:sz w:val="14"/>
              </w:rPr>
              <w:t>958</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Arial" w:hAnsi="Arial"/>
                <w:sz w:val="14"/>
              </w:rPr>
            </w:pPr>
            <w:r>
              <w:rPr>
                <w:rFonts w:ascii="Arial" w:hAnsi="Arial"/>
                <w:sz w:val="14"/>
              </w:rPr>
              <w:t>3,626</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bottom"/>
          </w:tcPr>
          <w:p>
            <w:pPr>
              <w:pStyle w:val="TableContents"/>
              <w:spacing w:before="0" w:after="283"/>
              <w:jc w:val="right"/>
              <w:rPr>
                <w:rFonts w:ascii="Arial" w:hAnsi="Arial"/>
                <w:sz w:val="14"/>
              </w:rPr>
            </w:pPr>
            <w:r>
              <w:rPr>
                <w:rFonts w:ascii="Arial" w:hAnsi="Arial"/>
                <w:sz w:val="14"/>
              </w:rPr>
              <w:t>(128.1</w:t>
            </w:r>
          </w:p>
        </w:tc>
        <w:tc>
          <w:tcPr>
            <w:tcW w:w="10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bottom"/>
          </w:tcPr>
          <w:p>
            <w:pPr>
              <w:pStyle w:val="TableContents"/>
              <w:spacing w:before="0" w:after="283"/>
              <w:jc w:val="right"/>
              <w:rPr>
                <w:rFonts w:ascii="Arial" w:hAnsi="Arial"/>
                <w:sz w:val="14"/>
              </w:rPr>
            </w:pPr>
            <w:r>
              <w:rPr>
                <w:rFonts w:ascii="Arial" w:hAnsi="Arial"/>
                <w:sz w:val="14"/>
              </w:rPr>
              <w:t>(5,027</w:t>
            </w:r>
          </w:p>
        </w:tc>
        <w:tc>
          <w:tcPr>
            <w:tcW w:w="108"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bottom"/>
          </w:tcPr>
          <w:p>
            <w:pPr>
              <w:pStyle w:val="TableContents"/>
              <w:spacing w:before="0" w:after="283"/>
              <w:jc w:val="right"/>
              <w:rPr>
                <w:rFonts w:ascii="Arial" w:hAnsi="Arial"/>
                <w:sz w:val="14"/>
              </w:rPr>
            </w:pPr>
            <w:r>
              <w:rPr>
                <w:rFonts w:ascii="Arial" w:hAnsi="Arial"/>
                <w:sz w:val="14"/>
              </w:rPr>
              <w:t>(25</w:t>
            </w:r>
          </w:p>
        </w:tc>
        <w:tc>
          <w:tcPr>
            <w:tcW w:w="21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bottom"/>
          </w:tcPr>
          <w:p>
            <w:pPr>
              <w:pStyle w:val="TableContents"/>
              <w:spacing w:before="0" w:after="283"/>
              <w:jc w:val="right"/>
              <w:rPr>
                <w:rFonts w:ascii="Arial" w:hAnsi="Arial"/>
                <w:sz w:val="14"/>
              </w:rPr>
            </w:pPr>
            <w:r>
              <w:rPr>
                <w:rFonts w:ascii="Arial" w:hAnsi="Arial"/>
                <w:sz w:val="14"/>
              </w:rPr>
              <w:t>11,230</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10,762</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bottom"/>
          </w:tcPr>
          <w:p>
            <w:pPr>
              <w:pStyle w:val="HorizontalLine"/>
              <w:pBdr>
                <w:bottom w:val="single" w:sz="6" w:space="0" w:color="000000"/>
              </w:pBdr>
              <w:spacing w:before="0" w:after="283"/>
              <w:rPr/>
            </w:pPr>
            <w:r>
              <w:rPr/>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HorizontalLine"/>
              <w:pBdr>
                <w:bottom w:val="single" w:sz="6" w:space="0" w:color="000000"/>
              </w:pBdr>
              <w:spacing w:before="0" w:after="283"/>
              <w:rPr/>
            </w:pPr>
            <w:r>
              <w:rPr/>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HorizontalLine"/>
              <w:pBdr>
                <w:bottom w:val="single" w:sz="6" w:space="0" w:color="000000"/>
              </w:pBdr>
              <w:spacing w:before="0" w:after="283"/>
              <w:rPr/>
            </w:pPr>
            <w:r>
              <w:rPr/>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HorizontalLine"/>
              <w:pBdr>
                <w:bottom w:val="single" w:sz="6"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HorizontalLine"/>
              <w:pBdr>
                <w:bottom w:val="single" w:sz="6" w:space="0" w:color="000000"/>
              </w:pBdr>
              <w:spacing w:before="0" w:after="283"/>
              <w:rPr/>
            </w:pPr>
            <w:r>
              <w:rPr/>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HorizontalLine"/>
              <w:pBdr>
                <w:bottom w:val="single" w:sz="6" w:space="0" w:color="000000"/>
              </w:pBdr>
              <w:spacing w:before="0" w:after="283"/>
              <w:rPr/>
            </w:pPr>
            <w:r>
              <w:rPr/>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HorizontalLine"/>
              <w:pBdr>
                <w:bottom w:val="single" w:sz="6" w:space="0" w:color="000000"/>
              </w:pBdr>
              <w:spacing w:before="0" w:after="283"/>
              <w:rPr/>
            </w:pPr>
            <w:r>
              <w:rPr/>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Net income</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bottom"/>
          </w:tcPr>
          <w:p>
            <w:pPr>
              <w:pStyle w:val="TableContents"/>
              <w:spacing w:before="0" w:after="283"/>
              <w:jc w:val="right"/>
              <w:rPr>
                <w:rFonts w:ascii="Arial" w:hAnsi="Arial"/>
                <w:sz w:val="14"/>
              </w:rPr>
            </w:pPr>
            <w:r>
              <w:rPr>
                <w:rFonts w:ascii="Arial" w:hAnsi="Arial"/>
                <w:sz w:val="14"/>
              </w:rPr>
              <w:t>2,083</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2,083</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Foreign exchange translation adjustments</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233</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233</w:t>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Change in fair value of effective cash flow hedges</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bottom"/>
          </w:tcPr>
          <w:p>
            <w:pPr>
              <w:pStyle w:val="TableContents"/>
              <w:spacing w:before="0" w:after="283"/>
              <w:jc w:val="right"/>
              <w:rPr>
                <w:rFonts w:ascii="Arial" w:hAnsi="Arial"/>
                <w:sz w:val="14"/>
              </w:rPr>
            </w:pPr>
            <w:r>
              <w:rPr>
                <w:rFonts w:ascii="Arial" w:hAnsi="Arial"/>
                <w:sz w:val="14"/>
              </w:rPr>
              <w:t>(3</w:t>
            </w:r>
          </w:p>
        </w:tc>
        <w:tc>
          <w:tcPr>
            <w:tcW w:w="21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(3</w:t>
            </w:r>
          </w:p>
        </w:tc>
        <w:tc>
          <w:tcPr>
            <w:tcW w:w="174" w:type="dxa"/>
            <w:tcBorders/>
            <w:shd w:fill="FF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Minimum pension liability adjustment</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TableContents"/>
              <w:spacing w:before="0" w:after="283"/>
              <w:jc w:val="right"/>
              <w:rPr>
                <w:rFonts w:ascii="Arial" w:hAnsi="Arial"/>
                <w:sz w:val="14"/>
              </w:rPr>
            </w:pPr>
            <w:r>
              <w:rPr>
                <w:rFonts w:ascii="Arial" w:hAnsi="Arial"/>
                <w:sz w:val="14"/>
              </w:rPr>
              <w:t>196</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196</w:t>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HorizontalLine"/>
              <w:pBdr>
                <w:bottom w:val="single" w:sz="6" w:space="0" w:color="000000"/>
              </w:pBdr>
              <w:spacing w:before="0" w:after="283"/>
              <w:rPr/>
            </w:pPr>
            <w:r>
              <w:rPr/>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Other Comprehensive Income (Loss)</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2,509</w:t>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Pension and other postretirement benefits (including related tax benefits of $912)</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bottom"/>
          </w:tcPr>
          <w:p>
            <w:pPr>
              <w:pStyle w:val="TableContents"/>
              <w:spacing w:before="0" w:after="283"/>
              <w:jc w:val="right"/>
              <w:rPr>
                <w:rFonts w:ascii="Arial" w:hAnsi="Arial"/>
                <w:sz w:val="14"/>
              </w:rPr>
            </w:pPr>
            <w:r>
              <w:rPr>
                <w:rFonts w:ascii="Arial" w:hAnsi="Arial"/>
                <w:sz w:val="14"/>
              </w:rPr>
              <w:t>(1,708</w:t>
            </w:r>
          </w:p>
        </w:tc>
        <w:tc>
          <w:tcPr>
            <w:tcW w:w="21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(1,708</w:t>
            </w:r>
          </w:p>
        </w:tc>
        <w:tc>
          <w:tcPr>
            <w:tcW w:w="174" w:type="dxa"/>
            <w:tcBorders/>
            <w:shd w:fill="FF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Common stock issued for employee savings and option plans (including related tax benefits of $31)</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TableContents"/>
              <w:spacing w:before="0" w:after="283"/>
              <w:jc w:val="right"/>
              <w:rPr>
                <w:rFonts w:ascii="Arial" w:hAnsi="Arial"/>
                <w:sz w:val="14"/>
              </w:rPr>
            </w:pPr>
            <w:r>
              <w:rPr>
                <w:rFonts w:ascii="Arial" w:hAnsi="Arial"/>
                <w:sz w:val="14"/>
              </w:rPr>
              <w:t>29</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TableContents"/>
              <w:spacing w:before="0" w:after="283"/>
              <w:jc w:val="right"/>
              <w:rPr>
                <w:rFonts w:ascii="Arial" w:hAnsi="Arial"/>
                <w:sz w:val="14"/>
              </w:rPr>
            </w:pPr>
            <w:r>
              <w:rPr>
                <w:rFonts w:ascii="Arial" w:hAnsi="Arial"/>
                <w:sz w:val="14"/>
              </w:rPr>
              <w:t>16.2</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TableContents"/>
              <w:spacing w:before="0" w:after="283"/>
              <w:jc w:val="right"/>
              <w:rPr>
                <w:rFonts w:ascii="Arial" w:hAnsi="Arial"/>
                <w:sz w:val="14"/>
              </w:rPr>
            </w:pPr>
            <w:r>
              <w:rPr>
                <w:rFonts w:ascii="Arial" w:hAnsi="Arial"/>
                <w:sz w:val="14"/>
              </w:rPr>
              <w:t>573</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602</w:t>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Stock based compensation expense</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Arial" w:hAnsi="Arial"/>
                <w:sz w:val="14"/>
              </w:rPr>
            </w:pPr>
            <w:r>
              <w:rPr>
                <w:rFonts w:ascii="Arial" w:hAnsi="Arial"/>
                <w:sz w:val="14"/>
              </w:rPr>
              <w:t>77</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77</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Reclassification to equity of obligations settled in stock</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TableContents"/>
              <w:spacing w:before="0" w:after="283"/>
              <w:jc w:val="right"/>
              <w:rPr>
                <w:rFonts w:ascii="Arial" w:hAnsi="Arial"/>
                <w:sz w:val="14"/>
              </w:rPr>
            </w:pPr>
            <w:r>
              <w:rPr>
                <w:rFonts w:ascii="Arial" w:hAnsi="Arial"/>
                <w:sz w:val="14"/>
              </w:rPr>
              <w:t>112</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center"/>
          </w:tcPr>
          <w:p>
            <w:pPr>
              <w:pStyle w:val="TableContents"/>
              <w:spacing w:before="0" w:after="283"/>
              <w:rPr/>
            </w:pPr>
            <w:r>
              <w:rPr/>
              <w:t> </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112</w:t>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Repurchases of common stock</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bottom"/>
          </w:tcPr>
          <w:p>
            <w:pPr>
              <w:pStyle w:val="TableContents"/>
              <w:spacing w:before="0" w:after="283"/>
              <w:jc w:val="right"/>
              <w:rPr>
                <w:rFonts w:ascii="Arial" w:hAnsi="Arial"/>
                <w:sz w:val="14"/>
              </w:rPr>
            </w:pPr>
            <w:r>
              <w:rPr>
                <w:rFonts w:ascii="Arial" w:hAnsi="Arial"/>
                <w:sz w:val="14"/>
              </w:rPr>
              <w:t>(45.4</w:t>
            </w:r>
          </w:p>
        </w:tc>
        <w:tc>
          <w:tcPr>
            <w:tcW w:w="10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bottom"/>
          </w:tcPr>
          <w:p>
            <w:pPr>
              <w:pStyle w:val="TableContents"/>
              <w:spacing w:before="0" w:after="283"/>
              <w:jc w:val="right"/>
              <w:rPr>
                <w:rFonts w:ascii="Arial" w:hAnsi="Arial"/>
                <w:sz w:val="14"/>
              </w:rPr>
            </w:pPr>
            <w:r>
              <w:rPr>
                <w:rFonts w:ascii="Arial" w:hAnsi="Arial"/>
                <w:sz w:val="14"/>
              </w:rPr>
              <w:t>(1,896</w:t>
            </w:r>
          </w:p>
        </w:tc>
        <w:tc>
          <w:tcPr>
            <w:tcW w:w="108"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(1,896</w:t>
            </w:r>
          </w:p>
        </w:tc>
        <w:tc>
          <w:tcPr>
            <w:tcW w:w="174" w:type="dxa"/>
            <w:tcBorders/>
            <w:shd w:fill="FF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E5FFFF" w:val="clear"/>
            <w:vAlign w:val="bottom"/>
          </w:tcPr>
          <w:p>
            <w:pPr>
              <w:pStyle w:val="TableContents"/>
              <w:spacing w:before="0" w:after="283"/>
              <w:jc w:val="left"/>
              <w:rPr>
                <w:rFonts w:ascii="Arial" w:hAnsi="Arial"/>
                <w:sz w:val="14"/>
              </w:rPr>
            </w:pPr>
            <w:r>
              <w:rPr>
                <w:rFonts w:ascii="Arial" w:hAnsi="Arial"/>
                <w:sz w:val="14"/>
              </w:rPr>
              <w:t>Dividends on common stock</w:t>
              <w:br/>
              <w:t>($0.9075 per share)</w:t>
            </w:r>
          </w:p>
        </w:tc>
        <w:tc>
          <w:tcPr>
            <w:tcW w:w="240" w:type="dxa"/>
            <w:tcBorders/>
            <w:shd w:fill="E5FFFF" w:val="clear"/>
            <w:vAlign w:val="center"/>
          </w:tcPr>
          <w:p>
            <w:pPr>
              <w:pStyle w:val="TableContents"/>
              <w:spacing w:before="0" w:after="283"/>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center"/>
          </w:tcPr>
          <w:p>
            <w:pPr>
              <w:pStyle w:val="TableContents"/>
              <w:spacing w:before="0" w:after="283"/>
              <w:rPr/>
            </w:pPr>
            <w:r>
              <w:rPr/>
              <w:t> </w:t>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center"/>
          </w:tcPr>
          <w:p>
            <w:pPr>
              <w:pStyle w:val="TableContents"/>
              <w:spacing w:before="0" w:after="283"/>
              <w:rPr/>
            </w:pPr>
            <w:r>
              <w:rPr/>
              <w:t> </w:t>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center"/>
          </w:tcPr>
          <w:p>
            <w:pPr>
              <w:pStyle w:val="TableContents"/>
              <w:spacing w:before="0" w:after="283"/>
              <w:rPr/>
            </w:pPr>
            <w:r>
              <w:rPr/>
              <w:t> </w:t>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center"/>
          </w:tcPr>
          <w:p>
            <w:pPr>
              <w:pStyle w:val="TableContents"/>
              <w:spacing w:before="0" w:after="283"/>
              <w:rPr/>
            </w:pPr>
            <w:r>
              <w:rPr/>
              <w:t> </w:t>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TableContents"/>
              <w:spacing w:before="0" w:after="283"/>
              <w:jc w:val="right"/>
              <w:rPr>
                <w:rFonts w:ascii="Arial" w:hAnsi="Arial"/>
                <w:sz w:val="14"/>
              </w:rPr>
            </w:pPr>
            <w:r>
              <w:rPr>
                <w:rFonts w:ascii="Arial" w:hAnsi="Arial"/>
                <w:sz w:val="14"/>
              </w:rPr>
              <w:t>(750</w:t>
            </w:r>
          </w:p>
        </w:tc>
        <w:tc>
          <w:tcPr>
            <w:tcW w:w="115"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TableContents"/>
              <w:spacing w:before="0" w:after="283"/>
              <w:jc w:val="right"/>
              <w:rPr>
                <w:rFonts w:ascii="Arial" w:hAnsi="Arial"/>
                <w:sz w:val="14"/>
              </w:rPr>
            </w:pPr>
            <w:r>
              <w:rPr>
                <w:rFonts w:ascii="Arial" w:hAnsi="Arial"/>
                <w:sz w:val="14"/>
              </w:rPr>
              <w:t>(750</w:t>
            </w:r>
          </w:p>
        </w:tc>
        <w:tc>
          <w:tcPr>
            <w:tcW w:w="174"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995" w:type="dxa"/>
            <w:tcBorders/>
            <w:shd w:fill="FFFFFF" w:val="clear"/>
            <w:vAlign w:val="bottom"/>
          </w:tcPr>
          <w:p>
            <w:pPr>
              <w:pStyle w:val="TableContents"/>
              <w:spacing w:before="0" w:after="283"/>
              <w:jc w:val="left"/>
              <w:rPr>
                <w:rFonts w:ascii="Arial" w:hAnsi="Arial"/>
                <w:sz w:val="14"/>
              </w:rPr>
            </w:pPr>
            <w:r>
              <w:rPr>
                <w:rFonts w:ascii="Arial" w:hAnsi="Arial"/>
                <w:sz w:val="14"/>
              </w:rPr>
              <w:t>Other owner changes</w:t>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Arial" w:hAnsi="Arial"/>
                <w:sz w:val="14"/>
              </w:rPr>
            </w:pPr>
            <w:r>
              <w:rPr>
                <w:rFonts w:ascii="Arial" w:hAnsi="Arial"/>
                <w:sz w:val="14"/>
              </w:rPr>
              <w:t>1</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bottom"/>
          </w:tcPr>
          <w:p>
            <w:pPr>
              <w:pStyle w:val="TableContents"/>
              <w:spacing w:before="0" w:after="283"/>
              <w:jc w:val="right"/>
              <w:rPr>
                <w:rFonts w:ascii="Arial" w:hAnsi="Arial"/>
                <w:sz w:val="14"/>
              </w:rPr>
            </w:pPr>
            <w:r>
              <w:rPr>
                <w:rFonts w:ascii="Arial" w:hAnsi="Arial"/>
                <w:sz w:val="14"/>
              </w:rPr>
              <w:t>.3</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bottom"/>
          </w:tcPr>
          <w:p>
            <w:pPr>
              <w:pStyle w:val="TableContents"/>
              <w:spacing w:before="0" w:after="283"/>
              <w:jc w:val="right"/>
              <w:rPr>
                <w:rFonts w:ascii="Arial" w:hAnsi="Arial"/>
                <w:sz w:val="14"/>
              </w:rPr>
            </w:pPr>
            <w:r>
              <w:rPr>
                <w:rFonts w:ascii="Arial" w:hAnsi="Arial"/>
                <w:sz w:val="14"/>
              </w:rPr>
              <w:t>11</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12</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bottom"/>
          </w:tcPr>
          <w:p>
            <w:pPr>
              <w:pStyle w:val="HorizontalLine"/>
              <w:pBdr>
                <w:bottom w:val="single" w:sz="6" w:space="0" w:color="000000"/>
              </w:pBdr>
              <w:spacing w:before="0" w:after="283"/>
              <w:rPr/>
            </w:pPr>
            <w:r>
              <w:rPr/>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HorizontalLine"/>
              <w:pBdr>
                <w:bottom w:val="single" w:sz="6" w:space="0" w:color="000000"/>
              </w:pBdr>
              <w:spacing w:before="0" w:after="283"/>
              <w:rPr/>
            </w:pPr>
            <w:r>
              <w:rPr/>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HorizontalLine"/>
              <w:pBdr>
                <w:bottom w:val="single" w:sz="6" w:space="0" w:color="000000"/>
              </w:pBdr>
              <w:spacing w:before="0" w:after="283"/>
              <w:rPr/>
            </w:pPr>
            <w:r>
              <w:rPr/>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HorizontalLine"/>
              <w:pBdr>
                <w:bottom w:val="single" w:sz="6"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HorizontalLine"/>
              <w:pBdr>
                <w:bottom w:val="single" w:sz="6" w:space="0" w:color="000000"/>
              </w:pBdr>
              <w:spacing w:before="0" w:after="283"/>
              <w:rPr/>
            </w:pPr>
            <w:r>
              <w:rPr/>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HorizontalLine"/>
              <w:pBdr>
                <w:bottom w:val="single" w:sz="6" w:space="0" w:color="000000"/>
              </w:pBdr>
              <w:spacing w:before="0" w:after="283"/>
              <w:rPr/>
            </w:pPr>
            <w:r>
              <w:rPr/>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HorizontalLine"/>
              <w:pBdr>
                <w:bottom w:val="single" w:sz="6" w:space="0" w:color="000000"/>
              </w:pBdr>
              <w:spacing w:before="0" w:after="283"/>
              <w:rPr/>
            </w:pPr>
            <w:r>
              <w:rPr/>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jc w:val="left"/>
              <w:rPr>
                <w:rFonts w:ascii="Arial" w:hAnsi="Arial"/>
                <w:b/>
                <w:sz w:val="14"/>
              </w:rPr>
            </w:pPr>
            <w:r>
              <w:rPr>
                <w:rFonts w:ascii="Arial" w:hAnsi="Arial"/>
                <w:b/>
                <w:sz w:val="14"/>
              </w:rPr>
              <w:t>Balance at December 31, 2006</w:t>
            </w:r>
          </w:p>
        </w:tc>
        <w:tc>
          <w:tcPr>
            <w:tcW w:w="240" w:type="dxa"/>
            <w:tcBorders/>
            <w:shd w:fill="FFFFFF" w:val="clear"/>
            <w:vAlign w:val="bottom"/>
          </w:tcPr>
          <w:p>
            <w:pPr>
              <w:pStyle w:val="TableContents"/>
              <w:spacing w:before="0" w:after="283"/>
              <w:jc w:val="right"/>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bottom"/>
          </w:tcPr>
          <w:p>
            <w:pPr>
              <w:pStyle w:val="TableContents"/>
              <w:spacing w:before="0" w:after="283"/>
              <w:jc w:val="right"/>
              <w:rPr>
                <w:rFonts w:ascii="Arial" w:hAnsi="Arial"/>
                <w:sz w:val="14"/>
              </w:rPr>
            </w:pPr>
            <w:r>
              <w:rPr>
                <w:rFonts w:ascii="Arial" w:hAnsi="Arial"/>
                <w:sz w:val="14"/>
              </w:rPr>
              <w:t>957.6</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72" w:type="dxa"/>
            <w:tcBorders/>
            <w:shd w:fill="FFFFFF" w:val="clear"/>
            <w:vAlign w:val="bottom"/>
          </w:tcPr>
          <w:p>
            <w:pPr>
              <w:pStyle w:val="TableContents"/>
              <w:spacing w:before="0" w:after="283"/>
              <w:jc w:val="right"/>
              <w:rPr>
                <w:rFonts w:ascii="Arial" w:hAnsi="Arial"/>
                <w:sz w:val="14"/>
              </w:rPr>
            </w:pPr>
            <w:r>
              <w:rPr>
                <w:rFonts w:ascii="Arial" w:hAnsi="Arial"/>
                <w:sz w:val="14"/>
              </w:rPr>
              <w:t>958</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17"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835" w:type="dxa"/>
            <w:tcBorders/>
            <w:shd w:fill="FFFFFF" w:val="clear"/>
            <w:vAlign w:val="bottom"/>
          </w:tcPr>
          <w:p>
            <w:pPr>
              <w:pStyle w:val="TableContents"/>
              <w:spacing w:before="0" w:after="283"/>
              <w:jc w:val="right"/>
              <w:rPr>
                <w:rFonts w:ascii="Arial" w:hAnsi="Arial"/>
                <w:sz w:val="14"/>
              </w:rPr>
            </w:pPr>
            <w:r>
              <w:rPr>
                <w:rFonts w:ascii="Arial" w:hAnsi="Arial"/>
                <w:sz w:val="14"/>
              </w:rPr>
              <w:t>3,845</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bottom"/>
          </w:tcPr>
          <w:p>
            <w:pPr>
              <w:pStyle w:val="TableContents"/>
              <w:spacing w:before="0" w:after="283"/>
              <w:jc w:val="right"/>
              <w:rPr>
                <w:rFonts w:ascii="Arial" w:hAnsi="Arial"/>
                <w:sz w:val="14"/>
              </w:rPr>
            </w:pPr>
            <w:r>
              <w:rPr>
                <w:rFonts w:ascii="Arial" w:hAnsi="Arial"/>
                <w:sz w:val="14"/>
              </w:rPr>
              <w:t>(157.0</w:t>
            </w:r>
          </w:p>
        </w:tc>
        <w:tc>
          <w:tcPr>
            <w:tcW w:w="10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72" w:type="dxa"/>
            <w:tcBorders/>
            <w:shd w:fill="FFFFFF" w:val="clear"/>
            <w:vAlign w:val="bottom"/>
          </w:tcPr>
          <w:p>
            <w:pPr>
              <w:pStyle w:val="TableContents"/>
              <w:spacing w:before="0" w:after="283"/>
              <w:jc w:val="right"/>
              <w:rPr>
                <w:rFonts w:ascii="Arial" w:hAnsi="Arial"/>
                <w:sz w:val="14"/>
              </w:rPr>
            </w:pPr>
            <w:r>
              <w:rPr>
                <w:rFonts w:ascii="Arial" w:hAnsi="Arial"/>
                <w:sz w:val="14"/>
              </w:rPr>
              <w:t>(6,339</w:t>
            </w:r>
          </w:p>
        </w:tc>
        <w:tc>
          <w:tcPr>
            <w:tcW w:w="108"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30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1319" w:type="dxa"/>
            <w:tcBorders/>
            <w:shd w:fill="FFFFFF" w:val="clear"/>
            <w:vAlign w:val="bottom"/>
          </w:tcPr>
          <w:p>
            <w:pPr>
              <w:pStyle w:val="TableContents"/>
              <w:spacing w:before="0" w:after="283"/>
              <w:jc w:val="right"/>
              <w:rPr>
                <w:rFonts w:ascii="Arial" w:hAnsi="Arial"/>
                <w:sz w:val="14"/>
              </w:rPr>
            </w:pPr>
            <w:r>
              <w:rPr>
                <w:rFonts w:ascii="Arial" w:hAnsi="Arial"/>
                <w:sz w:val="14"/>
              </w:rPr>
              <w:t>(1,307</w:t>
            </w:r>
          </w:p>
        </w:tc>
        <w:tc>
          <w:tcPr>
            <w:tcW w:w="21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67"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73" w:type="dxa"/>
            <w:tcBorders/>
            <w:shd w:fill="FFFFFF" w:val="clear"/>
            <w:vAlign w:val="bottom"/>
          </w:tcPr>
          <w:p>
            <w:pPr>
              <w:pStyle w:val="TableContents"/>
              <w:spacing w:before="0" w:after="283"/>
              <w:jc w:val="right"/>
              <w:rPr>
                <w:rFonts w:ascii="Arial" w:hAnsi="Arial"/>
                <w:sz w:val="14"/>
              </w:rPr>
            </w:pPr>
            <w:r>
              <w:rPr>
                <w:rFonts w:ascii="Arial" w:hAnsi="Arial"/>
                <w:sz w:val="14"/>
              </w:rPr>
              <w:t>12,563</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52"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1169" w:type="dxa"/>
            <w:tcBorders/>
            <w:shd w:fill="FFFFFF" w:val="clear"/>
            <w:vAlign w:val="bottom"/>
          </w:tcPr>
          <w:p>
            <w:pPr>
              <w:pStyle w:val="TableContents"/>
              <w:spacing w:before="0" w:after="283"/>
              <w:jc w:val="right"/>
              <w:rPr>
                <w:rFonts w:ascii="Arial" w:hAnsi="Arial"/>
                <w:sz w:val="14"/>
              </w:rPr>
            </w:pPr>
            <w:r>
              <w:rPr>
                <w:rFonts w:ascii="Arial" w:hAnsi="Arial"/>
                <w:sz w:val="14"/>
              </w:rPr>
              <w:t>9,720</w:t>
            </w:r>
          </w:p>
        </w:tc>
        <w:tc>
          <w:tcPr>
            <w:tcW w:w="174" w:type="dxa"/>
            <w:tcBorders/>
            <w:shd w:fill="FFFFFF" w:val="clear"/>
            <w:vAlign w:val="center"/>
          </w:tcPr>
          <w:p>
            <w:pPr>
              <w:pStyle w:val="TableContents"/>
              <w:spacing w:before="0" w:after="283"/>
              <w:rPr/>
            </w:pPr>
            <w:r>
              <w:rPr/>
              <w:t> </w:t>
            </w:r>
          </w:p>
        </w:tc>
      </w:tr>
      <w:tr>
        <w:trPr/>
        <w:tc>
          <w:tcPr>
            <w:tcW w:w="9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02" w:type="dxa"/>
            <w:tcBorders/>
            <w:shd w:fill="E5FFFF" w:val="clear"/>
            <w:vAlign w:val="center"/>
          </w:tcPr>
          <w:p>
            <w:pPr>
              <w:pStyle w:val="TableContents"/>
              <w:spacing w:before="0" w:after="283"/>
              <w:rPr/>
            </w:pPr>
            <w:r>
              <w:rPr/>
              <w:t> </w:t>
            </w:r>
          </w:p>
        </w:tc>
        <w:tc>
          <w:tcPr>
            <w:tcW w:w="624" w:type="dxa"/>
            <w:tcBorders/>
            <w:shd w:fill="E5FFFF" w:val="clear"/>
            <w:vAlign w:val="bottom"/>
          </w:tcPr>
          <w:p>
            <w:pPr>
              <w:pStyle w:val="HorizontalLine"/>
              <w:pBdr>
                <w:bottom w:val="single" w:sz="18" w:space="0" w:color="000000"/>
              </w:pBdr>
              <w:spacing w:before="0" w:after="283"/>
              <w:rPr/>
            </w:pPr>
            <w:r>
              <w:rPr/>
            </w:r>
          </w:p>
        </w:tc>
        <w:tc>
          <w:tcPr>
            <w:tcW w:w="10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572" w:type="dxa"/>
            <w:tcBorders/>
            <w:shd w:fill="E5FFFF" w:val="clear"/>
            <w:vAlign w:val="bottom"/>
          </w:tcPr>
          <w:p>
            <w:pPr>
              <w:pStyle w:val="HorizontalLine"/>
              <w:pBdr>
                <w:bottom w:val="single" w:sz="18"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17" w:type="dxa"/>
            <w:tcBorders/>
            <w:shd w:fill="E5FFFF" w:val="clear"/>
            <w:vAlign w:val="center"/>
          </w:tcPr>
          <w:p>
            <w:pPr>
              <w:pStyle w:val="TableContents"/>
              <w:spacing w:before="0" w:after="283"/>
              <w:rPr/>
            </w:pPr>
            <w:r>
              <w:rPr/>
              <w:t> </w:t>
            </w:r>
          </w:p>
        </w:tc>
        <w:tc>
          <w:tcPr>
            <w:tcW w:w="835" w:type="dxa"/>
            <w:tcBorders/>
            <w:shd w:fill="E5FFFF" w:val="clear"/>
            <w:vAlign w:val="bottom"/>
          </w:tcPr>
          <w:p>
            <w:pPr>
              <w:pStyle w:val="HorizontalLine"/>
              <w:pBdr>
                <w:bottom w:val="single" w:sz="18" w:space="0" w:color="000000"/>
              </w:pBdr>
              <w:spacing w:before="0" w:after="283"/>
              <w:rPr/>
            </w:pPr>
            <w:r>
              <w:rPr/>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3" w:type="dxa"/>
            <w:tcBorders/>
            <w:shd w:fill="E5FFFF" w:val="clear"/>
            <w:vAlign w:val="center"/>
          </w:tcPr>
          <w:p>
            <w:pPr>
              <w:pStyle w:val="TableContents"/>
              <w:spacing w:before="0" w:after="283"/>
              <w:rPr/>
            </w:pPr>
            <w:r>
              <w:rPr/>
              <w:t> </w:t>
            </w:r>
          </w:p>
        </w:tc>
        <w:tc>
          <w:tcPr>
            <w:tcW w:w="636" w:type="dxa"/>
            <w:tcBorders/>
            <w:shd w:fill="E5FFFF" w:val="clear"/>
            <w:vAlign w:val="bottom"/>
          </w:tcPr>
          <w:p>
            <w:pPr>
              <w:pStyle w:val="HorizontalLine"/>
              <w:pBdr>
                <w:bottom w:val="single" w:sz="18" w:space="0" w:color="000000"/>
              </w:pBdr>
              <w:spacing w:before="0" w:after="283"/>
              <w:rPr/>
            </w:pPr>
            <w:r>
              <w:rPr/>
            </w:r>
          </w:p>
        </w:tc>
        <w:tc>
          <w:tcPr>
            <w:tcW w:w="10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72" w:type="dxa"/>
            <w:tcBorders/>
            <w:shd w:fill="E5FFFF" w:val="clear"/>
            <w:vAlign w:val="bottom"/>
          </w:tcPr>
          <w:p>
            <w:pPr>
              <w:pStyle w:val="HorizontalLine"/>
              <w:pBdr>
                <w:bottom w:val="single" w:sz="18"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05" w:type="dxa"/>
            <w:tcBorders/>
            <w:shd w:fill="E5FFFF" w:val="clear"/>
            <w:vAlign w:val="center"/>
          </w:tcPr>
          <w:p>
            <w:pPr>
              <w:pStyle w:val="TableContents"/>
              <w:spacing w:before="0" w:after="283"/>
              <w:rPr/>
            </w:pPr>
            <w:r>
              <w:rPr/>
              <w:t> </w:t>
            </w:r>
          </w:p>
        </w:tc>
        <w:tc>
          <w:tcPr>
            <w:tcW w:w="1319" w:type="dxa"/>
            <w:tcBorders/>
            <w:shd w:fill="E5FFFF" w:val="clear"/>
            <w:vAlign w:val="bottom"/>
          </w:tcPr>
          <w:p>
            <w:pPr>
              <w:pStyle w:val="HorizontalLine"/>
              <w:pBdr>
                <w:bottom w:val="single" w:sz="18" w:space="0" w:color="000000"/>
              </w:pBdr>
              <w:spacing w:before="0" w:after="283"/>
              <w:rPr/>
            </w:pPr>
            <w:r>
              <w:rPr/>
            </w:r>
          </w:p>
        </w:tc>
        <w:tc>
          <w:tcPr>
            <w:tcW w:w="211"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7" w:type="dxa"/>
            <w:tcBorders/>
            <w:shd w:fill="E5FFFF" w:val="clear"/>
            <w:vAlign w:val="center"/>
          </w:tcPr>
          <w:p>
            <w:pPr>
              <w:pStyle w:val="TableContents"/>
              <w:spacing w:before="0" w:after="283"/>
              <w:rPr/>
            </w:pPr>
            <w:r>
              <w:rPr/>
              <w:t> </w:t>
            </w:r>
          </w:p>
        </w:tc>
        <w:tc>
          <w:tcPr>
            <w:tcW w:w="773" w:type="dxa"/>
            <w:tcBorders/>
            <w:shd w:fill="E5FFFF" w:val="clear"/>
            <w:vAlign w:val="bottom"/>
          </w:tcPr>
          <w:p>
            <w:pPr>
              <w:pStyle w:val="HorizontalLine"/>
              <w:pBdr>
                <w:bottom w:val="single" w:sz="18" w:space="0" w:color="000000"/>
              </w:pBdr>
              <w:spacing w:before="0" w:after="283"/>
              <w:rPr/>
            </w:pPr>
            <w:r>
              <w:rPr/>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52" w:type="dxa"/>
            <w:tcBorders/>
            <w:shd w:fill="E5FFFF" w:val="clear"/>
            <w:vAlign w:val="center"/>
          </w:tcPr>
          <w:p>
            <w:pPr>
              <w:pStyle w:val="TableContents"/>
              <w:spacing w:before="0" w:after="283"/>
              <w:rPr/>
            </w:pPr>
            <w:r>
              <w:rPr/>
              <w:t> </w:t>
            </w:r>
          </w:p>
        </w:tc>
        <w:tc>
          <w:tcPr>
            <w:tcW w:w="1169" w:type="dxa"/>
            <w:tcBorders/>
            <w:shd w:fill="E5FFFF" w:val="clear"/>
            <w:vAlign w:val="bottom"/>
          </w:tcPr>
          <w:p>
            <w:pPr>
              <w:pStyle w:val="HorizontalLine"/>
              <w:pBdr>
                <w:bottom w:val="single" w:sz="18" w:space="0" w:color="000000"/>
              </w:pBdr>
              <w:spacing w:before="0" w:after="283"/>
              <w:rPr/>
            </w:pPr>
            <w:r>
              <w:rPr/>
            </w:r>
          </w:p>
        </w:tc>
        <w:tc>
          <w:tcPr>
            <w:tcW w:w="174" w:type="dxa"/>
            <w:tcBorders/>
            <w:shd w:fill="E5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r>
      <w:tr>
        <w:trPr/>
        <w:tc>
          <w:tcPr>
            <w:tcW w:w="995"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624"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72"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319" w:type="dxa"/>
            <w:tcBorders/>
            <w:shd w:fill="FFFFFF" w:val="clear"/>
            <w:vAlign w:val="center"/>
          </w:tcPr>
          <w:p>
            <w:pPr>
              <w:pStyle w:val="TableContents"/>
              <w:spacing w:before="0" w:after="283"/>
              <w:rPr/>
            </w:pPr>
            <w:r>
              <w:rPr/>
              <w:t> </w:t>
            </w:r>
          </w:p>
        </w:tc>
        <w:tc>
          <w:tcPr>
            <w:tcW w:w="211"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77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1169"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The Notes to Financial Statements are an integral part of this statement.</w:t>
      </w:r>
    </w:p>
    <w:p>
      <w:pPr>
        <w:pStyle w:val="TextBody"/>
        <w:jc w:val="center"/>
        <w:rPr>
          <w:rFonts w:ascii="Arial" w:hAnsi="Arial"/>
        </w:rPr>
      </w:pPr>
      <w:r>
        <w:rPr>
          <w:rFonts w:ascii="Arial" w:hAnsi="Arial"/>
        </w:rPr>
        <w:t>48</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w:t>
        <w:br/>
      </w:r>
      <w:r>
        <w:rPr>
          <w:rFonts w:ascii="Arial" w:hAnsi="Arial"/>
          <w:b/>
          <w:sz w:val="14"/>
        </w:rPr>
        <w:t>(Dollars in millions, except per share amounts)</w:t>
      </w:r>
    </w:p>
    <w:p>
      <w:pPr>
        <w:pStyle w:val="TextBody"/>
        <w:jc w:val="left"/>
        <w:rPr>
          <w:rFonts w:ascii="Arial" w:hAnsi="Arial"/>
          <w:b/>
        </w:rPr>
      </w:pPr>
      <w:r>
        <w:rPr>
          <w:rFonts w:ascii="Arial" w:hAnsi="Arial"/>
          <w:b/>
        </w:rPr>
        <w:t>Note 1—Summary of Significant Accounting Policies</w:t>
      </w:r>
    </w:p>
    <w:p>
      <w:pPr>
        <w:pStyle w:val="TextBody"/>
        <w:jc w:val="left"/>
        <w:rPr/>
      </w:pPr>
      <w:r>
        <w:rPr/>
        <w:t>      </w:t>
      </w:r>
      <w:r>
        <w:rPr>
          <w:rFonts w:ascii="Arial" w:hAnsi="Arial"/>
          <w:b/>
          <w:i/>
        </w:rPr>
        <w:t>Accounting Principles—</w:t>
      </w:r>
      <w:r>
        <w:rPr>
          <w:rFonts w:ascii="Arial" w:hAnsi="Arial"/>
        </w:rPr>
        <w:t>The financial statements and accompanying notes are prepared in accordance with accounting principles generally accepted in the United States of America. The following is a description of the significant accounting policies of Honeywell International Inc.</w:t>
      </w:r>
    </w:p>
    <w:p>
      <w:pPr>
        <w:pStyle w:val="TextBody"/>
        <w:jc w:val="left"/>
        <w:rPr/>
      </w:pPr>
      <w:r>
        <w:rPr/>
        <w:t>      </w:t>
      </w:r>
      <w:r>
        <w:rPr>
          <w:rFonts w:ascii="Arial" w:hAnsi="Arial"/>
          <w:b/>
          <w:i/>
        </w:rPr>
        <w:t>Principles of Consolidation—</w:t>
      </w:r>
      <w:r>
        <w:rPr>
          <w:rFonts w:ascii="Arial" w:hAnsi="Arial"/>
        </w:rPr>
        <w:t>The consolidated financial statements include the accounts of Honeywell International Inc. and all of its subsidiaries and entities in which a controlling interest is maintained. Our consolidation policy requires the consolidation of entities where a controlling financial interest is obtained as well as consolidation of variable interest entities in which we bear a majority of the risk to the entities' potential losses or stand to gain from a majority of the entities' expected returns. All intercompany transactions and balances are eliminated in consolidation.</w:t>
      </w:r>
    </w:p>
    <w:p>
      <w:pPr>
        <w:pStyle w:val="TextBody"/>
        <w:jc w:val="left"/>
        <w:rPr/>
      </w:pPr>
      <w:r>
        <w:rPr/>
        <w:t>      </w:t>
      </w:r>
      <w:r>
        <w:rPr>
          <w:rFonts w:ascii="Arial" w:hAnsi="Arial"/>
          <w:b/>
          <w:i/>
        </w:rPr>
        <w:t>Cash and Cash Equivalents—</w:t>
      </w:r>
      <w:r>
        <w:rPr>
          <w:rFonts w:ascii="Arial" w:hAnsi="Arial"/>
        </w:rPr>
        <w:t>Cash and cash equivalents include cash on hand and on deposit and highly liquid, temporary cash investments with an original maturity of three months or less.</w:t>
      </w:r>
    </w:p>
    <w:p>
      <w:pPr>
        <w:pStyle w:val="TextBody"/>
        <w:jc w:val="left"/>
        <w:rPr/>
      </w:pPr>
      <w:r>
        <w:rPr/>
        <w:t>      </w:t>
      </w:r>
      <w:r>
        <w:rPr>
          <w:rFonts w:ascii="Arial" w:hAnsi="Arial"/>
          <w:b/>
          <w:i/>
        </w:rPr>
        <w:t>Inventories—</w:t>
      </w:r>
      <w:r>
        <w:rPr>
          <w:rFonts w:ascii="Arial" w:hAnsi="Arial"/>
        </w:rPr>
        <w:t>Inventories are valued at the lower of cost or market using the first-in, first-out or the average cost method and the last-in, first-out (LIFO) method for certain qualifying domestic inventories.</w:t>
      </w:r>
    </w:p>
    <w:p>
      <w:pPr>
        <w:pStyle w:val="TextBody"/>
        <w:jc w:val="left"/>
        <w:rPr/>
      </w:pPr>
      <w:r>
        <w:rPr/>
        <w:t>      </w:t>
      </w:r>
      <w:r>
        <w:rPr>
          <w:rFonts w:ascii="Arial" w:hAnsi="Arial"/>
          <w:b/>
          <w:i/>
        </w:rPr>
        <w:t>Investments—</w:t>
      </w:r>
      <w:r>
        <w:rPr>
          <w:rFonts w:ascii="Arial" w:hAnsi="Arial"/>
        </w:rPr>
        <w:t>Investments in affiliates over which we have a significant influence, but not a controlling interest, are accounted for using the equity method of accounting. Other investments are carried at market value, if readily determinable, or cost. All equity investments are periodically reviewed to determine if declines in fair value below cost basis are other-than-temporary. Significant and sustained decreases in quoted market prices or a series of historic and projected operating losses by investees are strong indicators of other-than-temporary declines. If the decline in fair value is determined to be other-than-temporary, an impairment loss is recorded and the investment is written down to a new carrying value.</w:t>
      </w:r>
    </w:p>
    <w:p>
      <w:pPr>
        <w:pStyle w:val="TextBody"/>
        <w:jc w:val="left"/>
        <w:rPr/>
      </w:pPr>
      <w:r>
        <w:rPr/>
        <w:t>      </w:t>
      </w:r>
      <w:r>
        <w:rPr>
          <w:rFonts w:ascii="Arial" w:hAnsi="Arial"/>
          <w:b/>
          <w:i/>
        </w:rPr>
        <w:t>Property, Plant and Equipment—</w:t>
      </w:r>
      <w:r>
        <w:rPr>
          <w:rFonts w:ascii="Arial" w:hAnsi="Arial"/>
        </w:rPr>
        <w:t>Property, plant and equipment are recorded at cost less accumulated depreciation. For financial reporting, the straight-line method of depreciation is used over the estimated useful lives of 10 to 50 years for buildings and improvements and 2 to 15 years for machinery and equipment. Statement of Financial Accounting Standards No. 143, “Accounting for Asset Retirement Obligations” (SFAS No. 143) and FASB Interpretation No. 47 (“FIN 47”) require recognition of the fair value of obligations associated with the retirement of tangible long-lived assets when there is a legal obligation to incur such costs. Upon adoption of FIN 47 on December 31, 2005, we recorded an increase of $14 million to property, plant and equipment and recognized an asset retirement obligation liability of $46 million. This resulted in the recognition of a non-cash charge of $32 million ($21 million after tax) that was reported as a cumulative effect of an accounting change. Upon initial recognition of a liability the cost is capitalized as part of the related long-lived asset and depreciated over the corresponding asset's useful life. See Note 17 for additional details.</w:t>
      </w:r>
    </w:p>
    <w:p>
      <w:pPr>
        <w:pStyle w:val="TextBody"/>
        <w:jc w:val="left"/>
        <w:rPr/>
      </w:pPr>
      <w:r>
        <w:rPr/>
        <w:t>      </w:t>
      </w:r>
      <w:r>
        <w:rPr>
          <w:rFonts w:ascii="Arial" w:hAnsi="Arial"/>
          <w:b/>
          <w:i/>
        </w:rPr>
        <w:t>Goodwill and Indefinite-Lived Intangible Assets—</w:t>
      </w:r>
      <w:r>
        <w:rPr>
          <w:rFonts w:ascii="Arial" w:hAnsi="Arial"/>
        </w:rPr>
        <w:t>Goodwill represents the excess of acquisition costs over the fair value of tangible net assets and identifiable intangible assets of businesses acquired. Goodwill and certain other intangible assets deemed to have indefinite lives are not amortized. Intangible assets determined to have definite lives are amortized over their useful lives. Goodwill and indefinite lived intangible assets are subject to impairment testing annually as of March 31, or whenever events or changes in circumstances indicate that the carrying amount may not be fully recoverable, using the guidance and criteria described in Statement of Financial Accounting Standards No. 142, “Goodwill and Other Intangible Assets”. This testing compares carrying values to fair values and, when appropriate, the carrying value of these assets is reduced to fair value. We completed our annual goodwill impairment test as of March 31, 2006 and determined that there was no impairment as of that date. See Note 12 for additional details on goodwill balances.</w:t>
      </w:r>
    </w:p>
    <w:p>
      <w:pPr>
        <w:pStyle w:val="TextBody"/>
        <w:jc w:val="left"/>
        <w:rPr/>
      </w:pPr>
      <w:r>
        <w:rPr/>
        <w:t>      </w:t>
      </w:r>
      <w:r>
        <w:rPr>
          <w:rFonts w:ascii="Arial" w:hAnsi="Arial"/>
          <w:b/>
          <w:i/>
        </w:rPr>
        <w:t>Other Intangible Assets with Determinable Lives—</w:t>
      </w:r>
      <w:r>
        <w:rPr>
          <w:rFonts w:ascii="Arial" w:hAnsi="Arial"/>
        </w:rPr>
        <w:t>Other intangible assets with determinable lives consist of customer lists, technology, patents and trademarks and other intangibles and are amortized over their estimated useful lives, ranging from 2 to 24 years.</w:t>
      </w:r>
    </w:p>
    <w:p>
      <w:pPr>
        <w:pStyle w:val="TextBody"/>
        <w:jc w:val="center"/>
        <w:rPr>
          <w:rFonts w:ascii="Arial" w:hAnsi="Arial"/>
        </w:rPr>
      </w:pPr>
      <w:r>
        <w:rPr>
          <w:rFonts w:ascii="Arial" w:hAnsi="Arial"/>
        </w:rPr>
        <w:t>49</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b/>
          <w:i/>
        </w:rPr>
        <w:t>Long-Lived Assets—</w:t>
      </w:r>
      <w:r>
        <w:rPr>
          <w:rFonts w:ascii="Arial" w:hAnsi="Arial"/>
        </w:rPr>
        <w:t>We periodically evaluate the recoverability of the carrying amount of long-lived assets (including property, plant and equipment, and intangible assets with determinable lives) whenever events or changes in circumstances indicate that the carrying amount of an asset may not be fully recoverable. We evaluate events or changes in circumstances based on a number of factors including operating results, business plans and forecasts, general and industry trends and, economic projections and anticipated cash flows. An impairment is assessed when the undiscounted expected future cash flows derived from an asset are less than its carrying amount. Impairment losses are measured as the amount by which the carrying value of an asset exceeds its fair value and are recognized in earnings. We also continually evaluate the estimated useful lives of all long-lived assets and periodically revise such estimates based on current events.</w:t>
      </w:r>
    </w:p>
    <w:p>
      <w:pPr>
        <w:pStyle w:val="TextBody"/>
        <w:jc w:val="left"/>
        <w:rPr/>
      </w:pPr>
      <w:r>
        <w:rPr/>
        <w:t>      </w:t>
      </w:r>
      <w:r>
        <w:rPr>
          <w:rFonts w:ascii="Arial" w:hAnsi="Arial"/>
          <w:b/>
          <w:i/>
        </w:rPr>
        <w:t>Sales Recognition—</w:t>
      </w:r>
      <w:r>
        <w:rPr>
          <w:rFonts w:ascii="Arial" w:hAnsi="Arial"/>
        </w:rPr>
        <w:t>Product and service sales are recognized when persuasive evidence of an arrangement exists, product delivery has occurred or services have been rendered, pricing is fixed or determinable, and collection is reasonably assured. Service sales, principally representing repair, maintenance and engineering activities in our Aerospace and Automation and Control Solutions reportable segments, are recognized over the contractual period or as services are rendered. Sales under long-term contracts in the Aerospace, Automation and Control Solutions and Specialty Materials reportable segments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pStyle w:val="TextBody"/>
        <w:jc w:val="left"/>
        <w:rPr/>
      </w:pPr>
      <w:r>
        <w:rPr/>
        <w:t>      </w:t>
      </w:r>
      <w:r>
        <w:rPr>
          <w:rFonts w:ascii="Arial" w:hAnsi="Arial"/>
          <w:b/>
          <w:i/>
        </w:rPr>
        <w:t>Environmental Expenditures—</w:t>
      </w:r>
      <w:r>
        <w:rPr>
          <w:rFonts w:ascii="Arial" w:hAnsi="Arial"/>
        </w:rPr>
        <w:t>Environmental expenditures that relate to current operations are expensed or capitalized as appropriate. Expenditures that relate to an existing condition caused by past operations, and that do not provide future benefits, are expensed as incurred. Liabilities are recorded when environmental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accruals.</w:t>
      </w:r>
    </w:p>
    <w:p>
      <w:pPr>
        <w:pStyle w:val="TextBody"/>
        <w:jc w:val="left"/>
        <w:rPr/>
      </w:pPr>
      <w:r>
        <w:rPr/>
        <w:t>      </w:t>
      </w:r>
      <w:r>
        <w:rPr>
          <w:rFonts w:ascii="Arial" w:hAnsi="Arial"/>
          <w:b/>
          <w:i/>
        </w:rPr>
        <w:t>Asbestos Related Contingencies and Insurance Recoveries—</w:t>
      </w:r>
      <w:r>
        <w:rPr>
          <w:rFonts w:ascii="Arial" w:hAnsi="Arial"/>
        </w:rPr>
        <w:t>Honeywell is a defendant in personal injury actions related to asbestos containing products (refractory products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also accrued for the probable value of future NARCO asbestos related claims through 2018 based on the disease criteria and payment values contained in the NARCO trust as described in Note 21. In light of the inherent uncertainties in making long term projections regarding claims filing rates and disease manifestation, we do not believe that we have a reasonable basis for estimating NARCO asbestos claims beyond 2018 under Statement of Financial Accounting Standards No. 5, “Accounting for Contingencies” (SFAS No. 5). Regarding Bendix asbestos related claims, we accrue for the estimated value of pending claims based on expected claim resolution values and dismissal rates. In the fourth</w:t>
      </w:r>
    </w:p>
    <w:p>
      <w:pPr>
        <w:pStyle w:val="TextBody"/>
        <w:jc w:val="center"/>
        <w:rPr>
          <w:rFonts w:ascii="Arial" w:hAnsi="Arial"/>
        </w:rPr>
      </w:pPr>
      <w:r>
        <w:rPr>
          <w:rFonts w:ascii="Arial" w:hAnsi="Arial"/>
        </w:rPr>
        <w:t>50</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quarter of 2006, the Company accrued a liability for the estimated cost of future anticipated claims related to Bendix through 2011 based on our assessment of additional claims that may be brought against us and anticipated resolution values in the tort system. In December 2006, we also changed our methodology for valuing Bendix pending and future claims from using average resolution values of the previous five years to using average resolution values of the previous two years. For additional information see Note 21.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pStyle w:val="TextBody"/>
        <w:jc w:val="left"/>
        <w:rPr/>
      </w:pPr>
      <w:r>
        <w:rPr/>
        <w:t>      </w:t>
      </w:r>
      <w:r>
        <w:rPr>
          <w:rFonts w:ascii="Arial" w:hAnsi="Arial"/>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w:t>
      </w:r>
    </w:p>
    <w:p>
      <w:pPr>
        <w:pStyle w:val="TextBody"/>
        <w:jc w:val="left"/>
        <w:rPr/>
      </w:pPr>
      <w:r>
        <w:rPr/>
        <w:t>      </w:t>
      </w:r>
      <w:r>
        <w:rPr>
          <w:rFonts w:ascii="Arial" w:hAnsi="Arial"/>
          <w:b/>
          <w:i/>
        </w:rPr>
        <w:t>Aerospace Sales Incentives—</w:t>
      </w:r>
      <w:r>
        <w:rPr>
          <w:rFonts w:ascii="Arial" w:hAnsi="Arial"/>
        </w:rPr>
        <w:t>The Company provides sales incentives to commercial aircraft manufacturers and airlines in connection with their selection of our aircraft wheel and braking system hardware and auxiliary power units for installation on commercial aircraft. These incentives principally consist of free or deeply discounted products but also include credits for future purchases of product and upfront cash payments. These costs are expensed as provided. For aircraft manufacturers, incentives are recorded when the products are delivered; for airlines, incentives are recorded when the associated aircraft are delivered by the aircraft manufacturer to the airline.</w:t>
      </w:r>
    </w:p>
    <w:p>
      <w:pPr>
        <w:pStyle w:val="TextBody"/>
        <w:jc w:val="left"/>
        <w:rPr/>
      </w:pPr>
      <w:r>
        <w:rPr/>
        <w:t>      </w:t>
      </w:r>
      <w:r>
        <w:rPr>
          <w:rFonts w:ascii="Arial" w:hAnsi="Arial"/>
          <w:b/>
          <w:i/>
        </w:rPr>
        <w:t>Research and Development—</w:t>
      </w:r>
      <w:r>
        <w:rPr>
          <w:rFonts w:ascii="Arial" w:hAnsi="Arial"/>
        </w:rPr>
        <w:t>Research and development costs for company-sponsored research and development projects are expensed as incurred. Such costs are principally included in Cost of Products Sold and were $1,411, $1,072 and $917 million in 2006, 2005 and 2004, respectively.</w:t>
      </w:r>
    </w:p>
    <w:p>
      <w:pPr>
        <w:pStyle w:val="TextBody"/>
        <w:jc w:val="left"/>
        <w:rPr/>
      </w:pPr>
      <w:r>
        <w:rPr/>
        <w:t>      </w:t>
      </w:r>
      <w:r>
        <w:rPr>
          <w:rFonts w:ascii="Arial" w:hAnsi="Arial"/>
          <w:b/>
          <w:i/>
        </w:rPr>
        <w:t>Stock-Based Compensation Plans—</w:t>
      </w:r>
      <w:r>
        <w:rPr>
          <w:rFonts w:ascii="Arial" w:hAnsi="Arial"/>
        </w:rPr>
        <w:t>Effective January 1, 2006, we adopted SFAS No. 123 (revised 2004), “Share-Based Payment” (SFAS No. 123R) requiring that compensation cost relating to share-based payment awards made to employees and directors be recognized in the financial statements. The principal awards issued under our stock-based compensation plans, which are described in Note 20, “Stock-Based Compensation Plans” include non-qualified stock options and restricted stock units (RSUs). The cost for such awards is measured at the grant date based on the calculated fair value of the award. The value of the portion of the award that is ultimately expected to vest is recognized as expense over the requisite service periods (generally the vesting period of the equity award) in our Consolidated Statement of Operations.</w:t>
      </w:r>
    </w:p>
    <w:p>
      <w:pPr>
        <w:pStyle w:val="TextBody"/>
        <w:jc w:val="left"/>
        <w:rPr/>
      </w:pPr>
      <w:r>
        <w:rPr/>
        <w:t>      </w:t>
      </w:r>
      <w:r>
        <w:rPr>
          <w:rFonts w:ascii="Arial" w:hAnsi="Arial"/>
        </w:rPr>
        <w:t>Prior to January 1, 2006, we accounted for share-based compensation cost using the intrinsic value method in accordance with Accounting Principles Board No. 25, “Accounting for Stock Issued to Employees” (APB No. 25), and related interpretations. We also followed disclosure requirements of SFAS No. 123, “Accounting for Stock-Based Compensation”, as amended by SFAS No. 148, “Accounting for Stock-Based Compensation-Transition and Disclosure”. Under APB No. 25 there was no compensation cost recognized in our Consolidated Statement of Operations for our stock option awards. Compensation cost for RSUs is recognized in our Consolidated Statement of Operations and is included in selling, general and administrative expenses, and was not affected by our adoption of FAS No. 123R.</w:t>
      </w:r>
    </w:p>
    <w:p>
      <w:pPr>
        <w:pStyle w:val="TextBody"/>
        <w:jc w:val="left"/>
        <w:rPr/>
      </w:pPr>
      <w:r>
        <w:rPr/>
        <w:t>      </w:t>
      </w:r>
      <w:r>
        <w:rPr>
          <w:rFonts w:ascii="Arial" w:hAnsi="Arial"/>
        </w:rPr>
        <w:t>We adopted SFAS No. 123R using the modified prospective method and, accordingly, the Consolidated Statement of Operations for prior years has not been restated to reflect the fair value method of recognizing compensation cost relating to stock options. Share-based compensation cost relating to stock options recognized in 2006 is based on the value of the portion of the award that is ultimately expected to vest. SFAS No. 123R requires forfeitures to be estimated at the time of grant in</w:t>
      </w:r>
    </w:p>
    <w:p>
      <w:pPr>
        <w:pStyle w:val="TextBody"/>
        <w:jc w:val="center"/>
        <w:rPr>
          <w:rFonts w:ascii="Arial" w:hAnsi="Arial"/>
        </w:rPr>
      </w:pPr>
      <w:r>
        <w:rPr>
          <w:rFonts w:ascii="Arial" w:hAnsi="Arial"/>
        </w:rPr>
        <w:t>51</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order to estimate the portion of the award that will ultimately vest. The estimate is based on our historical rates of forfeiture. In our pro forma information required under SFAS No. 123 for the years prior to 2006, we accounted for forfeitures as they occurred.</w:t>
      </w:r>
    </w:p>
    <w:p>
      <w:pPr>
        <w:pStyle w:val="TextBody"/>
        <w:jc w:val="left"/>
        <w:rPr/>
      </w:pPr>
      <w:r>
        <w:rPr/>
        <w:t>      </w:t>
      </w:r>
      <w:r>
        <w:rPr>
          <w:rFonts w:ascii="Arial" w:hAnsi="Arial"/>
        </w:rPr>
        <w:t>Compensation cost related to stock options recognized in operating results (included in selling, general and administrative expenses) under SFAS No. 123R in 2006 was $77 million on a pre-tax basis and the associated future income tax benefit recognized was $28 million. Compensation cost related to stock options recognized in our Consolidated Statement of Operations in 2006 includes (1) compensation cost for stock option awards granted prior to, but not yet vested as of December 31, 2005, based on the grant-date fair value estimated in accordance with the pro forma provisions of SFAS No. 123 and (2) compensation cost for stock option awards granted subsequent to December 31, 2005, based on the grant-date fair value estimated in accordance with the provisions of SFAS No. 123R.</w:t>
      </w:r>
    </w:p>
    <w:p>
      <w:pPr>
        <w:pStyle w:val="TextBody"/>
        <w:jc w:val="left"/>
        <w:rPr/>
      </w:pPr>
      <w:r>
        <w:rPr/>
        <w:t>      </w:t>
      </w:r>
      <w:r>
        <w:rPr>
          <w:rFonts w:ascii="Arial" w:hAnsi="Arial"/>
        </w:rPr>
        <w:t>The following table illustrates the effect on net income and earnings per share as if we had applied the fair value recognition provisions of SFAS No. 123 in the years prior to the adoption of FAS No. 123R.</w:t>
      </w:r>
    </w:p>
    <w:tbl>
      <w:tblPr>
        <w:tblW w:w="5000" w:type="pct"/>
        <w:jc w:val="left"/>
        <w:tblInd w:w="0" w:type="dxa"/>
        <w:tblCellMar>
          <w:top w:w="0" w:type="dxa"/>
          <w:left w:w="0" w:type="dxa"/>
          <w:bottom w:w="0" w:type="dxa"/>
          <w:right w:w="0" w:type="dxa"/>
        </w:tblCellMar>
      </w:tblPr>
      <w:tblGrid>
        <w:gridCol w:w="7744"/>
        <w:gridCol w:w="360"/>
        <w:gridCol w:w="155"/>
        <w:gridCol w:w="620"/>
        <w:gridCol w:w="95"/>
        <w:gridCol w:w="360"/>
        <w:gridCol w:w="155"/>
        <w:gridCol w:w="620"/>
        <w:gridCol w:w="96"/>
      </w:tblGrid>
      <w:tr>
        <w:trPr/>
        <w:tc>
          <w:tcPr>
            <w:tcW w:w="7744"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87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87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7744" w:type="dxa"/>
            <w:tcBorders/>
            <w:shd w:fill="E5FFFF" w:val="clear"/>
            <w:vAlign w:val="bottom"/>
          </w:tcPr>
          <w:p>
            <w:pPr>
              <w:pStyle w:val="TableContents"/>
              <w:spacing w:before="0" w:after="283"/>
              <w:jc w:val="left"/>
              <w:rPr>
                <w:rFonts w:ascii="Arial" w:hAnsi="Arial"/>
              </w:rPr>
            </w:pPr>
            <w:r>
              <w:rPr>
                <w:rFonts w:ascii="Arial" w:hAnsi="Arial"/>
              </w:rPr>
              <w:t>Net income, as reported</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1,638</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1,246</w:t>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bottom"/>
          </w:tcPr>
          <w:p>
            <w:pPr>
              <w:pStyle w:val="TableContents"/>
              <w:spacing w:before="0" w:after="283"/>
              <w:jc w:val="left"/>
              <w:rPr>
                <w:rFonts w:ascii="Arial" w:hAnsi="Arial"/>
              </w:rPr>
            </w:pPr>
            <w:r>
              <w:rPr>
                <w:rFonts w:ascii="Arial" w:hAnsi="Arial"/>
              </w:rPr>
              <w:t xml:space="preserve">Deduct: Total stock-based employee compensation cost determined under fair </w:t>
              <w:br/>
              <w:t>value method for fixed stock option plans, net of related tax effects</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(53</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(42</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7744"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bottom"/>
          </w:tcPr>
          <w:p>
            <w:pPr>
              <w:pStyle w:val="TableContents"/>
              <w:spacing w:before="0" w:after="283"/>
              <w:jc w:val="left"/>
              <w:rPr>
                <w:rFonts w:ascii="Arial" w:hAnsi="Arial"/>
              </w:rPr>
            </w:pPr>
            <w:r>
              <w:rPr>
                <w:rFonts w:ascii="Arial" w:hAnsi="Arial"/>
              </w:rPr>
              <w:t>Pro forma net income</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1,585</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1,204</w:t>
            </w:r>
          </w:p>
        </w:tc>
        <w:tc>
          <w:tcPr>
            <w:tcW w:w="96" w:type="dxa"/>
            <w:tcBorders/>
            <w:shd w:fill="FFFFFF" w:val="clear"/>
            <w:vAlign w:val="center"/>
          </w:tcPr>
          <w:p>
            <w:pPr>
              <w:pStyle w:val="TableContents"/>
              <w:spacing w:before="0" w:after="283"/>
              <w:rPr/>
            </w:pPr>
            <w:r>
              <w:rPr/>
              <w:t> </w:t>
            </w:r>
          </w:p>
        </w:tc>
      </w:tr>
      <w:tr>
        <w:trPr/>
        <w:tc>
          <w:tcPr>
            <w:tcW w:w="7744"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bottom"/>
          </w:tcPr>
          <w:p>
            <w:pPr>
              <w:pStyle w:val="TableContents"/>
              <w:spacing w:before="0" w:after="283"/>
              <w:jc w:val="left"/>
              <w:rPr>
                <w:rFonts w:ascii="Arial" w:hAnsi="Arial"/>
              </w:rPr>
            </w:pPr>
            <w:r>
              <w:rPr>
                <w:rFonts w:ascii="Arial" w:hAnsi="Arial"/>
              </w:rPr>
              <w:t>Earnings per share of common stock:</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r>
        <w:trPr/>
        <w:tc>
          <w:tcPr>
            <w:tcW w:w="7744" w:type="dxa"/>
            <w:tcBorders/>
            <w:shd w:fill="E5FFFF" w:val="clear"/>
            <w:vAlign w:val="bottom"/>
          </w:tcPr>
          <w:p>
            <w:pPr>
              <w:pStyle w:val="TableContents"/>
              <w:spacing w:before="0" w:after="283"/>
              <w:jc w:val="left"/>
              <w:rPr>
                <w:rFonts w:ascii="Arial" w:hAnsi="Arial"/>
              </w:rPr>
            </w:pPr>
            <w:r>
              <w:rPr>
                <w:rFonts w:ascii="Arial" w:hAnsi="Arial"/>
              </w:rPr>
              <w:t>Basic—as reported</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1.93</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1.45</w:t>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7744" w:type="dxa"/>
            <w:tcBorders/>
            <w:shd w:fill="E5FFFF" w:val="clear"/>
            <w:vAlign w:val="bottom"/>
          </w:tcPr>
          <w:p>
            <w:pPr>
              <w:pStyle w:val="TableContents"/>
              <w:spacing w:before="0" w:after="283"/>
              <w:jc w:val="left"/>
              <w:rPr>
                <w:rFonts w:ascii="Arial" w:hAnsi="Arial"/>
              </w:rPr>
            </w:pPr>
            <w:r>
              <w:rPr>
                <w:rFonts w:ascii="Arial" w:hAnsi="Arial"/>
              </w:rPr>
              <w:t>Basic—pro forma</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1.87</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1.40</w:t>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7744" w:type="dxa"/>
            <w:tcBorders/>
            <w:shd w:fill="E5FFFF" w:val="clear"/>
            <w:vAlign w:val="bottom"/>
          </w:tcPr>
          <w:p>
            <w:pPr>
              <w:pStyle w:val="TableContents"/>
              <w:spacing w:before="0" w:after="283"/>
              <w:jc w:val="left"/>
              <w:rPr>
                <w:rFonts w:ascii="Arial" w:hAnsi="Arial"/>
              </w:rPr>
            </w:pPr>
            <w:r>
              <w:rPr>
                <w:rFonts w:ascii="Arial" w:hAnsi="Arial"/>
              </w:rPr>
              <w:t>Earnings per share of common stock:</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bottom"/>
          </w:tcPr>
          <w:p>
            <w:pPr>
              <w:pStyle w:val="TableContents"/>
              <w:spacing w:before="0" w:after="283"/>
              <w:jc w:val="left"/>
              <w:rPr>
                <w:rFonts w:ascii="Arial" w:hAnsi="Arial"/>
              </w:rPr>
            </w:pPr>
            <w:r>
              <w:rPr>
                <w:rFonts w:ascii="Arial" w:hAnsi="Arial"/>
              </w:rPr>
              <w:t>Assuming dilution—as reported</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1.92</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1.45</w:t>
            </w:r>
          </w:p>
        </w:tc>
        <w:tc>
          <w:tcPr>
            <w:tcW w:w="96" w:type="dxa"/>
            <w:tcBorders/>
            <w:shd w:fill="FFFFFF" w:val="clear"/>
            <w:vAlign w:val="center"/>
          </w:tcPr>
          <w:p>
            <w:pPr>
              <w:pStyle w:val="TableContents"/>
              <w:spacing w:before="0" w:after="283"/>
              <w:rPr/>
            </w:pPr>
            <w:r>
              <w:rPr/>
              <w:t> </w:t>
            </w:r>
          </w:p>
        </w:tc>
      </w:tr>
      <w:tr>
        <w:trPr/>
        <w:tc>
          <w:tcPr>
            <w:tcW w:w="7744"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bottom"/>
          </w:tcPr>
          <w:p>
            <w:pPr>
              <w:pStyle w:val="TableContents"/>
              <w:spacing w:before="0" w:after="283"/>
              <w:jc w:val="left"/>
              <w:rPr>
                <w:rFonts w:ascii="Arial" w:hAnsi="Arial"/>
              </w:rPr>
            </w:pPr>
            <w:r>
              <w:rPr>
                <w:rFonts w:ascii="Arial" w:hAnsi="Arial"/>
              </w:rPr>
              <w:t>Assuming dilution—pro forma</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1.86</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1.40</w:t>
            </w:r>
          </w:p>
        </w:tc>
        <w:tc>
          <w:tcPr>
            <w:tcW w:w="96" w:type="dxa"/>
            <w:tcBorders/>
            <w:shd w:fill="FFFFFF" w:val="clear"/>
            <w:vAlign w:val="center"/>
          </w:tcPr>
          <w:p>
            <w:pPr>
              <w:pStyle w:val="TableContents"/>
              <w:spacing w:before="0" w:after="283"/>
              <w:rPr/>
            </w:pPr>
            <w:r>
              <w:rPr/>
              <w:t> </w:t>
            </w:r>
          </w:p>
        </w:tc>
      </w:tr>
      <w:tr>
        <w:trPr/>
        <w:tc>
          <w:tcPr>
            <w:tcW w:w="7744"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7744" w:type="dxa"/>
            <w:tcBorders/>
            <w:shd w:fill="FFFFFF" w:val="clear"/>
            <w:vAlign w:val="bottom"/>
          </w:tcPr>
          <w:p>
            <w:pPr>
              <w:pStyle w:val="TableContents"/>
              <w:spacing w:before="0" w:after="283"/>
              <w:rPr>
                <w:sz w:val="4"/>
                <w:szCs w:val="4"/>
              </w:rPr>
            </w:pPr>
            <w:r>
              <w:rPr>
                <w:sz w:val="4"/>
                <w:szCs w:val="4"/>
              </w:rPr>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following table sets forth fair value per share information, including related assumptions, used to determine compensation cost consistent with the requirements of SFAS No. 123.</w:t>
      </w:r>
    </w:p>
    <w:tbl>
      <w:tblPr>
        <w:tblW w:w="5000" w:type="pct"/>
        <w:jc w:val="left"/>
        <w:tblInd w:w="0" w:type="dxa"/>
        <w:tblCellMar>
          <w:top w:w="0" w:type="dxa"/>
          <w:left w:w="0" w:type="dxa"/>
          <w:bottom w:w="0" w:type="dxa"/>
          <w:right w:w="0" w:type="dxa"/>
        </w:tblCellMar>
      </w:tblPr>
      <w:tblGrid>
        <w:gridCol w:w="359"/>
        <w:gridCol w:w="7115"/>
        <w:gridCol w:w="360"/>
        <w:gridCol w:w="155"/>
        <w:gridCol w:w="620"/>
        <w:gridCol w:w="230"/>
        <w:gridCol w:w="360"/>
        <w:gridCol w:w="155"/>
        <w:gridCol w:w="620"/>
        <w:gridCol w:w="231"/>
      </w:tblGrid>
      <w:tr>
        <w:trPr/>
        <w:tc>
          <w:tcPr>
            <w:tcW w:w="359" w:type="dxa"/>
            <w:tcBorders/>
            <w:shd w:fill="FFFFFF" w:val="clear"/>
            <w:vAlign w:val="center"/>
          </w:tcPr>
          <w:p>
            <w:pPr>
              <w:pStyle w:val="TableContents"/>
              <w:spacing w:before="0" w:after="283"/>
              <w:rPr/>
            </w:pPr>
            <w:r>
              <w:rPr/>
              <w:t> </w:t>
            </w:r>
          </w:p>
        </w:tc>
        <w:tc>
          <w:tcPr>
            <w:tcW w:w="711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00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1006"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359" w:type="dxa"/>
            <w:tcBorders/>
            <w:shd w:fill="FFFFFF" w:val="clear"/>
            <w:vAlign w:val="bottom"/>
          </w:tcPr>
          <w:p>
            <w:pPr>
              <w:pStyle w:val="TableContents"/>
              <w:spacing w:before="0" w:after="283"/>
              <w:jc w:val="left"/>
              <w:rPr/>
            </w:pPr>
            <w:r>
              <w:rPr/>
              <w:t>      </w:t>
            </w:r>
          </w:p>
        </w:tc>
        <w:tc>
          <w:tcPr>
            <w:tcW w:w="7115" w:type="dxa"/>
            <w:tcBorders/>
            <w:shd w:fill="FFFFFF" w:val="clear"/>
            <w:vAlign w:val="bottom"/>
          </w:tcPr>
          <w:p>
            <w:pPr>
              <w:pStyle w:val="TableContents"/>
              <w:spacing w:before="0" w:after="283"/>
              <w:jc w:val="left"/>
              <w:rPr>
                <w:rFonts w:ascii="Arial" w:hAnsi="Arial"/>
              </w:rPr>
            </w:pPr>
            <w:r>
              <w:rPr>
                <w:rFonts w:ascii="Arial" w:hAnsi="Arial"/>
              </w:rPr>
              <w:t>Weighted average fair value per share of options granted during the year(1)</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10.67</w:t>
            </w:r>
          </w:p>
        </w:tc>
        <w:tc>
          <w:tcPr>
            <w:tcW w:w="230"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10.97</w:t>
            </w:r>
          </w:p>
        </w:tc>
        <w:tc>
          <w:tcPr>
            <w:tcW w:w="231"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7115" w:type="dxa"/>
            <w:tcBorders/>
            <w:shd w:fill="E5FFFF" w:val="clear"/>
            <w:vAlign w:val="bottom"/>
          </w:tcPr>
          <w:p>
            <w:pPr>
              <w:pStyle w:val="TableContents"/>
              <w:spacing w:before="0" w:after="283"/>
              <w:jc w:val="left"/>
              <w:rPr>
                <w:rFonts w:ascii="Arial" w:hAnsi="Arial"/>
              </w:rPr>
            </w:pPr>
            <w:r>
              <w:rPr>
                <w:rFonts w:ascii="Arial" w:hAnsi="Arial"/>
              </w:rPr>
              <w:t>Assumptions:</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230"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231"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7115" w:type="dxa"/>
            <w:tcBorders/>
            <w:shd w:fill="FFFFFF" w:val="clear"/>
            <w:vAlign w:val="bottom"/>
          </w:tcPr>
          <w:p>
            <w:pPr>
              <w:pStyle w:val="TableContents"/>
              <w:spacing w:before="0" w:after="283"/>
              <w:jc w:val="left"/>
              <w:rPr>
                <w:rFonts w:ascii="Arial" w:hAnsi="Arial"/>
              </w:rPr>
            </w:pPr>
            <w:r>
              <w:rPr>
                <w:rFonts w:ascii="Arial" w:hAnsi="Arial"/>
              </w:rPr>
              <w:t>Expected annual dividend yield</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2.4</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2.1</w:t>
            </w:r>
          </w:p>
        </w:tc>
        <w:tc>
          <w:tcPr>
            <w:tcW w:w="23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E5FFFF" w:val="clear"/>
            <w:vAlign w:val="bottom"/>
          </w:tcPr>
          <w:p>
            <w:pPr>
              <w:pStyle w:val="TableContents"/>
              <w:spacing w:before="0" w:after="283"/>
              <w:jc w:val="left"/>
              <w:rPr/>
            </w:pPr>
            <w:r>
              <w:rPr/>
              <w:t>      </w:t>
            </w:r>
          </w:p>
        </w:tc>
        <w:tc>
          <w:tcPr>
            <w:tcW w:w="7115" w:type="dxa"/>
            <w:tcBorders/>
            <w:shd w:fill="E5FFFF" w:val="clear"/>
            <w:vAlign w:val="bottom"/>
          </w:tcPr>
          <w:p>
            <w:pPr>
              <w:pStyle w:val="TableContents"/>
              <w:spacing w:before="0" w:after="283"/>
              <w:jc w:val="left"/>
              <w:rPr>
                <w:rFonts w:ascii="Arial" w:hAnsi="Arial"/>
              </w:rPr>
            </w:pPr>
            <w:r>
              <w:rPr>
                <w:rFonts w:ascii="Arial" w:hAnsi="Arial"/>
              </w:rPr>
              <w:t>Expected volatility</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34.8</w:t>
            </w:r>
          </w:p>
        </w:tc>
        <w:tc>
          <w:tcPr>
            <w:tcW w:w="230" w:type="dxa"/>
            <w:tcBorders/>
            <w:shd w:fill="E5FFFF" w:val="clear"/>
            <w:vAlign w:val="bottom"/>
          </w:tcPr>
          <w:p>
            <w:pPr>
              <w:pStyle w:val="TableContents"/>
              <w:spacing w:before="0" w:after="283"/>
              <w:jc w:val="left"/>
              <w:rPr>
                <w:rFonts w:ascii="Arial" w:hAnsi="Arial"/>
              </w:rPr>
            </w:pPr>
            <w:r>
              <w:rPr>
                <w:rFonts w:ascii="Arial" w:hAnsi="Arial"/>
              </w:rPr>
              <w:t>%</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37.9</w:t>
            </w:r>
          </w:p>
        </w:tc>
        <w:tc>
          <w:tcPr>
            <w:tcW w:w="23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FFFFFF" w:val="clear"/>
            <w:vAlign w:val="bottom"/>
          </w:tcPr>
          <w:p>
            <w:pPr>
              <w:pStyle w:val="TableContents"/>
              <w:spacing w:before="0" w:after="283"/>
              <w:jc w:val="left"/>
              <w:rPr/>
            </w:pPr>
            <w:r>
              <w:rPr/>
              <w:t>      </w:t>
            </w:r>
          </w:p>
        </w:tc>
        <w:tc>
          <w:tcPr>
            <w:tcW w:w="7115" w:type="dxa"/>
            <w:tcBorders/>
            <w:shd w:fill="FFFFFF" w:val="clear"/>
            <w:vAlign w:val="bottom"/>
          </w:tcPr>
          <w:p>
            <w:pPr>
              <w:pStyle w:val="TableContents"/>
              <w:spacing w:before="0" w:after="283"/>
              <w:jc w:val="left"/>
              <w:rPr>
                <w:rFonts w:ascii="Arial" w:hAnsi="Arial"/>
              </w:rPr>
            </w:pPr>
            <w:r>
              <w:rPr>
                <w:rFonts w:ascii="Arial" w:hAnsi="Arial"/>
              </w:rPr>
              <w:t>Risk-free rate of return</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3.7</w:t>
            </w:r>
          </w:p>
        </w:tc>
        <w:tc>
          <w:tcPr>
            <w:tcW w:w="230"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3.3</w:t>
            </w:r>
          </w:p>
        </w:tc>
        <w:tc>
          <w:tcPr>
            <w:tcW w:w="23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E5FFFF" w:val="clear"/>
            <w:vAlign w:val="bottom"/>
          </w:tcPr>
          <w:p>
            <w:pPr>
              <w:pStyle w:val="TableContents"/>
              <w:spacing w:before="0" w:after="283"/>
              <w:jc w:val="left"/>
              <w:rPr/>
            </w:pPr>
            <w:r>
              <w:rPr/>
              <w:t>      </w:t>
            </w:r>
          </w:p>
        </w:tc>
        <w:tc>
          <w:tcPr>
            <w:tcW w:w="7115" w:type="dxa"/>
            <w:tcBorders/>
            <w:shd w:fill="E5FFFF" w:val="clear"/>
            <w:vAlign w:val="bottom"/>
          </w:tcPr>
          <w:p>
            <w:pPr>
              <w:pStyle w:val="TableContents"/>
              <w:spacing w:before="0" w:after="283"/>
              <w:jc w:val="left"/>
              <w:rPr>
                <w:rFonts w:ascii="Arial" w:hAnsi="Arial"/>
              </w:rPr>
            </w:pPr>
            <w:r>
              <w:rPr>
                <w:rFonts w:ascii="Arial" w:hAnsi="Arial"/>
              </w:rPr>
              <w:t>Expected option term (years)</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5.0</w:t>
            </w:r>
          </w:p>
        </w:tc>
        <w:tc>
          <w:tcPr>
            <w:tcW w:w="230"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5.0</w:t>
            </w:r>
          </w:p>
        </w:tc>
        <w:tc>
          <w:tcPr>
            <w:tcW w:w="231"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7115" w:type="dxa"/>
            <w:tcBorders/>
            <w:shd w:fill="FFFFFF" w:val="clear"/>
            <w:vAlign w:val="bottom"/>
          </w:tcPr>
          <w:p>
            <w:pPr>
              <w:pStyle w:val="TableContents"/>
              <w:spacing w:before="0" w:after="283"/>
              <w:rPr>
                <w:sz w:val="4"/>
                <w:szCs w:val="4"/>
              </w:rPr>
            </w:pPr>
            <w:r>
              <w:rPr>
                <w:sz w:val="4"/>
                <w:szCs w:val="4"/>
              </w:rPr>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7825" w:type="dxa"/>
        <w:jc w:val="left"/>
        <w:tblInd w:w="0" w:type="dxa"/>
        <w:tblCellMar>
          <w:top w:w="0" w:type="dxa"/>
          <w:left w:w="0" w:type="dxa"/>
          <w:bottom w:w="0" w:type="dxa"/>
          <w:right w:w="0" w:type="dxa"/>
        </w:tblCellMar>
      </w:tblPr>
      <w:tblGrid>
        <w:gridCol w:w="305"/>
        <w:gridCol w:w="180"/>
        <w:gridCol w:w="7340"/>
      </w:tblGrid>
      <w:tr>
        <w:trPr/>
        <w:tc>
          <w:tcPr>
            <w:tcW w:w="305"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7340" w:type="dxa"/>
            <w:tcBorders/>
            <w:shd w:fill="FFFFFF" w:val="clear"/>
            <w:vAlign w:val="center"/>
          </w:tcPr>
          <w:p>
            <w:pPr>
              <w:pStyle w:val="TableContents"/>
              <w:spacing w:before="0" w:after="283"/>
              <w:rPr/>
            </w:pPr>
            <w:r>
              <w:rPr/>
              <w:t> </w:t>
            </w:r>
          </w:p>
        </w:tc>
      </w:tr>
      <w:tr>
        <w:trPr/>
        <w:tc>
          <w:tcPr>
            <w:tcW w:w="305"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7340" w:type="dxa"/>
            <w:tcBorders/>
            <w:shd w:fill="FFFFFF" w:val="clear"/>
            <w:vAlign w:val="bottom"/>
          </w:tcPr>
          <w:p>
            <w:pPr>
              <w:pStyle w:val="TableContents"/>
              <w:spacing w:before="0" w:after="283"/>
              <w:jc w:val="left"/>
              <w:rPr>
                <w:rFonts w:ascii="Arial" w:hAnsi="Arial"/>
              </w:rPr>
            </w:pPr>
            <w:r>
              <w:rPr>
                <w:rFonts w:ascii="Arial" w:hAnsi="Arial"/>
              </w:rPr>
              <w:t>Estimated on date of grant using Black-Scholes option-pricing model.</w:t>
            </w:r>
          </w:p>
        </w:tc>
      </w:tr>
    </w:tbl>
    <w:p>
      <w:pPr>
        <w:pStyle w:val="TextBody"/>
        <w:jc w:val="left"/>
        <w:rPr/>
      </w:pPr>
      <w:r>
        <w:rPr/>
        <w:t>      </w:t>
      </w:r>
      <w:r>
        <w:rPr>
          <w:rFonts w:ascii="Arial" w:hAnsi="Arial"/>
          <w:b/>
          <w:i/>
        </w:rPr>
        <w:t>Foreign Currency Translation—</w:t>
      </w:r>
      <w:r>
        <w:rPr>
          <w:rFonts w:ascii="Arial" w:hAnsi="Arial"/>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Nonowner Changes in Shareowners' Equity. For subsidiaries operating in highly inflationary environments, inventories and property, plant and equipment, including related expenses, are remeasured at the exchange rate in effect on the date the assets were acquired, while monetary</w:t>
      </w:r>
    </w:p>
    <w:p>
      <w:pPr>
        <w:pStyle w:val="TextBody"/>
        <w:jc w:val="center"/>
        <w:rPr>
          <w:rFonts w:ascii="Arial" w:hAnsi="Arial"/>
        </w:rPr>
      </w:pPr>
      <w:r>
        <w:rPr>
          <w:rFonts w:ascii="Arial" w:hAnsi="Arial"/>
        </w:rPr>
        <w:t>52</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assets and liabilities are remeasured at year-end exchange rates. Remeasurement adjustments for these subsidiaries are included in earnings.</w:t>
      </w:r>
    </w:p>
    <w:p>
      <w:pPr>
        <w:pStyle w:val="TextBody"/>
        <w:jc w:val="left"/>
        <w:rPr/>
      </w:pPr>
      <w:r>
        <w:rPr/>
        <w:t>      </w:t>
      </w:r>
      <w:r>
        <w:rPr>
          <w:rFonts w:ascii="Arial" w:hAnsi="Arial"/>
          <w:b/>
          <w:i/>
        </w:rPr>
        <w:t>Derivative Financial Instruments—</w:t>
      </w:r>
      <w:r>
        <w:rPr>
          <w:rFonts w:ascii="Arial" w:hAnsi="Arial"/>
        </w:rPr>
        <w:t>As a result of our global operating and financing activities, we are exposed to market risks 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used for hedging purposes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pStyle w:val="TextBody"/>
        <w:jc w:val="left"/>
        <w:rPr/>
      </w:pPr>
      <w:r>
        <w:rPr/>
        <w:t>      </w:t>
      </w:r>
      <w:r>
        <w:rPr>
          <w:rFonts w:ascii="Arial" w:hAnsi="Arial"/>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w:t>
      </w:r>
    </w:p>
    <w:p>
      <w:pPr>
        <w:pStyle w:val="TextBody"/>
        <w:jc w:val="left"/>
        <w:rPr/>
      </w:pPr>
      <w:r>
        <w:rPr/>
        <w:t>      </w:t>
      </w:r>
      <w:r>
        <w:rPr>
          <w:rFonts w:ascii="Arial" w:hAnsi="Arial"/>
          <w:b/>
          <w:i/>
        </w:rPr>
        <w:t>Transfers of Financial Instruments—</w:t>
      </w:r>
      <w:r>
        <w:rPr>
          <w:rFonts w:ascii="Arial" w:hAnsi="Arial"/>
        </w:rPr>
        <w:t>Sales, transfers and securitization of financial instruments are accounted for under Statement of Financial Accounting Standards No. 140, “Accounting for Transfers and Servicing of Financial Assets and Extinguishments of Liabilities”. We sell interests in designated pools of trade accounts receivables to third parties. The receivables are removed from the Consolidated Balance Sheet at the time they are sold. The value assigned to our subordinated interests and undivided interests retained in trade receivables sold is based on the relative fair values of the interests retained and sold. The carrying value of the retained interests approximates fair value due to the short-term nature of the collection period for the receivables.</w:t>
      </w:r>
    </w:p>
    <w:p>
      <w:pPr>
        <w:pStyle w:val="TextBody"/>
        <w:jc w:val="left"/>
        <w:rPr/>
      </w:pPr>
      <w:r>
        <w:rPr/>
        <w:t>      </w:t>
      </w:r>
      <w:r>
        <w:rPr>
          <w:rFonts w:ascii="Arial" w:hAnsi="Arial"/>
          <w:b/>
          <w:i/>
        </w:rPr>
        <w:t>Income Taxes—</w:t>
      </w:r>
      <w:r>
        <w:rPr>
          <w:rFonts w:ascii="Arial" w:hAnsi="Arial"/>
        </w:rPr>
        <w:t>Deferred tax liabilities or assets reflect temporary differences between amounts of assets and liabilities for financial and tax reporting. Such amounts are adjusted, as appropriate, to reflect changes in tax rates expected to be in effect when the temporary differences reverse. A valuation allowance is established to offset any deferred tax assets if, based upon the available evidence, it is more likely than not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and (3) the impact of tax planning strategies.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pStyle w:val="TextBody"/>
        <w:jc w:val="left"/>
        <w:rPr/>
      </w:pPr>
      <w:r>
        <w:rPr/>
        <w:t>      </w:t>
      </w:r>
      <w:r>
        <w:rPr>
          <w:rFonts w:ascii="Arial" w:hAnsi="Arial"/>
        </w:rPr>
        <w:t>Significant judgment is required in determining income tax provisions under Statement of Financial Accounting Standards No. 109 “Accounting for Income Taxes” (SFAS No. 109) and in evaluating tax positions. We establish additional provisions for income taxes when, despite the belief that tax positions are fully supportable, there remain certain positions that are likely to be challenged and that may not be sustained on review by tax authorities.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w:t>
      </w:r>
    </w:p>
    <w:p>
      <w:pPr>
        <w:pStyle w:val="TextBody"/>
        <w:jc w:val="center"/>
        <w:rPr>
          <w:rFonts w:ascii="Arial" w:hAnsi="Arial"/>
        </w:rPr>
      </w:pPr>
      <w:r>
        <w:rPr>
          <w:rFonts w:ascii="Arial" w:hAnsi="Arial"/>
        </w:rPr>
        <w:t>53</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and amount of potential adjustments and adjust the income tax provision, the current tax liability and deferred taxes in the period in which the facts that give rise to a revision become known.</w:t>
      </w:r>
    </w:p>
    <w:p>
      <w:pPr>
        <w:pStyle w:val="TextBody"/>
        <w:jc w:val="left"/>
        <w:rPr/>
      </w:pPr>
      <w:r>
        <w:rPr/>
        <w:t>      </w:t>
      </w:r>
      <w:r>
        <w:rPr>
          <w:rFonts w:ascii="Arial" w:hAnsi="Arial"/>
          <w:b/>
          <w:i/>
        </w:rPr>
        <w:t>Earnings Per Share—</w:t>
      </w:r>
      <w:r>
        <w:rPr>
          <w:rFonts w:ascii="Arial" w:hAnsi="Arial"/>
        </w:rPr>
        <w:t>Basic earnings per share is based on the weighted average number of common shares outstanding. Diluted earnings per share is based on the weighted average number of common shares outstanding and all dilutive potential common shares outstanding.</w:t>
      </w:r>
    </w:p>
    <w:p>
      <w:pPr>
        <w:pStyle w:val="TextBody"/>
        <w:jc w:val="left"/>
        <w:rPr/>
      </w:pPr>
      <w:r>
        <w:rPr/>
        <w:t>      </w:t>
      </w:r>
      <w:r>
        <w:rPr>
          <w:rFonts w:ascii="Arial" w:hAnsi="Arial"/>
          <w:b/>
          <w:i/>
        </w:rPr>
        <w:t>Use of Estimates—</w:t>
      </w:r>
      <w:r>
        <w:rPr>
          <w:rFonts w:ascii="Arial" w:hAnsi="Arial"/>
        </w:rPr>
        <w:t>The preparation of consolidated financial statements in conformity with generally accepted accounting principles requires management to make estimates and assumptions that affect the reported amounts in the financial statements and related disclosures in the accompanying notes. Actual results could differ from those estimates. Estimates and assumptions are periodically reviewed and the effects of revisions are reflected in the consolidated financial statements in the period they are determined to be necessary.</w:t>
      </w:r>
    </w:p>
    <w:p>
      <w:pPr>
        <w:pStyle w:val="TextBody"/>
        <w:jc w:val="left"/>
        <w:rPr/>
      </w:pPr>
      <w:r>
        <w:rPr/>
        <w:t>      </w:t>
      </w:r>
      <w:r>
        <w:rPr>
          <w:rFonts w:ascii="Arial" w:hAnsi="Arial"/>
          <w:b/>
          <w:i/>
        </w:rPr>
        <w:t>Reclassifications—</w:t>
      </w:r>
      <w:r>
        <w:rPr>
          <w:rFonts w:ascii="Arial" w:hAnsi="Arial"/>
        </w:rPr>
        <w:t>Certain prior year amounts have been reclassified to conform to the current year presentation.</w:t>
      </w:r>
    </w:p>
    <w:p>
      <w:pPr>
        <w:pStyle w:val="TextBody"/>
        <w:jc w:val="left"/>
        <w:rPr/>
      </w:pPr>
      <w:r>
        <w:rPr/>
        <w:t>      </w:t>
      </w:r>
      <w:r>
        <w:rPr>
          <w:rFonts w:ascii="Arial" w:hAnsi="Arial"/>
          <w:b/>
          <w:i/>
        </w:rPr>
        <w:t>Recent Accounting Pronouncements—</w:t>
      </w:r>
      <w:r>
        <w:rPr>
          <w:rFonts w:ascii="Arial" w:hAnsi="Arial"/>
        </w:rPr>
        <w:t>In June 2006, the FASB issued FASB Interpretation (“FIN”) No. 48 “Accounting for Uncertainty in Income Taxes—an interpretation of FASB Statement 109”. FIN 48 establishes a single model to address accounting for uncertainty 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Honeywell will adopt FIN 48 as of January 1, 2007 as required. Based on our current assessment, and subject to any changes that may result from additional technical guidance being issued, the adoption of FIN 48 is expected to reduce our existing reserves for uncertain tax positions by approximately $130 million, to be recorded as a cumulative effect adjustment to equity, largely relating to state income tax matters.</w:t>
      </w:r>
    </w:p>
    <w:p>
      <w:pPr>
        <w:pStyle w:val="TextBody"/>
        <w:jc w:val="left"/>
        <w:rPr/>
      </w:pPr>
      <w:r>
        <w:rPr/>
        <w:t>      </w:t>
      </w:r>
      <w:r>
        <w:rPr>
          <w:rFonts w:ascii="Arial" w:hAnsi="Arial"/>
        </w:rPr>
        <w:t>In September 2006, the FASB issued SFAS No. 157, “Fair Value Measurements” (SFAS No. 157). SFAS No. 157 establishes a common definition for fair value to be applied to US GAAP requiring use of fair value, establishes a framework for measuring fair value, and expands disclosure about such fair value measurements. SFAS No. 157 is effective for fiscal years beginning after November 15, 2007. The Company is currently assessing the impact of SFAS No. 157 on its consolidated financial position and results of operations.</w:t>
      </w:r>
    </w:p>
    <w:p>
      <w:pPr>
        <w:pStyle w:val="TextBody"/>
        <w:jc w:val="left"/>
        <w:rPr/>
      </w:pPr>
      <w:r>
        <w:rPr/>
        <w:t>      </w:t>
      </w:r>
      <w:r>
        <w:rPr>
          <w:rFonts w:ascii="Arial" w:hAnsi="Arial"/>
        </w:rPr>
        <w:t>In September 2006, the FASB issued SFAS No. 158, “Employers' Accounting for Defined Benefit Pension and Other Postretirement Plans” (SFAS No. 158). SFAS No. 158 requires that employers recognize on a prospective basis the funded status of their defined benefit pension and other postretirement benefit plans on their consolidated balance sheet and recognize as a component of other comprehensive income (loss), net of tax, the gains or losses and prior service costs or credits that arise during the period but are not recognized as components of net periodic benefit cost. We adopted SFAS No. 158 as of December 31, 2006. See Note 22—Pensions and Other Postretirement Benefits for additional disclosures required by SFAS No. 158 and the effects of adoption.</w:t>
      </w:r>
    </w:p>
    <w:p>
      <w:pPr>
        <w:pStyle w:val="TextBody"/>
        <w:jc w:val="left"/>
        <w:rPr/>
      </w:pPr>
      <w:r>
        <w:rPr/>
        <w:t>      </w:t>
      </w:r>
      <w:r>
        <w:rPr>
          <w:rFonts w:ascii="Arial" w:hAnsi="Arial"/>
        </w:rPr>
        <w:t>In February, 2007, the FASB issued SFAS No. 159 “The Fair Value Option for Financial Assets and Financial Liabilities (SFAS No. 159). SFAS No. 159 permits entities to choose to measure many financial assets and financial liabilities at fair value. Unrealized gains and losses on items for which the fair value option has been elected are reported in earnings. SFAS No. 159 is effective for fiscal years beginning after November 15, 2007. The Company is currently assessing the impact of SFAS No. 159 on its consolidated financial position and results of operations.</w:t>
      </w:r>
    </w:p>
    <w:p>
      <w:pPr>
        <w:pStyle w:val="TextBody"/>
        <w:jc w:val="left"/>
        <w:rPr/>
      </w:pPr>
      <w:r>
        <w:rPr/>
        <w:t>      </w:t>
      </w:r>
      <w:r>
        <w:rPr>
          <w:rFonts w:ascii="Arial" w:hAnsi="Arial"/>
        </w:rPr>
        <w:t>In September 2006, the FASB issued FASB Staff Position (“FSP”) AUG AIR-1 “Accounting for Planned Major Maintenance Activities” (FSP AUG AIR-1). FSP AUG AIR-1 amends the guidance on</w:t>
      </w:r>
    </w:p>
    <w:p>
      <w:pPr>
        <w:pStyle w:val="TextBody"/>
        <w:jc w:val="center"/>
        <w:rPr>
          <w:rFonts w:ascii="Arial" w:hAnsi="Arial"/>
        </w:rPr>
      </w:pPr>
      <w:r>
        <w:rPr>
          <w:rFonts w:ascii="Arial" w:hAnsi="Arial"/>
        </w:rPr>
        <w:t>54</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the accounting for planned major maintenance activities; specifically it precludes the use of the previously acceptable “accrue in advance” method. FSP AUG AIR-1 is effective for fiscal years beginning after December 15, 2006. The implementation of this standard will not have a material impact on our consolidated financial position or results of operations.</w:t>
      </w:r>
    </w:p>
    <w:p>
      <w:pPr>
        <w:pStyle w:val="TextBody"/>
        <w:jc w:val="left"/>
        <w:rPr/>
      </w:pPr>
      <w:r>
        <w:rPr/>
        <w:t>      </w:t>
      </w:r>
      <w:r>
        <w:rPr>
          <w:rFonts w:ascii="Arial" w:hAnsi="Arial"/>
        </w:rPr>
        <w:t>In September 2006, the SEC staff issued Staff Accounting Bulletin (“SAB”) 108 “Considering the Effects of Prior Year Misstatements when Quantifying Misstatements in Current Year Financial Statements” (SAB 108). SAB 108 requires that public companies utilize a “dual-approach” to assessing the quantitative effects of financial misstatements. This dual approach includes both an income statement focused assessment and a balance sheet focused assessment. The guidance in SAB 108 must be applied to annual financial statements for fiscal years ending after November 15, 2006. The adoption of SAB 108 did not have a material effect on our consolidated financial position or results of operations.</w:t>
      </w:r>
    </w:p>
    <w:p>
      <w:pPr>
        <w:pStyle w:val="TextBody"/>
        <w:jc w:val="left"/>
        <w:rPr>
          <w:rFonts w:ascii="Arial" w:hAnsi="Arial"/>
          <w:b/>
        </w:rPr>
      </w:pPr>
      <w:r>
        <w:rPr>
          <w:rFonts w:ascii="Arial" w:hAnsi="Arial"/>
          <w:b/>
        </w:rPr>
        <w:t>Note 2—Acquisitions and Divestitures</w:t>
      </w:r>
    </w:p>
    <w:p>
      <w:pPr>
        <w:pStyle w:val="TextBody"/>
        <w:jc w:val="left"/>
        <w:rPr/>
      </w:pPr>
      <w:r>
        <w:rPr/>
        <w:t>      </w:t>
      </w:r>
      <w:r>
        <w:rPr>
          <w:rFonts w:ascii="Arial" w:hAnsi="Arial"/>
        </w:rPr>
        <w:t>We acquired businesses for an aggregate cost of $979, $3,500 and $396 million in 2006, 2005 and 2004, respectively. All of our acquisitions were accounted for under the purchase method of accounting, and accordingly, the assets and liabilities of the acquired businesses were recorded at their estimated fair values at the dates of acquisition. Significant acquisitions made in these years are discussed below.</w:t>
      </w:r>
    </w:p>
    <w:p>
      <w:pPr>
        <w:pStyle w:val="TextBody"/>
        <w:jc w:val="left"/>
        <w:rPr/>
      </w:pPr>
      <w:r>
        <w:rPr/>
        <w:t>      </w:t>
      </w:r>
      <w:r>
        <w:rPr>
          <w:rFonts w:ascii="Arial" w:hAnsi="Arial"/>
        </w:rPr>
        <w:t>In May 2006, the Company purchased Gardiner Groupe, a privately held company. The purchase price for the acquisition was allocated to the tangible and identifiable intangible assets acquired and liabilities assumed based on their estimated fair values and lives at the acquisition date. The Company has assigned $47 million to identifiable intangible assets, predominantly customer relationships and trademarks. These intangible assets are being amortized over their estimated lives which range from 3 to 15 years using straight-line and accelerated amortization periods. The excess of the purchase price over the estimated fair values of net assets acquired approximating $129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2006 are included in the Automation and Control Solutions segment and were not material to the consolidated financial statements.</w:t>
      </w:r>
    </w:p>
    <w:p>
      <w:pPr>
        <w:pStyle w:val="TextBody"/>
        <w:jc w:val="left"/>
        <w:rPr/>
      </w:pPr>
      <w:r>
        <w:rPr/>
        <w:t>      </w:t>
      </w:r>
      <w:r>
        <w:rPr>
          <w:rFonts w:ascii="Arial" w:hAnsi="Arial"/>
        </w:rPr>
        <w:t>In March 2006, the Company purchased First Technology plc, a U.K publicly listed company. The aggregate value of the purchase price was $723 million, including the assumption of approximately $217 million of outstanding debt and $23 million of transaction costs. The purchase price for the acquisition was allocated to the tangible and identifiable intangible assets acquired and liabilities assumed based on their estimated fair values at the acquisition date. The Company has assigned $155 million to identifiable intangible assets, predominantly customer relationships, existing technology and trademarks. These intangible assets are being amortized over their estimated lives which range from 3 to 15 years using straight-line and accelerated amortization periods. The excess of the purchase price over the estimated fair values of net assets acquired approximating $439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2006 are included in the Automation and Control Solutions segment and were not material to the consolidated financial statements. During the year the Company completed the sales of the First Technology Safety &amp; Analysis business for $93 million and First Technology Automotive for $90 million which were accounted for as part of the purchase price allocation.</w:t>
      </w:r>
    </w:p>
    <w:p>
      <w:pPr>
        <w:pStyle w:val="TextBody"/>
        <w:jc w:val="center"/>
        <w:rPr>
          <w:rFonts w:ascii="Arial" w:hAnsi="Arial"/>
        </w:rPr>
      </w:pPr>
      <w:r>
        <w:rPr>
          <w:rFonts w:ascii="Arial" w:hAnsi="Arial"/>
        </w:rPr>
        <w:t>55</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In November 2005, the Company acquired the remaining 50 percent of UOP LLC giving Honeywell full ownership of the entity. The aggregate value of the purchase price was approximately $825 million, including the assumption of approximately $115 million of outstanding debt. The purchase price for the acquisition was allocated to the tangible and identifiable intangible assets acquired and liabilities assumed based on their estimated fair values at the acquisition date. The Company has assigned $339 million to identifiable intangible assets, predominantly existing technology, which is being amortized over 15 years on a straight-line basis and trade names, which are not amortized. The excess of the purchase price over the estimated fair values of net assets acquired approximating $336 million, was recorded as goodwill. This goodwill is non-deductible for tax purposes. Following this acquisition, which is being accounted for by the purchase method, results of operations have been included into the Specialty Materials segment. Prior to that date, UOP results for the 50 percent share that the Company owned was included in equity income of affiliated companies.</w:t>
      </w:r>
    </w:p>
    <w:p>
      <w:pPr>
        <w:pStyle w:val="TextBody"/>
        <w:jc w:val="left"/>
        <w:rPr/>
      </w:pPr>
      <w:r>
        <w:rPr/>
        <w:t>      </w:t>
      </w:r>
      <w:r>
        <w:rPr>
          <w:rFonts w:ascii="Arial" w:hAnsi="Arial"/>
        </w:rPr>
        <w:t>On March 31, 2005, the Company purchased 100% of the issued and ordinary preference share capital of NOVAR plc (NOVAR) for $1.7 billion, net of cash acquired, which represented $2.4 billion for consideration of all outstanding shares and outstanding options to be exercised, net of the assumption of debt of $0.7 billion. Transaction costs related to this acquisition were $49 million. In December 2005, we completed the sale of the Security Printing business to M&amp;F Worldwide Corp. for $800 million in cash. In February 2006, we completed the sale of Indalex to an affiliate of private investment firm Sun Capital Partners, Inc. for approximately $425 million in cash. The Indalex business was classified as held for sale in our December 31, 2005 Consolidated Balance Sheet and both the Indalex and Security Printing businesses have been presented as discontinued operations in our Statement of Operations for all periods presented. Goodwill of approximately $1.3 billion was recognized and we allocated $261 million to other intangible assets (contractual customer relationships, existing technology and trademarks). These intangible assets are being amortized over their estimated useful lives which range from 5 to 15 years using straight-line and accelerated amortization methods. In addition, accrued liabilities included $76 million of restructuring costs related to the integration of the NOVAR operations.</w:t>
      </w:r>
    </w:p>
    <w:p>
      <w:pPr>
        <w:pStyle w:val="TextBody"/>
        <w:jc w:val="left"/>
        <w:rPr/>
      </w:pPr>
      <w:r>
        <w:rPr/>
        <w:t>      </w:t>
      </w:r>
      <w:r>
        <w:rPr>
          <w:rFonts w:ascii="Arial" w:hAnsi="Arial"/>
        </w:rPr>
        <w:t>As of December 31, 2006, the purchase accounting for both First Technology and Gardiner Groupe is still subject to final adjustment primarily for amounts related to the businesses that were sold and pre-acquisition contingencies.</w:t>
      </w:r>
    </w:p>
    <w:p>
      <w:pPr>
        <w:pStyle w:val="TextBody"/>
        <w:jc w:val="left"/>
        <w:rPr/>
      </w:pPr>
      <w:r>
        <w:rPr/>
        <w:t>      </w:t>
      </w:r>
      <w:r>
        <w:rPr>
          <w:rFonts w:ascii="Arial" w:hAnsi="Arial"/>
        </w:rPr>
        <w:t>In connection with all acquisitions in 2006, 2005 and 2004, except for the First Technology and NOVAR acquisitions as described above, the amounts recorded for transaction costs and the costs of integrating the acquired businesses into Honeywell were not material. The results of operations of all acquired businesses have been included in the consolidated results of Honeywell from their respective acquisition dates.</w:t>
      </w:r>
    </w:p>
    <w:p>
      <w:pPr>
        <w:pStyle w:val="TextBody"/>
        <w:jc w:val="left"/>
        <w:rPr/>
      </w:pPr>
      <w:r>
        <w:rPr/>
        <w:t>      </w:t>
      </w:r>
      <w:r>
        <w:rPr>
          <w:rFonts w:ascii="Arial" w:hAnsi="Arial"/>
        </w:rPr>
        <w:t>The pro forma results for 2006, 2005 and 2004, assuming these acquisitions had been made at the beginning of the year, would not be materially different from consolidated reported results.</w:t>
      </w:r>
    </w:p>
    <w:p>
      <w:pPr>
        <w:pStyle w:val="TextBody"/>
        <w:jc w:val="center"/>
        <w:rPr>
          <w:rFonts w:ascii="Arial" w:hAnsi="Arial"/>
        </w:rPr>
      </w:pPr>
      <w:r>
        <w:rPr>
          <w:rFonts w:ascii="Arial" w:hAnsi="Arial"/>
        </w:rPr>
        <w:t>56</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Note 3—Repositioning and Other Charges</w:t>
      </w:r>
    </w:p>
    <w:p>
      <w:pPr>
        <w:pStyle w:val="TextBody"/>
        <w:jc w:val="left"/>
        <w:rPr/>
      </w:pPr>
      <w:r>
        <w:rPr/>
        <w:t>      </w:t>
      </w:r>
      <w:r>
        <w:rPr>
          <w:rFonts w:ascii="Arial" w:hAnsi="Arial"/>
        </w:rPr>
        <w:t>A summary of repositioning and other charges follows:</w:t>
      </w:r>
    </w:p>
    <w:tbl>
      <w:tblPr>
        <w:tblW w:w="5000" w:type="pct"/>
        <w:jc w:val="left"/>
        <w:tblInd w:w="0" w:type="dxa"/>
        <w:tblCellMar>
          <w:top w:w="0" w:type="dxa"/>
          <w:left w:w="0" w:type="dxa"/>
          <w:bottom w:w="0" w:type="dxa"/>
          <w:right w:w="0" w:type="dxa"/>
        </w:tblCellMar>
      </w:tblPr>
      <w:tblGrid>
        <w:gridCol w:w="4651"/>
        <w:gridCol w:w="272"/>
        <w:gridCol w:w="197"/>
        <w:gridCol w:w="1095"/>
        <w:gridCol w:w="143"/>
        <w:gridCol w:w="485"/>
        <w:gridCol w:w="197"/>
        <w:gridCol w:w="1095"/>
        <w:gridCol w:w="143"/>
        <w:gridCol w:w="485"/>
        <w:gridCol w:w="197"/>
        <w:gridCol w:w="1095"/>
        <w:gridCol w:w="150"/>
      </w:tblGrid>
      <w:tr>
        <w:trPr/>
        <w:tc>
          <w:tcPr>
            <w:tcW w:w="4651"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5282"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651"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43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43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44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651" w:type="dxa"/>
            <w:tcBorders/>
            <w:shd w:fill="E5FFFF" w:val="clear"/>
            <w:vAlign w:val="bottom"/>
          </w:tcPr>
          <w:p>
            <w:pPr>
              <w:pStyle w:val="TableContents"/>
              <w:spacing w:before="0" w:after="283"/>
              <w:jc w:val="left"/>
              <w:rPr>
                <w:rFonts w:ascii="Arial" w:hAnsi="Arial"/>
              </w:rPr>
            </w:pPr>
            <w:r>
              <w:rPr>
                <w:rFonts w:ascii="Arial" w:hAnsi="Arial"/>
              </w:rPr>
              <w:t>Severance</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102</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248</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85</w:t>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bottom"/>
          </w:tcPr>
          <w:p>
            <w:pPr>
              <w:pStyle w:val="TableContents"/>
              <w:spacing w:before="0" w:after="283"/>
              <w:jc w:val="left"/>
              <w:rPr>
                <w:rFonts w:ascii="Arial" w:hAnsi="Arial"/>
              </w:rPr>
            </w:pPr>
            <w:r>
              <w:rPr>
                <w:rFonts w:ascii="Arial" w:hAnsi="Arial"/>
              </w:rPr>
              <w:t>Asset impairments</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15</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5</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21</w:t>
            </w:r>
          </w:p>
        </w:tc>
        <w:tc>
          <w:tcPr>
            <w:tcW w:w="150" w:type="dxa"/>
            <w:tcBorders/>
            <w:shd w:fill="FFFFFF" w:val="clear"/>
            <w:vAlign w:val="center"/>
          </w:tcPr>
          <w:p>
            <w:pPr>
              <w:pStyle w:val="TableContents"/>
              <w:spacing w:before="0" w:after="283"/>
              <w:rPr/>
            </w:pPr>
            <w:r>
              <w:rPr/>
              <w:t> </w:t>
            </w:r>
          </w:p>
        </w:tc>
      </w:tr>
      <w:tr>
        <w:trPr/>
        <w:tc>
          <w:tcPr>
            <w:tcW w:w="4651" w:type="dxa"/>
            <w:tcBorders/>
            <w:shd w:fill="E5FFFF" w:val="clear"/>
            <w:vAlign w:val="bottom"/>
          </w:tcPr>
          <w:p>
            <w:pPr>
              <w:pStyle w:val="TableContents"/>
              <w:spacing w:before="0" w:after="283"/>
              <w:jc w:val="left"/>
              <w:rPr>
                <w:rFonts w:ascii="Arial" w:hAnsi="Arial"/>
              </w:rPr>
            </w:pPr>
            <w:r>
              <w:rPr>
                <w:rFonts w:ascii="Arial" w:hAnsi="Arial"/>
              </w:rPr>
              <w:t>Exit costs</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7</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14</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10</w:t>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bottom"/>
          </w:tcPr>
          <w:p>
            <w:pPr>
              <w:pStyle w:val="TableContents"/>
              <w:spacing w:before="0" w:after="283"/>
              <w:jc w:val="left"/>
              <w:rPr>
                <w:rFonts w:ascii="Arial" w:hAnsi="Arial"/>
              </w:rPr>
            </w:pPr>
            <w:r>
              <w:rPr>
                <w:rFonts w:ascii="Arial" w:hAnsi="Arial"/>
              </w:rPr>
              <w:t>Reserve adjustments</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(22</w:t>
            </w:r>
          </w:p>
        </w:tc>
        <w:tc>
          <w:tcPr>
            <w:tcW w:w="143"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(25</w:t>
            </w:r>
          </w:p>
        </w:tc>
        <w:tc>
          <w:tcPr>
            <w:tcW w:w="143"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(28</w:t>
            </w:r>
          </w:p>
        </w:tc>
        <w:tc>
          <w:tcPr>
            <w:tcW w:w="15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651" w:type="dxa"/>
            <w:tcBorders/>
            <w:shd w:fill="E5FFFF" w:val="clear"/>
            <w:vAlign w:val="center"/>
          </w:tcPr>
          <w:p>
            <w:pPr>
              <w:pStyle w:val="TableContents"/>
              <w:spacing w:before="0" w:after="283"/>
              <w:rPr/>
            </w:pPr>
            <w:r>
              <w:rPr/>
              <w:t> </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HorizontalLine"/>
              <w:pBdr>
                <w:bottom w:val="single" w:sz="6" w:space="0" w:color="000000"/>
              </w:pBdr>
              <w:spacing w:before="0" w:after="283"/>
              <w:rPr/>
            </w:pPr>
            <w:r>
              <w:rPr/>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HorizontalLine"/>
              <w:pBdr>
                <w:bottom w:val="single" w:sz="6" w:space="0" w:color="000000"/>
              </w:pBdr>
              <w:spacing w:before="0" w:after="283"/>
              <w:rPr/>
            </w:pPr>
            <w:r>
              <w:rPr/>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HorizontalLine"/>
              <w:pBdr>
                <w:bottom w:val="single" w:sz="6" w:space="0" w:color="000000"/>
              </w:pBdr>
              <w:spacing w:before="0" w:after="283"/>
              <w:rPr/>
            </w:pPr>
            <w:r>
              <w:rPr/>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bottom"/>
          </w:tcPr>
          <w:p>
            <w:pPr>
              <w:pStyle w:val="TableContents"/>
              <w:spacing w:before="0" w:after="283"/>
              <w:jc w:val="left"/>
              <w:rPr>
                <w:rFonts w:ascii="Arial" w:hAnsi="Arial"/>
              </w:rPr>
            </w:pPr>
            <w:r>
              <w:rPr>
                <w:rFonts w:ascii="Arial" w:hAnsi="Arial"/>
              </w:rPr>
              <w:t>Total net repositioning charge</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102</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242</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88</w:t>
            </w:r>
          </w:p>
        </w:tc>
        <w:tc>
          <w:tcPr>
            <w:tcW w:w="150" w:type="dxa"/>
            <w:tcBorders/>
            <w:shd w:fill="FFFFFF" w:val="clear"/>
            <w:vAlign w:val="center"/>
          </w:tcPr>
          <w:p>
            <w:pPr>
              <w:pStyle w:val="TableContents"/>
              <w:spacing w:before="0" w:after="283"/>
              <w:rPr/>
            </w:pPr>
            <w:r>
              <w:rPr/>
              <w:t> </w:t>
            </w:r>
          </w:p>
        </w:tc>
      </w:tr>
      <w:tr>
        <w:trPr/>
        <w:tc>
          <w:tcPr>
            <w:tcW w:w="4651" w:type="dxa"/>
            <w:tcBorders/>
            <w:shd w:fill="E5FFFF" w:val="clear"/>
            <w:vAlign w:val="bottom"/>
          </w:tcPr>
          <w:p>
            <w:pPr>
              <w:pStyle w:val="TableContents"/>
              <w:spacing w:before="0" w:after="283"/>
              <w:jc w:val="left"/>
              <w:rPr>
                <w:rFonts w:ascii="Arial" w:hAnsi="Arial"/>
              </w:rPr>
            </w:pPr>
            <w:r>
              <w:rPr>
                <w:rFonts w:ascii="Arial" w:hAnsi="Arial"/>
              </w:rPr>
              <w:t>Asbestos related litigation charges, net of insurance</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126</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10</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76</w:t>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bottom"/>
          </w:tcPr>
          <w:p>
            <w:pPr>
              <w:pStyle w:val="TableContents"/>
              <w:spacing w:before="0" w:after="283"/>
              <w:jc w:val="left"/>
              <w:rPr>
                <w:rFonts w:ascii="Arial" w:hAnsi="Arial"/>
              </w:rPr>
            </w:pPr>
            <w:r>
              <w:rPr>
                <w:rFonts w:ascii="Arial" w:hAnsi="Arial"/>
              </w:rPr>
              <w:t>Probable and reasonably estimable environmental liabilities</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210</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186</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536</w:t>
            </w:r>
          </w:p>
        </w:tc>
        <w:tc>
          <w:tcPr>
            <w:tcW w:w="150" w:type="dxa"/>
            <w:tcBorders/>
            <w:shd w:fill="FFFFFF" w:val="clear"/>
            <w:vAlign w:val="center"/>
          </w:tcPr>
          <w:p>
            <w:pPr>
              <w:pStyle w:val="TableContents"/>
              <w:spacing w:before="0" w:after="283"/>
              <w:rPr/>
            </w:pPr>
            <w:r>
              <w:rPr/>
              <w:t> </w:t>
            </w:r>
          </w:p>
        </w:tc>
      </w:tr>
      <w:tr>
        <w:trPr/>
        <w:tc>
          <w:tcPr>
            <w:tcW w:w="4651" w:type="dxa"/>
            <w:tcBorders/>
            <w:shd w:fill="E5FFFF" w:val="clear"/>
            <w:vAlign w:val="bottom"/>
          </w:tcPr>
          <w:p>
            <w:pPr>
              <w:pStyle w:val="TableContents"/>
              <w:spacing w:before="0" w:after="283"/>
              <w:jc w:val="left"/>
              <w:rPr>
                <w:rFonts w:ascii="Arial" w:hAnsi="Arial"/>
              </w:rPr>
            </w:pPr>
            <w:r>
              <w:rPr>
                <w:rFonts w:ascii="Arial" w:hAnsi="Arial"/>
              </w:rPr>
              <w:t>Business impairment charges</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12</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23</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42</w:t>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bottom"/>
          </w:tcPr>
          <w:p>
            <w:pPr>
              <w:pStyle w:val="TableContents"/>
              <w:spacing w:before="0" w:after="283"/>
              <w:jc w:val="left"/>
              <w:rPr>
                <w:rFonts w:ascii="Arial" w:hAnsi="Arial"/>
              </w:rPr>
            </w:pPr>
            <w:r>
              <w:rPr>
                <w:rFonts w:ascii="Arial" w:hAnsi="Arial"/>
              </w:rPr>
              <w:t>Arbitration award related to phenol supply agreement</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(18</w:t>
            </w:r>
          </w:p>
        </w:tc>
        <w:tc>
          <w:tcPr>
            <w:tcW w:w="143"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(67</w:t>
            </w:r>
          </w:p>
        </w:tc>
        <w:tc>
          <w:tcPr>
            <w:tcW w:w="143" w:type="dxa"/>
            <w:tcBorders/>
            <w:shd w:fill="FFFFFF" w:val="clear"/>
            <w:vAlign w:val="bottom"/>
          </w:tcPr>
          <w:p>
            <w:pPr>
              <w:pStyle w:val="TableContents"/>
              <w:spacing w:before="0" w:after="283"/>
              <w:jc w:val="left"/>
              <w:rPr>
                <w:rFonts w:ascii="Arial" w:hAnsi="Arial"/>
              </w:rPr>
            </w:pPr>
            <w:r>
              <w:rPr>
                <w:rFonts w:ascii="Arial" w:hAnsi="Arial"/>
              </w:rPr>
              <w:t>)</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pPr>
            <w:r>
              <w:rPr/>
              <w:t>—</w:t>
            </w:r>
          </w:p>
        </w:tc>
        <w:tc>
          <w:tcPr>
            <w:tcW w:w="150" w:type="dxa"/>
            <w:tcBorders/>
            <w:shd w:fill="FFFFFF" w:val="clear"/>
            <w:vAlign w:val="center"/>
          </w:tcPr>
          <w:p>
            <w:pPr>
              <w:pStyle w:val="TableContents"/>
              <w:spacing w:before="0" w:after="283"/>
              <w:rPr/>
            </w:pPr>
            <w:r>
              <w:rPr/>
              <w:t> </w:t>
            </w:r>
          </w:p>
        </w:tc>
      </w:tr>
      <w:tr>
        <w:trPr/>
        <w:tc>
          <w:tcPr>
            <w:tcW w:w="4651" w:type="dxa"/>
            <w:tcBorders/>
            <w:shd w:fill="E5FFFF" w:val="clear"/>
            <w:vAlign w:val="bottom"/>
          </w:tcPr>
          <w:p>
            <w:pPr>
              <w:pStyle w:val="TableContents"/>
              <w:spacing w:before="0" w:after="283"/>
              <w:jc w:val="left"/>
              <w:rPr>
                <w:rFonts w:ascii="Arial" w:hAnsi="Arial"/>
              </w:rPr>
            </w:pPr>
            <w:r>
              <w:rPr>
                <w:rFonts w:ascii="Arial" w:hAnsi="Arial"/>
              </w:rPr>
              <w:t>Other</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51</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18</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33</w:t>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6" w:space="0" w:color="000000"/>
              </w:pBdr>
              <w:spacing w:before="0" w:after="283"/>
              <w:rPr/>
            </w:pPr>
            <w:r>
              <w:rPr/>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6" w:space="0" w:color="000000"/>
              </w:pBdr>
              <w:spacing w:before="0" w:after="283"/>
              <w:rPr/>
            </w:pPr>
            <w:r>
              <w:rPr/>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6" w:space="0" w:color="000000"/>
              </w:pBdr>
              <w:spacing w:before="0" w:after="283"/>
              <w:rPr/>
            </w:pPr>
            <w:r>
              <w:rPr/>
            </w:r>
          </w:p>
        </w:tc>
        <w:tc>
          <w:tcPr>
            <w:tcW w:w="150" w:type="dxa"/>
            <w:tcBorders/>
            <w:shd w:fill="FFFFFF" w:val="clear"/>
            <w:vAlign w:val="center"/>
          </w:tcPr>
          <w:p>
            <w:pPr>
              <w:pStyle w:val="TableContents"/>
              <w:spacing w:before="0" w:after="283"/>
              <w:rPr/>
            </w:pPr>
            <w:r>
              <w:rPr/>
              <w:t> </w:t>
            </w:r>
          </w:p>
        </w:tc>
      </w:tr>
      <w:tr>
        <w:trPr/>
        <w:tc>
          <w:tcPr>
            <w:tcW w:w="4651" w:type="dxa"/>
            <w:tcBorders/>
            <w:shd w:fill="E5FFFF" w:val="clear"/>
            <w:vAlign w:val="bottom"/>
          </w:tcPr>
          <w:p>
            <w:pPr>
              <w:pStyle w:val="TableContents"/>
              <w:spacing w:before="0" w:after="283"/>
              <w:jc w:val="left"/>
              <w:rPr>
                <w:rFonts w:ascii="Arial" w:hAnsi="Arial"/>
              </w:rPr>
            </w:pPr>
            <w:r>
              <w:rPr>
                <w:rFonts w:ascii="Arial" w:hAnsi="Arial"/>
              </w:rPr>
              <w:t>Total net repositioning and other charges</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483</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412</w:t>
            </w:r>
          </w:p>
        </w:tc>
        <w:tc>
          <w:tcPr>
            <w:tcW w:w="14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775</w:t>
            </w:r>
          </w:p>
        </w:tc>
        <w:tc>
          <w:tcPr>
            <w:tcW w:w="150" w:type="dxa"/>
            <w:tcBorders/>
            <w:shd w:fill="E5FFFF" w:val="clear"/>
            <w:vAlign w:val="center"/>
          </w:tcPr>
          <w:p>
            <w:pPr>
              <w:pStyle w:val="TableContents"/>
              <w:spacing w:before="0" w:after="283"/>
              <w:rPr/>
            </w:pPr>
            <w:r>
              <w:rPr/>
              <w:t> </w:t>
            </w:r>
          </w:p>
        </w:tc>
      </w:tr>
      <w:tr>
        <w:trPr/>
        <w:tc>
          <w:tcPr>
            <w:tcW w:w="4651"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18" w:space="0" w:color="000000"/>
              </w:pBdr>
              <w:spacing w:before="0" w:after="283"/>
              <w:rPr/>
            </w:pPr>
            <w:r>
              <w:rPr/>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18" w:space="0" w:color="000000"/>
              </w:pBdr>
              <w:spacing w:before="0" w:after="283"/>
              <w:rPr/>
            </w:pPr>
            <w:r>
              <w:rPr/>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18" w:space="0" w:color="000000"/>
              </w:pBdr>
              <w:spacing w:before="0" w:after="283"/>
              <w:rPr/>
            </w:pPr>
            <w:r>
              <w:rPr/>
            </w:r>
          </w:p>
        </w:tc>
        <w:tc>
          <w:tcPr>
            <w:tcW w:w="150" w:type="dxa"/>
            <w:tcBorders/>
            <w:shd w:fill="FFFFFF" w:val="clear"/>
            <w:vAlign w:val="center"/>
          </w:tcPr>
          <w:p>
            <w:pPr>
              <w:pStyle w:val="TableContents"/>
              <w:spacing w:before="0" w:after="283"/>
              <w:rPr/>
            </w:pPr>
            <w:r>
              <w:rPr/>
              <w:t> </w:t>
            </w:r>
          </w:p>
        </w:tc>
      </w:tr>
      <w:tr>
        <w:trPr/>
        <w:tc>
          <w:tcPr>
            <w:tcW w:w="4651" w:type="dxa"/>
            <w:tcBorders/>
            <w:shd w:fill="FFFFFF" w:val="clear"/>
            <w:vAlign w:val="bottom"/>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following table summarizes the pretax distribution of total net repositioning and other charges by income statement classification.</w:t>
      </w:r>
    </w:p>
    <w:tbl>
      <w:tblPr>
        <w:tblW w:w="5000" w:type="pct"/>
        <w:jc w:val="left"/>
        <w:tblInd w:w="0" w:type="dxa"/>
        <w:tblCellMar>
          <w:top w:w="0" w:type="dxa"/>
          <w:left w:w="0" w:type="dxa"/>
          <w:bottom w:w="0" w:type="dxa"/>
          <w:right w:w="0" w:type="dxa"/>
        </w:tblCellMar>
      </w:tblPr>
      <w:tblGrid>
        <w:gridCol w:w="4697"/>
        <w:gridCol w:w="272"/>
        <w:gridCol w:w="197"/>
        <w:gridCol w:w="1110"/>
        <w:gridCol w:w="114"/>
        <w:gridCol w:w="483"/>
        <w:gridCol w:w="197"/>
        <w:gridCol w:w="1110"/>
        <w:gridCol w:w="114"/>
        <w:gridCol w:w="483"/>
        <w:gridCol w:w="197"/>
        <w:gridCol w:w="1110"/>
        <w:gridCol w:w="121"/>
      </w:tblGrid>
      <w:tr>
        <w:trPr/>
        <w:tc>
          <w:tcPr>
            <w:tcW w:w="4697"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5236"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697"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421"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3" w:type="dxa"/>
            <w:tcBorders/>
            <w:shd w:fill="FFFFFF" w:val="clear"/>
            <w:vAlign w:val="center"/>
          </w:tcPr>
          <w:p>
            <w:pPr>
              <w:pStyle w:val="TableContents"/>
              <w:spacing w:before="0" w:after="283"/>
              <w:rPr/>
            </w:pPr>
            <w:r>
              <w:rPr/>
              <w:t> </w:t>
            </w:r>
          </w:p>
        </w:tc>
        <w:tc>
          <w:tcPr>
            <w:tcW w:w="1421"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3" w:type="dxa"/>
            <w:tcBorders/>
            <w:shd w:fill="FFFFFF" w:val="clear"/>
            <w:vAlign w:val="center"/>
          </w:tcPr>
          <w:p>
            <w:pPr>
              <w:pStyle w:val="TableContents"/>
              <w:spacing w:before="0" w:after="283"/>
              <w:rPr/>
            </w:pPr>
            <w:r>
              <w:rPr/>
              <w:t> </w:t>
            </w:r>
          </w:p>
        </w:tc>
        <w:tc>
          <w:tcPr>
            <w:tcW w:w="1428"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697" w:type="dxa"/>
            <w:tcBorders/>
            <w:shd w:fill="E5FFFF" w:val="clear"/>
            <w:vAlign w:val="bottom"/>
          </w:tcPr>
          <w:p>
            <w:pPr>
              <w:pStyle w:val="TableContents"/>
              <w:spacing w:before="0" w:after="283"/>
              <w:jc w:val="left"/>
              <w:rPr>
                <w:rFonts w:ascii="Arial" w:hAnsi="Arial"/>
              </w:rPr>
            </w:pPr>
            <w:r>
              <w:rPr>
                <w:rFonts w:ascii="Arial" w:hAnsi="Arial"/>
              </w:rPr>
              <w:t>Cost of products and services sold</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472</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357</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739</w:t>
            </w:r>
          </w:p>
        </w:tc>
        <w:tc>
          <w:tcPr>
            <w:tcW w:w="121" w:type="dxa"/>
            <w:tcBorders/>
            <w:shd w:fill="E5FFFF" w:val="clear"/>
            <w:vAlign w:val="center"/>
          </w:tcPr>
          <w:p>
            <w:pPr>
              <w:pStyle w:val="TableContents"/>
              <w:spacing w:before="0" w:after="283"/>
              <w:rPr/>
            </w:pPr>
            <w:r>
              <w:rPr/>
              <w:t> </w:t>
            </w:r>
          </w:p>
        </w:tc>
      </w:tr>
      <w:tr>
        <w:trPr/>
        <w:tc>
          <w:tcPr>
            <w:tcW w:w="4697" w:type="dxa"/>
            <w:tcBorders/>
            <w:shd w:fill="FFFFFF" w:val="clear"/>
            <w:vAlign w:val="bottom"/>
          </w:tcPr>
          <w:p>
            <w:pPr>
              <w:pStyle w:val="TableContents"/>
              <w:spacing w:before="0" w:after="283"/>
              <w:jc w:val="left"/>
              <w:rPr>
                <w:rFonts w:ascii="Arial" w:hAnsi="Arial"/>
              </w:rPr>
            </w:pPr>
            <w:r>
              <w:rPr>
                <w:rFonts w:ascii="Arial" w:hAnsi="Arial"/>
              </w:rPr>
              <w:t>Selling, general and administrative expenses</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TableContents"/>
              <w:spacing w:before="0" w:after="283"/>
              <w:jc w:val="right"/>
              <w:rPr>
                <w:rFonts w:ascii="Arial" w:hAnsi="Arial"/>
              </w:rPr>
            </w:pPr>
            <w:r>
              <w:rPr>
                <w:rFonts w:ascii="Arial" w:hAnsi="Arial"/>
              </w:rPr>
              <w:t>11</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TableContents"/>
              <w:spacing w:before="0" w:after="283"/>
              <w:jc w:val="right"/>
              <w:rPr>
                <w:rFonts w:ascii="Arial" w:hAnsi="Arial"/>
              </w:rPr>
            </w:pPr>
            <w:r>
              <w:rPr>
                <w:rFonts w:ascii="Arial" w:hAnsi="Arial"/>
              </w:rPr>
              <w:t>43</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TableContents"/>
              <w:spacing w:before="0" w:after="283"/>
              <w:jc w:val="right"/>
              <w:rPr>
                <w:rFonts w:ascii="Arial" w:hAnsi="Arial"/>
              </w:rPr>
            </w:pPr>
            <w:r>
              <w:rPr>
                <w:rFonts w:ascii="Arial" w:hAnsi="Arial"/>
              </w:rPr>
              <w:t>25</w:t>
            </w:r>
          </w:p>
        </w:tc>
        <w:tc>
          <w:tcPr>
            <w:tcW w:w="121" w:type="dxa"/>
            <w:tcBorders/>
            <w:shd w:fill="FFFFFF" w:val="clear"/>
            <w:vAlign w:val="center"/>
          </w:tcPr>
          <w:p>
            <w:pPr>
              <w:pStyle w:val="TableContents"/>
              <w:spacing w:before="0" w:after="283"/>
              <w:rPr/>
            </w:pPr>
            <w:r>
              <w:rPr/>
              <w:t> </w:t>
            </w:r>
          </w:p>
        </w:tc>
      </w:tr>
      <w:tr>
        <w:trPr/>
        <w:tc>
          <w:tcPr>
            <w:tcW w:w="4697" w:type="dxa"/>
            <w:tcBorders/>
            <w:shd w:fill="E5FFFF" w:val="clear"/>
            <w:vAlign w:val="bottom"/>
          </w:tcPr>
          <w:p>
            <w:pPr>
              <w:pStyle w:val="TableContents"/>
              <w:spacing w:before="0" w:after="283"/>
              <w:jc w:val="left"/>
              <w:rPr>
                <w:rFonts w:ascii="Arial" w:hAnsi="Arial"/>
              </w:rPr>
            </w:pPr>
            <w:r>
              <w:rPr>
                <w:rFonts w:ascii="Arial" w:hAnsi="Arial"/>
              </w:rPr>
              <w:t>Other (income) expense</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110" w:type="dxa"/>
            <w:tcBorders/>
            <w:shd w:fill="E5FFFF" w:val="clear"/>
            <w:vAlign w:val="bottom"/>
          </w:tcPr>
          <w:p>
            <w:pPr>
              <w:pStyle w:val="TableContents"/>
              <w:spacing w:before="0" w:after="283"/>
              <w:jc w:val="right"/>
              <w:rPr/>
            </w:pPr>
            <w:r>
              <w:rPr/>
              <w:t>—</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110" w:type="dxa"/>
            <w:tcBorders/>
            <w:shd w:fill="E5FFFF" w:val="clear"/>
            <w:vAlign w:val="bottom"/>
          </w:tcPr>
          <w:p>
            <w:pPr>
              <w:pStyle w:val="TableContents"/>
              <w:spacing w:before="0" w:after="283"/>
              <w:jc w:val="right"/>
              <w:rPr>
                <w:rFonts w:ascii="Arial" w:hAnsi="Arial"/>
              </w:rPr>
            </w:pPr>
            <w:r>
              <w:rPr>
                <w:rFonts w:ascii="Arial" w:hAnsi="Arial"/>
              </w:rPr>
              <w:t>12</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110" w:type="dxa"/>
            <w:tcBorders/>
            <w:shd w:fill="E5FFFF" w:val="clear"/>
            <w:vAlign w:val="bottom"/>
          </w:tcPr>
          <w:p>
            <w:pPr>
              <w:pStyle w:val="TableContents"/>
              <w:spacing w:before="0" w:after="283"/>
              <w:jc w:val="right"/>
              <w:rPr>
                <w:rFonts w:ascii="Arial" w:hAnsi="Arial"/>
              </w:rPr>
            </w:pPr>
            <w:r>
              <w:rPr>
                <w:rFonts w:ascii="Arial" w:hAnsi="Arial"/>
              </w:rPr>
              <w:t>11</w:t>
            </w:r>
          </w:p>
        </w:tc>
        <w:tc>
          <w:tcPr>
            <w:tcW w:w="121" w:type="dxa"/>
            <w:tcBorders/>
            <w:shd w:fill="E5FFFF" w:val="clear"/>
            <w:vAlign w:val="center"/>
          </w:tcPr>
          <w:p>
            <w:pPr>
              <w:pStyle w:val="TableContents"/>
              <w:spacing w:before="0" w:after="283"/>
              <w:rPr/>
            </w:pPr>
            <w:r>
              <w:rPr/>
              <w:t> </w:t>
            </w:r>
          </w:p>
        </w:tc>
      </w:tr>
      <w:tr>
        <w:trPr/>
        <w:tc>
          <w:tcPr>
            <w:tcW w:w="4697"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HorizontalLine"/>
              <w:pBdr>
                <w:bottom w:val="single" w:sz="6"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HorizontalLine"/>
              <w:pBdr>
                <w:bottom w:val="single" w:sz="6"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HorizontalLine"/>
              <w:pBdr>
                <w:bottom w:val="single" w:sz="6" w:space="0" w:color="000000"/>
              </w:pBdr>
              <w:spacing w:before="0" w:after="283"/>
              <w:rPr/>
            </w:pPr>
            <w:r>
              <w:rPr/>
            </w:r>
          </w:p>
        </w:tc>
        <w:tc>
          <w:tcPr>
            <w:tcW w:w="121" w:type="dxa"/>
            <w:tcBorders/>
            <w:shd w:fill="FFFFFF" w:val="clear"/>
            <w:vAlign w:val="center"/>
          </w:tcPr>
          <w:p>
            <w:pPr>
              <w:pStyle w:val="TableContents"/>
              <w:spacing w:before="0" w:after="283"/>
              <w:rPr/>
            </w:pPr>
            <w:r>
              <w:rPr/>
              <w:t> </w:t>
            </w:r>
          </w:p>
        </w:tc>
      </w:tr>
      <w:tr>
        <w:trPr/>
        <w:tc>
          <w:tcPr>
            <w:tcW w:w="4697" w:type="dxa"/>
            <w:tcBorders/>
            <w:shd w:fill="E5FFFF" w:val="clear"/>
            <w:vAlign w:val="bottom"/>
          </w:tcPr>
          <w:p>
            <w:pPr>
              <w:pStyle w:val="TableContents"/>
              <w:spacing w:before="0" w:after="283"/>
              <w:rPr>
                <w:sz w:val="4"/>
                <w:szCs w:val="4"/>
              </w:rPr>
            </w:pPr>
            <w:r>
              <w:rPr>
                <w:sz w:val="4"/>
                <w:szCs w:val="4"/>
              </w:rPr>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483</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412</w:t>
            </w:r>
          </w:p>
        </w:tc>
        <w:tc>
          <w:tcPr>
            <w:tcW w:w="114" w:type="dxa"/>
            <w:tcBorders/>
            <w:shd w:fill="E5FFFF" w:val="clear"/>
            <w:vAlign w:val="center"/>
          </w:tcPr>
          <w:p>
            <w:pPr>
              <w:pStyle w:val="TableContents"/>
              <w:spacing w:before="0" w:after="283"/>
              <w:rPr/>
            </w:pPr>
            <w:r>
              <w:rPr/>
              <w:t> </w:t>
            </w:r>
          </w:p>
        </w:tc>
        <w:tc>
          <w:tcPr>
            <w:tcW w:w="483"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775</w:t>
            </w:r>
          </w:p>
        </w:tc>
        <w:tc>
          <w:tcPr>
            <w:tcW w:w="121" w:type="dxa"/>
            <w:tcBorders/>
            <w:shd w:fill="E5FFFF" w:val="clear"/>
            <w:vAlign w:val="center"/>
          </w:tcPr>
          <w:p>
            <w:pPr>
              <w:pStyle w:val="TableContents"/>
              <w:spacing w:before="0" w:after="283"/>
              <w:rPr/>
            </w:pPr>
            <w:r>
              <w:rPr/>
              <w:t> </w:t>
            </w:r>
          </w:p>
        </w:tc>
      </w:tr>
      <w:tr>
        <w:trPr/>
        <w:tc>
          <w:tcPr>
            <w:tcW w:w="4697"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HorizontalLine"/>
              <w:pBdr>
                <w:bottom w:val="single" w:sz="18"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HorizontalLine"/>
              <w:pBdr>
                <w:bottom w:val="single" w:sz="18" w:space="0" w:color="000000"/>
              </w:pBdr>
              <w:spacing w:before="0" w:after="283"/>
              <w:rPr/>
            </w:pPr>
            <w:r>
              <w:rPr/>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HorizontalLine"/>
              <w:pBdr>
                <w:bottom w:val="single" w:sz="18" w:space="0" w:color="000000"/>
              </w:pBdr>
              <w:spacing w:before="0" w:after="283"/>
              <w:rPr/>
            </w:pPr>
            <w:r>
              <w:rPr/>
            </w:r>
          </w:p>
        </w:tc>
        <w:tc>
          <w:tcPr>
            <w:tcW w:w="121" w:type="dxa"/>
            <w:tcBorders/>
            <w:shd w:fill="FFFFFF" w:val="clear"/>
            <w:vAlign w:val="center"/>
          </w:tcPr>
          <w:p>
            <w:pPr>
              <w:pStyle w:val="TableContents"/>
              <w:spacing w:before="0" w:after="283"/>
              <w:rPr/>
            </w:pPr>
            <w:r>
              <w:rPr/>
              <w:t> </w:t>
            </w:r>
          </w:p>
        </w:tc>
      </w:tr>
      <w:tr>
        <w:trPr/>
        <w:tc>
          <w:tcPr>
            <w:tcW w:w="4697" w:type="dxa"/>
            <w:tcBorders/>
            <w:shd w:fill="FFFFFF" w:val="clear"/>
            <w:vAlign w:val="bottom"/>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483"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110"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following table summarizes the pretax impact of total net repositioning and other charges by reportable segment.</w:t>
      </w:r>
    </w:p>
    <w:tbl>
      <w:tblPr>
        <w:tblW w:w="5000" w:type="pct"/>
        <w:jc w:val="left"/>
        <w:tblInd w:w="0" w:type="dxa"/>
        <w:tblCellMar>
          <w:top w:w="0" w:type="dxa"/>
          <w:left w:w="0" w:type="dxa"/>
          <w:bottom w:w="0" w:type="dxa"/>
          <w:right w:w="0" w:type="dxa"/>
        </w:tblCellMar>
      </w:tblPr>
      <w:tblGrid>
        <w:gridCol w:w="4680"/>
        <w:gridCol w:w="272"/>
        <w:gridCol w:w="197"/>
        <w:gridCol w:w="1095"/>
        <w:gridCol w:w="113"/>
        <w:gridCol w:w="485"/>
        <w:gridCol w:w="197"/>
        <w:gridCol w:w="1095"/>
        <w:gridCol w:w="144"/>
        <w:gridCol w:w="485"/>
        <w:gridCol w:w="197"/>
        <w:gridCol w:w="1094"/>
        <w:gridCol w:w="151"/>
      </w:tblGrid>
      <w:tr>
        <w:trPr/>
        <w:tc>
          <w:tcPr>
            <w:tcW w:w="4680"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5253"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680"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40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436"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85" w:type="dxa"/>
            <w:tcBorders/>
            <w:shd w:fill="FFFFFF" w:val="clear"/>
            <w:vAlign w:val="center"/>
          </w:tcPr>
          <w:p>
            <w:pPr>
              <w:pStyle w:val="TableContents"/>
              <w:spacing w:before="0" w:after="283"/>
              <w:rPr/>
            </w:pPr>
            <w:r>
              <w:rPr/>
              <w:t> </w:t>
            </w:r>
          </w:p>
        </w:tc>
        <w:tc>
          <w:tcPr>
            <w:tcW w:w="144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680" w:type="dxa"/>
            <w:tcBorders/>
            <w:shd w:fill="E5FFFF" w:val="clear"/>
            <w:vAlign w:val="bottom"/>
          </w:tcPr>
          <w:p>
            <w:pPr>
              <w:pStyle w:val="TableContents"/>
              <w:spacing w:before="0" w:after="283"/>
              <w:jc w:val="left"/>
              <w:rPr>
                <w:rFonts w:ascii="Arial" w:hAnsi="Arial"/>
              </w:rPr>
            </w:pPr>
            <w:r>
              <w:rPr>
                <w:rFonts w:ascii="Arial" w:hAnsi="Arial"/>
              </w:rPr>
              <w:t>Aerospace</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10</w:t>
            </w:r>
          </w:p>
        </w:tc>
        <w:tc>
          <w:tcPr>
            <w:tcW w:w="11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96</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4" w:type="dxa"/>
            <w:tcBorders/>
            <w:shd w:fill="E5FFFF" w:val="clear"/>
            <w:vAlign w:val="bottom"/>
          </w:tcPr>
          <w:p>
            <w:pPr>
              <w:pStyle w:val="TableContents"/>
              <w:spacing w:before="0" w:after="283"/>
              <w:jc w:val="right"/>
              <w:rPr>
                <w:rFonts w:ascii="Arial" w:hAnsi="Arial"/>
              </w:rPr>
            </w:pPr>
            <w:r>
              <w:rPr>
                <w:rFonts w:ascii="Arial" w:hAnsi="Arial"/>
              </w:rPr>
              <w:t>(5</w:t>
            </w:r>
          </w:p>
        </w:tc>
        <w:tc>
          <w:tcPr>
            <w:tcW w:w="15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680" w:type="dxa"/>
            <w:tcBorders/>
            <w:shd w:fill="FFFFFF" w:val="clear"/>
            <w:vAlign w:val="bottom"/>
          </w:tcPr>
          <w:p>
            <w:pPr>
              <w:pStyle w:val="TableContents"/>
              <w:spacing w:before="0" w:after="283"/>
              <w:jc w:val="left"/>
              <w:rPr>
                <w:rFonts w:ascii="Arial" w:hAnsi="Arial"/>
              </w:rPr>
            </w:pPr>
            <w:r>
              <w:rPr>
                <w:rFonts w:ascii="Arial" w:hAnsi="Arial"/>
              </w:rPr>
              <w:t>Automation and Control Solutions</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39</w:t>
            </w:r>
          </w:p>
        </w:tc>
        <w:tc>
          <w:tcPr>
            <w:tcW w:w="11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85</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4" w:type="dxa"/>
            <w:tcBorders/>
            <w:shd w:fill="FFFFFF" w:val="clear"/>
            <w:vAlign w:val="bottom"/>
          </w:tcPr>
          <w:p>
            <w:pPr>
              <w:pStyle w:val="TableContents"/>
              <w:spacing w:before="0" w:after="283"/>
              <w:jc w:val="right"/>
              <w:rPr>
                <w:rFonts w:ascii="Arial" w:hAnsi="Arial"/>
              </w:rPr>
            </w:pPr>
            <w:r>
              <w:rPr>
                <w:rFonts w:ascii="Arial" w:hAnsi="Arial"/>
              </w:rPr>
              <w:t>28</w:t>
            </w:r>
          </w:p>
        </w:tc>
        <w:tc>
          <w:tcPr>
            <w:tcW w:w="151" w:type="dxa"/>
            <w:tcBorders/>
            <w:shd w:fill="FFFFFF" w:val="clear"/>
            <w:vAlign w:val="center"/>
          </w:tcPr>
          <w:p>
            <w:pPr>
              <w:pStyle w:val="TableContents"/>
              <w:spacing w:before="0" w:after="283"/>
              <w:rPr/>
            </w:pPr>
            <w:r>
              <w:rPr/>
              <w:t> </w:t>
            </w:r>
          </w:p>
        </w:tc>
      </w:tr>
      <w:tr>
        <w:trPr/>
        <w:tc>
          <w:tcPr>
            <w:tcW w:w="4680" w:type="dxa"/>
            <w:tcBorders/>
            <w:shd w:fill="E5FFFF" w:val="clear"/>
            <w:vAlign w:val="bottom"/>
          </w:tcPr>
          <w:p>
            <w:pPr>
              <w:pStyle w:val="TableContents"/>
              <w:spacing w:before="0" w:after="283"/>
              <w:jc w:val="left"/>
              <w:rPr>
                <w:rFonts w:ascii="Arial" w:hAnsi="Arial"/>
              </w:rPr>
            </w:pPr>
            <w:r>
              <w:rPr>
                <w:rFonts w:ascii="Arial" w:hAnsi="Arial"/>
              </w:rPr>
              <w:t>Specialty Materials</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5</w:t>
            </w:r>
          </w:p>
        </w:tc>
        <w:tc>
          <w:tcPr>
            <w:tcW w:w="11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(34</w:t>
            </w:r>
          </w:p>
        </w:tc>
        <w:tc>
          <w:tcPr>
            <w:tcW w:w="144" w:type="dxa"/>
            <w:tcBorders/>
            <w:shd w:fill="E5FFFF" w:val="clear"/>
            <w:vAlign w:val="bottom"/>
          </w:tcPr>
          <w:p>
            <w:pPr>
              <w:pStyle w:val="TableContents"/>
              <w:spacing w:before="0" w:after="283"/>
              <w:jc w:val="left"/>
              <w:rPr>
                <w:rFonts w:ascii="Arial" w:hAnsi="Arial"/>
              </w:rPr>
            </w:pPr>
            <w:r>
              <w:rPr>
                <w:rFonts w:ascii="Arial" w:hAnsi="Arial"/>
              </w:rPr>
              <w:t>)</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4" w:type="dxa"/>
            <w:tcBorders/>
            <w:shd w:fill="E5FFFF" w:val="clear"/>
            <w:vAlign w:val="bottom"/>
          </w:tcPr>
          <w:p>
            <w:pPr>
              <w:pStyle w:val="TableContents"/>
              <w:spacing w:before="0" w:after="283"/>
              <w:jc w:val="right"/>
              <w:rPr>
                <w:rFonts w:ascii="Arial" w:hAnsi="Arial"/>
              </w:rPr>
            </w:pPr>
            <w:r>
              <w:rPr>
                <w:rFonts w:ascii="Arial" w:hAnsi="Arial"/>
              </w:rPr>
              <w:t>90</w:t>
            </w:r>
          </w:p>
        </w:tc>
        <w:tc>
          <w:tcPr>
            <w:tcW w:w="151" w:type="dxa"/>
            <w:tcBorders/>
            <w:shd w:fill="E5FFFF" w:val="clear"/>
            <w:vAlign w:val="center"/>
          </w:tcPr>
          <w:p>
            <w:pPr>
              <w:pStyle w:val="TableContents"/>
              <w:spacing w:before="0" w:after="283"/>
              <w:rPr/>
            </w:pPr>
            <w:r>
              <w:rPr/>
              <w:t> </w:t>
            </w:r>
          </w:p>
        </w:tc>
      </w:tr>
      <w:tr>
        <w:trPr/>
        <w:tc>
          <w:tcPr>
            <w:tcW w:w="4680" w:type="dxa"/>
            <w:tcBorders/>
            <w:shd w:fill="FFFFFF" w:val="clear"/>
            <w:vAlign w:val="bottom"/>
          </w:tcPr>
          <w:p>
            <w:pPr>
              <w:pStyle w:val="TableContents"/>
              <w:spacing w:before="0" w:after="283"/>
              <w:jc w:val="left"/>
              <w:rPr>
                <w:rFonts w:ascii="Arial" w:hAnsi="Arial"/>
              </w:rPr>
            </w:pPr>
            <w:r>
              <w:rPr>
                <w:rFonts w:ascii="Arial" w:hAnsi="Arial"/>
              </w:rPr>
              <w:t>Transportation Systems</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293</w:t>
            </w:r>
          </w:p>
        </w:tc>
        <w:tc>
          <w:tcPr>
            <w:tcW w:w="11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TableContents"/>
              <w:spacing w:before="0" w:after="283"/>
              <w:jc w:val="right"/>
              <w:rPr>
                <w:rFonts w:ascii="Arial" w:hAnsi="Arial"/>
              </w:rPr>
            </w:pPr>
            <w:r>
              <w:rPr>
                <w:rFonts w:ascii="Arial" w:hAnsi="Arial"/>
              </w:rPr>
              <w:t>82</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4" w:type="dxa"/>
            <w:tcBorders/>
            <w:shd w:fill="FFFFFF" w:val="clear"/>
            <w:vAlign w:val="bottom"/>
          </w:tcPr>
          <w:p>
            <w:pPr>
              <w:pStyle w:val="TableContents"/>
              <w:spacing w:before="0" w:after="283"/>
              <w:jc w:val="right"/>
              <w:rPr>
                <w:rFonts w:ascii="Arial" w:hAnsi="Arial"/>
              </w:rPr>
            </w:pPr>
            <w:r>
              <w:rPr>
                <w:rFonts w:ascii="Arial" w:hAnsi="Arial"/>
              </w:rPr>
              <w:t>147</w:t>
            </w:r>
          </w:p>
        </w:tc>
        <w:tc>
          <w:tcPr>
            <w:tcW w:w="151" w:type="dxa"/>
            <w:tcBorders/>
            <w:shd w:fill="FFFFFF" w:val="clear"/>
            <w:vAlign w:val="center"/>
          </w:tcPr>
          <w:p>
            <w:pPr>
              <w:pStyle w:val="TableContents"/>
              <w:spacing w:before="0" w:after="283"/>
              <w:rPr/>
            </w:pPr>
            <w:r>
              <w:rPr/>
              <w:t> </w:t>
            </w:r>
          </w:p>
        </w:tc>
      </w:tr>
      <w:tr>
        <w:trPr/>
        <w:tc>
          <w:tcPr>
            <w:tcW w:w="4680" w:type="dxa"/>
            <w:tcBorders/>
            <w:shd w:fill="E5FFFF" w:val="clear"/>
            <w:vAlign w:val="bottom"/>
          </w:tcPr>
          <w:p>
            <w:pPr>
              <w:pStyle w:val="TableContents"/>
              <w:spacing w:before="0" w:after="283"/>
              <w:jc w:val="left"/>
              <w:rPr>
                <w:rFonts w:ascii="Arial" w:hAnsi="Arial"/>
              </w:rPr>
            </w:pPr>
            <w:r>
              <w:rPr>
                <w:rFonts w:ascii="Arial" w:hAnsi="Arial"/>
              </w:rPr>
              <w:t>Corporate</w:t>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136</w:t>
            </w:r>
          </w:p>
        </w:tc>
        <w:tc>
          <w:tcPr>
            <w:tcW w:w="11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Arial" w:hAnsi="Arial"/>
              </w:rPr>
            </w:pPr>
            <w:r>
              <w:rPr>
                <w:rFonts w:ascii="Arial" w:hAnsi="Arial"/>
              </w:rPr>
              <w:t>183</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1094" w:type="dxa"/>
            <w:tcBorders/>
            <w:shd w:fill="E5FFFF" w:val="clear"/>
            <w:vAlign w:val="bottom"/>
          </w:tcPr>
          <w:p>
            <w:pPr>
              <w:pStyle w:val="TableContents"/>
              <w:spacing w:before="0" w:after="283"/>
              <w:jc w:val="right"/>
              <w:rPr>
                <w:rFonts w:ascii="Arial" w:hAnsi="Arial"/>
              </w:rPr>
            </w:pPr>
            <w:r>
              <w:rPr>
                <w:rFonts w:ascii="Arial" w:hAnsi="Arial"/>
              </w:rPr>
              <w:t>515</w:t>
            </w:r>
          </w:p>
        </w:tc>
        <w:tc>
          <w:tcPr>
            <w:tcW w:w="151" w:type="dxa"/>
            <w:tcBorders/>
            <w:shd w:fill="E5FFFF" w:val="clear"/>
            <w:vAlign w:val="center"/>
          </w:tcPr>
          <w:p>
            <w:pPr>
              <w:pStyle w:val="TableContents"/>
              <w:spacing w:before="0" w:after="283"/>
              <w:rPr/>
            </w:pPr>
            <w:r>
              <w:rPr/>
              <w:t> </w:t>
            </w:r>
          </w:p>
        </w:tc>
      </w:tr>
      <w:tr>
        <w:trPr/>
        <w:tc>
          <w:tcPr>
            <w:tcW w:w="4680"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6" w:space="0" w:color="000000"/>
              </w:pBdr>
              <w:spacing w:before="0" w:after="283"/>
              <w:rPr/>
            </w:pPr>
            <w:r>
              <w:rPr/>
            </w:r>
          </w:p>
        </w:tc>
        <w:tc>
          <w:tcPr>
            <w:tcW w:w="11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6" w:space="0" w:color="000000"/>
              </w:pBdr>
              <w:spacing w:before="0" w:after="283"/>
              <w:rPr/>
            </w:pPr>
            <w:r>
              <w:rPr/>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4" w:type="dxa"/>
            <w:tcBorders/>
            <w:shd w:fill="FFFFFF" w:val="clear"/>
            <w:vAlign w:val="bottom"/>
          </w:tcPr>
          <w:p>
            <w:pPr>
              <w:pStyle w:val="HorizontalLine"/>
              <w:pBdr>
                <w:bottom w:val="single" w:sz="6" w:space="0" w:color="000000"/>
              </w:pBdr>
              <w:spacing w:before="0" w:after="283"/>
              <w:rPr/>
            </w:pPr>
            <w:r>
              <w:rPr/>
            </w:r>
          </w:p>
        </w:tc>
        <w:tc>
          <w:tcPr>
            <w:tcW w:w="151" w:type="dxa"/>
            <w:tcBorders/>
            <w:shd w:fill="FFFFFF" w:val="clear"/>
            <w:vAlign w:val="center"/>
          </w:tcPr>
          <w:p>
            <w:pPr>
              <w:pStyle w:val="TableContents"/>
              <w:spacing w:before="0" w:after="283"/>
              <w:rPr/>
            </w:pPr>
            <w:r>
              <w:rPr/>
              <w:t> </w:t>
            </w:r>
          </w:p>
        </w:tc>
      </w:tr>
      <w:tr>
        <w:trPr/>
        <w:tc>
          <w:tcPr>
            <w:tcW w:w="4680" w:type="dxa"/>
            <w:tcBorders/>
            <w:shd w:fill="E5FFFF" w:val="clear"/>
            <w:vAlign w:val="bottom"/>
          </w:tcPr>
          <w:p>
            <w:pPr>
              <w:pStyle w:val="TableContents"/>
              <w:spacing w:before="0" w:after="283"/>
              <w:rPr>
                <w:sz w:val="4"/>
                <w:szCs w:val="4"/>
              </w:rPr>
            </w:pPr>
            <w:r>
              <w:rPr>
                <w:sz w:val="4"/>
                <w:szCs w:val="4"/>
              </w:rPr>
            </w:r>
          </w:p>
        </w:tc>
        <w:tc>
          <w:tcPr>
            <w:tcW w:w="272"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483</w:t>
            </w:r>
          </w:p>
        </w:tc>
        <w:tc>
          <w:tcPr>
            <w:tcW w:w="113"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5" w:type="dxa"/>
            <w:tcBorders/>
            <w:shd w:fill="E5FFFF" w:val="clear"/>
            <w:vAlign w:val="bottom"/>
          </w:tcPr>
          <w:p>
            <w:pPr>
              <w:pStyle w:val="TableContents"/>
              <w:spacing w:before="0" w:after="283"/>
              <w:jc w:val="right"/>
              <w:rPr>
                <w:rFonts w:ascii="Arial" w:hAnsi="Arial"/>
              </w:rPr>
            </w:pPr>
            <w:r>
              <w:rPr>
                <w:rFonts w:ascii="Arial" w:hAnsi="Arial"/>
              </w:rPr>
              <w:t>412</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1094" w:type="dxa"/>
            <w:tcBorders/>
            <w:shd w:fill="E5FFFF" w:val="clear"/>
            <w:vAlign w:val="bottom"/>
          </w:tcPr>
          <w:p>
            <w:pPr>
              <w:pStyle w:val="TableContents"/>
              <w:spacing w:before="0" w:after="283"/>
              <w:jc w:val="right"/>
              <w:rPr>
                <w:rFonts w:ascii="Arial" w:hAnsi="Arial"/>
              </w:rPr>
            </w:pPr>
            <w:r>
              <w:rPr>
                <w:rFonts w:ascii="Arial" w:hAnsi="Arial"/>
              </w:rPr>
              <w:t>775</w:t>
            </w:r>
          </w:p>
        </w:tc>
        <w:tc>
          <w:tcPr>
            <w:tcW w:w="151" w:type="dxa"/>
            <w:tcBorders/>
            <w:shd w:fill="E5FFFF" w:val="clear"/>
            <w:vAlign w:val="center"/>
          </w:tcPr>
          <w:p>
            <w:pPr>
              <w:pStyle w:val="TableContents"/>
              <w:spacing w:before="0" w:after="283"/>
              <w:rPr/>
            </w:pPr>
            <w:r>
              <w:rPr/>
              <w:t> </w:t>
            </w:r>
          </w:p>
        </w:tc>
      </w:tr>
      <w:tr>
        <w:trPr/>
        <w:tc>
          <w:tcPr>
            <w:tcW w:w="4680" w:type="dxa"/>
            <w:tcBorders/>
            <w:shd w:fill="FFFFFF" w:val="clear"/>
            <w:vAlign w:val="center"/>
          </w:tcPr>
          <w:p>
            <w:pPr>
              <w:pStyle w:val="TableContents"/>
              <w:spacing w:before="0" w:after="283"/>
              <w:rPr/>
            </w:pPr>
            <w:r>
              <w:rPr/>
              <w:t> </w:t>
            </w:r>
          </w:p>
        </w:tc>
        <w:tc>
          <w:tcPr>
            <w:tcW w:w="272"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18" w:space="0" w:color="000000"/>
              </w:pBdr>
              <w:spacing w:before="0" w:after="283"/>
              <w:rPr/>
            </w:pPr>
            <w:r>
              <w:rPr/>
            </w:r>
          </w:p>
        </w:tc>
        <w:tc>
          <w:tcPr>
            <w:tcW w:w="113"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bottom"/>
          </w:tcPr>
          <w:p>
            <w:pPr>
              <w:pStyle w:val="HorizontalLine"/>
              <w:pBdr>
                <w:bottom w:val="single" w:sz="18" w:space="0" w:color="000000"/>
              </w:pBdr>
              <w:spacing w:before="0" w:after="283"/>
              <w:rPr/>
            </w:pPr>
            <w:r>
              <w:rPr/>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1094" w:type="dxa"/>
            <w:tcBorders/>
            <w:shd w:fill="FFFFFF" w:val="clear"/>
            <w:vAlign w:val="bottom"/>
          </w:tcPr>
          <w:p>
            <w:pPr>
              <w:pStyle w:val="HorizontalLine"/>
              <w:pBdr>
                <w:bottom w:val="single" w:sz="18" w:space="0" w:color="000000"/>
              </w:pBdr>
              <w:spacing w:before="0" w:after="283"/>
              <w:rPr/>
            </w:pPr>
            <w:r>
              <w:rPr/>
            </w:r>
          </w:p>
        </w:tc>
        <w:tc>
          <w:tcPr>
            <w:tcW w:w="151" w:type="dxa"/>
            <w:tcBorders/>
            <w:shd w:fill="FFFFFF" w:val="clear"/>
            <w:vAlign w:val="center"/>
          </w:tcPr>
          <w:p>
            <w:pPr>
              <w:pStyle w:val="TableContents"/>
              <w:spacing w:before="0" w:after="283"/>
              <w:rPr/>
            </w:pPr>
            <w:r>
              <w:rPr/>
              <w:t> </w:t>
            </w:r>
          </w:p>
        </w:tc>
      </w:tr>
      <w:tr>
        <w:trPr/>
        <w:tc>
          <w:tcPr>
            <w:tcW w:w="4680" w:type="dxa"/>
            <w:tcBorders/>
            <w:shd w:fill="E5FFFF" w:val="clear"/>
            <w:vAlign w:val="bottom"/>
          </w:tcPr>
          <w:p>
            <w:pPr>
              <w:pStyle w:val="TableContents"/>
              <w:spacing w:before="0" w:after="283"/>
              <w:rPr>
                <w:sz w:val="4"/>
                <w:szCs w:val="4"/>
              </w:rPr>
            </w:pPr>
            <w:r>
              <w:rPr>
                <w:sz w:val="4"/>
                <w:szCs w:val="4"/>
              </w:rPr>
            </w:r>
          </w:p>
        </w:tc>
        <w:tc>
          <w:tcPr>
            <w:tcW w:w="272" w:type="dxa"/>
            <w:tcBorders/>
            <w:shd w:fill="E5FFFF" w:val="clear"/>
            <w:vAlign w:val="center"/>
          </w:tcPr>
          <w:p>
            <w:pPr>
              <w:pStyle w:val="TableContents"/>
              <w:spacing w:before="0" w:after="283"/>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center"/>
          </w:tcPr>
          <w:p>
            <w:pPr>
              <w:pStyle w:val="TableContents"/>
              <w:spacing w:before="0" w:after="283"/>
              <w:rPr/>
            </w:pPr>
            <w:r>
              <w:rPr/>
              <w:t> </w:t>
            </w:r>
          </w:p>
        </w:tc>
        <w:tc>
          <w:tcPr>
            <w:tcW w:w="113" w:type="dxa"/>
            <w:tcBorders/>
            <w:shd w:fill="E5FFFF" w:val="clear"/>
            <w:vAlign w:val="center"/>
          </w:tcPr>
          <w:p>
            <w:pPr>
              <w:pStyle w:val="TableContents"/>
              <w:spacing w:before="0" w:after="283"/>
              <w:rPr/>
            </w:pPr>
            <w:r>
              <w:rPr/>
              <w:t> </w:t>
            </w:r>
          </w:p>
        </w:tc>
        <w:tc>
          <w:tcPr>
            <w:tcW w:w="485" w:type="dxa"/>
            <w:tcBorders/>
            <w:shd w:fill="E5FFFF" w:val="clear"/>
            <w:vAlign w:val="center"/>
          </w:tcPr>
          <w:p>
            <w:pPr>
              <w:pStyle w:val="TableContents"/>
              <w:spacing w:before="0" w:after="283"/>
              <w:rPr/>
            </w:pPr>
            <w:r>
              <w:rPr/>
              <w:t> </w:t>
            </w:r>
          </w:p>
        </w:tc>
        <w:tc>
          <w:tcPr>
            <w:tcW w:w="197" w:type="dxa"/>
            <w:tcBorders/>
            <w:shd w:fill="E5FFFF" w:val="clear"/>
            <w:vAlign w:val="center"/>
          </w:tcPr>
          <w:p>
            <w:pPr>
              <w:pStyle w:val="TableContents"/>
              <w:spacing w:before="0" w:after="283"/>
              <w:rPr/>
            </w:pPr>
            <w:r>
              <w:rPr/>
              <w:t> </w:t>
            </w:r>
          </w:p>
        </w:tc>
        <w:tc>
          <w:tcPr>
            <w:tcW w:w="1095" w:type="dxa"/>
            <w:tcBorders/>
            <w:shd w:fill="E5FFFF" w:val="clear"/>
            <w:vAlign w:val="center"/>
          </w:tcPr>
          <w:p>
            <w:pPr>
              <w:pStyle w:val="TableContents"/>
              <w:spacing w:before="0" w:after="283"/>
              <w:rPr/>
            </w:pPr>
            <w:r>
              <w:rPr/>
              <w:t> </w:t>
            </w:r>
          </w:p>
        </w:tc>
        <w:tc>
          <w:tcPr>
            <w:tcW w:w="144" w:type="dxa"/>
            <w:tcBorders/>
            <w:shd w:fill="E5FFFF" w:val="clear"/>
            <w:vAlign w:val="center"/>
          </w:tcPr>
          <w:p>
            <w:pPr>
              <w:pStyle w:val="TableContents"/>
              <w:spacing w:before="0" w:after="283"/>
              <w:rPr/>
            </w:pPr>
            <w:r>
              <w:rPr/>
              <w:t> </w:t>
            </w:r>
          </w:p>
        </w:tc>
        <w:tc>
          <w:tcPr>
            <w:tcW w:w="485" w:type="dxa"/>
            <w:tcBorders/>
            <w:shd w:fill="E5FFFF" w:val="clear"/>
            <w:vAlign w:val="center"/>
          </w:tcPr>
          <w:p>
            <w:pPr>
              <w:pStyle w:val="TableContents"/>
              <w:spacing w:before="0" w:after="283"/>
              <w:rPr/>
            </w:pPr>
            <w:r>
              <w:rPr/>
              <w:t> </w:t>
            </w:r>
          </w:p>
        </w:tc>
        <w:tc>
          <w:tcPr>
            <w:tcW w:w="197" w:type="dxa"/>
            <w:tcBorders/>
            <w:shd w:fill="E5FFFF" w:val="clear"/>
            <w:vAlign w:val="center"/>
          </w:tcPr>
          <w:p>
            <w:pPr>
              <w:pStyle w:val="TableContents"/>
              <w:spacing w:before="0" w:after="283"/>
              <w:rPr/>
            </w:pPr>
            <w:r>
              <w:rPr/>
              <w:t> </w:t>
            </w:r>
          </w:p>
        </w:tc>
        <w:tc>
          <w:tcPr>
            <w:tcW w:w="1094" w:type="dxa"/>
            <w:tcBorders/>
            <w:shd w:fill="E5FFFF" w:val="clear"/>
            <w:vAlign w:val="center"/>
          </w:tcPr>
          <w:p>
            <w:pPr>
              <w:pStyle w:val="TableContents"/>
              <w:spacing w:before="0" w:after="283"/>
              <w:rPr/>
            </w:pPr>
            <w:r>
              <w:rPr/>
              <w:t> </w:t>
            </w:r>
          </w:p>
        </w:tc>
        <w:tc>
          <w:tcPr>
            <w:tcW w:w="151" w:type="dxa"/>
            <w:tcBorders/>
            <w:shd w:fill="E5FFFF" w:val="clear"/>
            <w:vAlign w:val="center"/>
          </w:tcPr>
          <w:p>
            <w:pPr>
              <w:pStyle w:val="TableContents"/>
              <w:spacing w:before="0" w:after="283"/>
              <w:rPr/>
            </w:pPr>
            <w:r>
              <w:rPr/>
              <w:t> </w:t>
            </w:r>
          </w:p>
        </w:tc>
      </w:tr>
      <w:tr>
        <w:trPr/>
        <w:tc>
          <w:tcPr>
            <w:tcW w:w="4680" w:type="dxa"/>
            <w:tcBorders/>
            <w:shd w:fill="FFFFFF" w:val="clear"/>
            <w:vAlign w:val="bottom"/>
          </w:tcPr>
          <w:p>
            <w:pPr>
              <w:pStyle w:val="TableContents"/>
              <w:spacing w:before="0" w:after="283"/>
              <w:rPr>
                <w:sz w:val="4"/>
                <w:szCs w:val="4"/>
              </w:rPr>
            </w:pPr>
            <w:r>
              <w:rPr>
                <w:sz w:val="4"/>
                <w:szCs w:val="4"/>
              </w:rPr>
            </w:r>
          </w:p>
        </w:tc>
        <w:tc>
          <w:tcPr>
            <w:tcW w:w="272"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095"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1094"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In 2006, we recognized repositioning charges totaling $124 million primarily for severance costs related to workforce reductions of 2,253 manufacturing and administrative positions across all of our reportable segments. Also, $22 million of previously established accruals, primarily for severance at our Aerospace, Transportation Systems and Specialty Materials reportable segments were returned to income in 2006 due mainly to changes in the scope of previously announced severance programs and due to fewer employee separations than originally planned associated with prior Aerospace severance programs.</w:t>
      </w:r>
    </w:p>
    <w:p>
      <w:pPr>
        <w:pStyle w:val="TextBody"/>
        <w:jc w:val="left"/>
        <w:rPr/>
      </w:pPr>
      <w:r>
        <w:rPr/>
        <w:t>      </w:t>
      </w:r>
      <w:r>
        <w:rPr>
          <w:rFonts w:ascii="Arial" w:hAnsi="Arial"/>
        </w:rPr>
        <w:t>In 2005, we recognized repositioning charges totaling $267 million primarily for severance costs related to workforce reductions of 5,269 manufacturing and administrative positions across all of our reportable segments including the implementation of a new organizational structure in our Aerospace reportable segment (substantially implemented in the third quarter of 2005) which reorganized our Aerospace businesses to better align with customer segments. Also, $25 million of previously established accruals, primarily for severance at our Corporate, Specialty Materials and Automation and Control Solutions reportable segments were returned to income in 2005. The reversal of severance liabilities related to changes in the scope of previously announced severance programs, excise taxes</w:t>
      </w:r>
    </w:p>
    <w:p>
      <w:pPr>
        <w:pStyle w:val="TextBody"/>
        <w:jc w:val="center"/>
        <w:rPr>
          <w:rFonts w:ascii="Arial" w:hAnsi="Arial"/>
        </w:rPr>
      </w:pPr>
      <w:r>
        <w:rPr>
          <w:rFonts w:ascii="Arial" w:hAnsi="Arial"/>
        </w:rPr>
        <w:t>57</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related to an executive severance amount previously paid which were determined to no longer be payable, and severance amounts previously paid to an outside service provider as part of an outsourcing arrangement which were refunded to Honeywell.</w:t>
      </w:r>
    </w:p>
    <w:p>
      <w:pPr>
        <w:pStyle w:val="TextBody"/>
        <w:jc w:val="left"/>
        <w:rPr/>
      </w:pPr>
      <w:r>
        <w:rPr/>
        <w:t>      </w:t>
      </w:r>
      <w:r>
        <w:rPr>
          <w:rFonts w:ascii="Arial" w:hAnsi="Arial"/>
        </w:rPr>
        <w:t>In 2004, we recognized repositioning charges totaling $116 million primarily for severance costs related to workforce reductions of 2,272 manufacturing and administrative positions across all of our reportable segments. Also, $28 million of previously established accruals, primarily for severance, were returned to income in 2004, due to fewer employee separations than originally planned associated with certain prior repositioning actions, resulting in reduced severance liabilities principally in our Automation and Control Solutions reportable segment.</w:t>
      </w:r>
    </w:p>
    <w:p>
      <w:pPr>
        <w:pStyle w:val="TextBody"/>
        <w:jc w:val="left"/>
        <w:rPr/>
      </w:pPr>
      <w:r>
        <w:rPr/>
        <w:t>      </w:t>
      </w:r>
      <w:r>
        <w:rPr>
          <w:rFonts w:ascii="Arial" w:hAnsi="Arial"/>
        </w:rPr>
        <w:t>The following table summarizes the status of our total repositioning reserves.</w:t>
      </w:r>
    </w:p>
    <w:tbl>
      <w:tblPr>
        <w:tblW w:w="5000" w:type="pct"/>
        <w:jc w:val="left"/>
        <w:tblInd w:w="0" w:type="dxa"/>
        <w:tblCellMar>
          <w:top w:w="0" w:type="dxa"/>
          <w:left w:w="0" w:type="dxa"/>
          <w:bottom w:w="0" w:type="dxa"/>
          <w:right w:w="0" w:type="dxa"/>
        </w:tblCellMar>
      </w:tblPr>
      <w:tblGrid>
        <w:gridCol w:w="419"/>
        <w:gridCol w:w="3873"/>
        <w:gridCol w:w="280"/>
        <w:gridCol w:w="297"/>
        <w:gridCol w:w="960"/>
        <w:gridCol w:w="183"/>
        <w:gridCol w:w="280"/>
        <w:gridCol w:w="420"/>
        <w:gridCol w:w="989"/>
        <w:gridCol w:w="259"/>
        <w:gridCol w:w="280"/>
        <w:gridCol w:w="204"/>
        <w:gridCol w:w="480"/>
        <w:gridCol w:w="126"/>
        <w:gridCol w:w="280"/>
        <w:gridCol w:w="181"/>
        <w:gridCol w:w="583"/>
        <w:gridCol w:w="111"/>
      </w:tblGrid>
      <w:tr>
        <w:trPr/>
        <w:tc>
          <w:tcPr>
            <w:tcW w:w="419" w:type="dxa"/>
            <w:tcBorders/>
            <w:shd w:fill="FFFFFF" w:val="clear"/>
            <w:vAlign w:val="center"/>
          </w:tcPr>
          <w:p>
            <w:pPr>
              <w:pStyle w:val="TableContents"/>
              <w:spacing w:before="0" w:after="283"/>
              <w:rPr/>
            </w:pPr>
            <w:r>
              <w:rPr/>
              <w:t> </w:t>
            </w:r>
          </w:p>
        </w:tc>
        <w:tc>
          <w:tcPr>
            <w:tcW w:w="3873"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1440" w:type="dxa"/>
            <w:gridSpan w:val="3"/>
            <w:tcBorders/>
            <w:shd w:fill="FFFFFF" w:val="clear"/>
            <w:vAlign w:val="bottom"/>
          </w:tcPr>
          <w:p>
            <w:pPr>
              <w:pStyle w:val="TableContents"/>
              <w:spacing w:before="0" w:after="0"/>
              <w:jc w:val="center"/>
              <w:rPr>
                <w:rFonts w:ascii="Arial" w:hAnsi="Arial"/>
                <w:b/>
              </w:rPr>
            </w:pPr>
            <w:r>
              <w:rPr>
                <w:rFonts w:ascii="Arial" w:hAnsi="Arial"/>
                <w:b/>
              </w:rPr>
              <w:t>Severance</w:t>
              <w:br/>
              <w:t>Costs</w:t>
            </w:r>
          </w:p>
          <w:p>
            <w:pPr>
              <w:pStyle w:val="HorizontalLine"/>
              <w:pBdr>
                <w:bottom w:val="single" w:sz="6" w:space="0" w:color="000000"/>
              </w:pBdr>
              <w:spacing w:before="0" w:after="283"/>
              <w:rPr/>
            </w:pPr>
            <w:r>
              <w:rPr/>
            </w:r>
          </w:p>
        </w:tc>
        <w:tc>
          <w:tcPr>
            <w:tcW w:w="280" w:type="dxa"/>
            <w:tcBorders/>
            <w:shd w:fill="FFFFFF" w:val="clear"/>
            <w:vAlign w:val="center"/>
          </w:tcPr>
          <w:p>
            <w:pPr>
              <w:pStyle w:val="TableContents"/>
              <w:spacing w:before="0" w:after="283"/>
              <w:rPr/>
            </w:pPr>
            <w:r>
              <w:rPr/>
              <w:t> </w:t>
            </w:r>
          </w:p>
        </w:tc>
        <w:tc>
          <w:tcPr>
            <w:tcW w:w="1668" w:type="dxa"/>
            <w:gridSpan w:val="3"/>
            <w:tcBorders/>
            <w:shd w:fill="FFFFFF" w:val="clear"/>
            <w:vAlign w:val="bottom"/>
          </w:tcPr>
          <w:p>
            <w:pPr>
              <w:pStyle w:val="TableContents"/>
              <w:spacing w:before="0" w:after="0"/>
              <w:jc w:val="center"/>
              <w:rPr>
                <w:rFonts w:ascii="Arial" w:hAnsi="Arial"/>
                <w:b/>
              </w:rPr>
            </w:pPr>
            <w:r>
              <w:rPr>
                <w:rFonts w:ascii="Arial" w:hAnsi="Arial"/>
                <w:b/>
              </w:rPr>
              <w:t>Asset</w:t>
              <w:br/>
              <w:t>Impairments</w:t>
            </w:r>
          </w:p>
          <w:p>
            <w:pPr>
              <w:pStyle w:val="HorizontalLine"/>
              <w:pBdr>
                <w:bottom w:val="single" w:sz="6" w:space="0" w:color="000000"/>
              </w:pBdr>
              <w:spacing w:before="0" w:after="283"/>
              <w:rPr/>
            </w:pPr>
            <w:r>
              <w:rPr/>
            </w:r>
          </w:p>
        </w:tc>
        <w:tc>
          <w:tcPr>
            <w:tcW w:w="280" w:type="dxa"/>
            <w:tcBorders/>
            <w:shd w:fill="FFFFFF" w:val="clear"/>
            <w:vAlign w:val="center"/>
          </w:tcPr>
          <w:p>
            <w:pPr>
              <w:pStyle w:val="TableContents"/>
              <w:spacing w:before="0" w:after="283"/>
              <w:rPr/>
            </w:pPr>
            <w:r>
              <w:rPr/>
              <w:t> </w:t>
            </w:r>
          </w:p>
        </w:tc>
        <w:tc>
          <w:tcPr>
            <w:tcW w:w="810" w:type="dxa"/>
            <w:gridSpan w:val="3"/>
            <w:tcBorders/>
            <w:shd w:fill="FFFFFF" w:val="clear"/>
            <w:vAlign w:val="bottom"/>
          </w:tcPr>
          <w:p>
            <w:pPr>
              <w:pStyle w:val="TableContents"/>
              <w:spacing w:before="0" w:after="0"/>
              <w:jc w:val="center"/>
              <w:rPr>
                <w:rFonts w:ascii="Arial" w:hAnsi="Arial"/>
                <w:b/>
              </w:rPr>
            </w:pPr>
            <w:r>
              <w:rPr>
                <w:rFonts w:ascii="Arial" w:hAnsi="Arial"/>
                <w:b/>
              </w:rPr>
              <w:t>Exit</w:t>
              <w:br/>
              <w:t>Costs</w:t>
            </w:r>
          </w:p>
          <w:p>
            <w:pPr>
              <w:pStyle w:val="HorizontalLine"/>
              <w:pBdr>
                <w:bottom w:val="single" w:sz="6" w:space="0" w:color="000000"/>
              </w:pBdr>
              <w:spacing w:before="0" w:after="283"/>
              <w:rPr/>
            </w:pPr>
            <w:r>
              <w:rPr/>
            </w:r>
          </w:p>
        </w:tc>
        <w:tc>
          <w:tcPr>
            <w:tcW w:w="280" w:type="dxa"/>
            <w:tcBorders/>
            <w:shd w:fill="FFFFFF" w:val="clear"/>
            <w:vAlign w:val="center"/>
          </w:tcPr>
          <w:p>
            <w:pPr>
              <w:pStyle w:val="TableContents"/>
              <w:spacing w:before="0" w:after="283"/>
              <w:rPr/>
            </w:pPr>
            <w:r>
              <w:rPr/>
              <w:t> </w:t>
            </w:r>
          </w:p>
        </w:tc>
        <w:tc>
          <w:tcPr>
            <w:tcW w:w="875"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Balance at December 31, 2003</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bottom"/>
          </w:tcPr>
          <w:p>
            <w:pPr>
              <w:pStyle w:val="TableContents"/>
              <w:spacing w:before="0" w:after="283"/>
              <w:jc w:val="right"/>
              <w:rPr>
                <w:rFonts w:ascii="Arial" w:hAnsi="Arial"/>
              </w:rPr>
            </w:pPr>
            <w:r>
              <w:rPr>
                <w:rFonts w:ascii="Arial" w:hAnsi="Arial"/>
              </w:rPr>
              <w:t>$</w:t>
            </w:r>
          </w:p>
        </w:tc>
        <w:tc>
          <w:tcPr>
            <w:tcW w:w="960" w:type="dxa"/>
            <w:tcBorders/>
            <w:shd w:fill="FFFFFF" w:val="clear"/>
            <w:vAlign w:val="bottom"/>
          </w:tcPr>
          <w:p>
            <w:pPr>
              <w:pStyle w:val="TableContents"/>
              <w:spacing w:before="0" w:after="283"/>
              <w:jc w:val="right"/>
              <w:rPr>
                <w:rFonts w:ascii="Arial" w:hAnsi="Arial"/>
              </w:rPr>
            </w:pPr>
            <w:r>
              <w:rPr>
                <w:rFonts w:ascii="Arial" w:hAnsi="Arial"/>
              </w:rPr>
              <w:t>171</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bottom"/>
          </w:tcPr>
          <w:p>
            <w:pPr>
              <w:pStyle w:val="TableContents"/>
              <w:spacing w:before="0" w:after="283"/>
              <w:jc w:val="right"/>
              <w:rPr>
                <w:rFonts w:ascii="Arial" w:hAnsi="Arial"/>
              </w:rPr>
            </w:pPr>
            <w:r>
              <w:rPr>
                <w:rFonts w:ascii="Arial" w:hAnsi="Arial"/>
              </w:rPr>
              <w:t>$</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bottom"/>
          </w:tcPr>
          <w:p>
            <w:pPr>
              <w:pStyle w:val="TableContents"/>
              <w:spacing w:before="0" w:after="283"/>
              <w:jc w:val="right"/>
              <w:rPr>
                <w:rFonts w:ascii="Arial" w:hAnsi="Arial"/>
              </w:rPr>
            </w:pPr>
            <w:r>
              <w:rPr>
                <w:rFonts w:ascii="Arial" w:hAnsi="Arial"/>
              </w:rPr>
              <w:t>$</w:t>
            </w:r>
          </w:p>
        </w:tc>
        <w:tc>
          <w:tcPr>
            <w:tcW w:w="480" w:type="dxa"/>
            <w:tcBorders/>
            <w:shd w:fill="FFFFFF" w:val="clear"/>
            <w:vAlign w:val="bottom"/>
          </w:tcPr>
          <w:p>
            <w:pPr>
              <w:pStyle w:val="TableContents"/>
              <w:spacing w:before="0" w:after="283"/>
              <w:jc w:val="right"/>
              <w:rPr>
                <w:rFonts w:ascii="Arial" w:hAnsi="Arial"/>
              </w:rPr>
            </w:pPr>
            <w:r>
              <w:rPr>
                <w:rFonts w:ascii="Arial" w:hAnsi="Arial"/>
              </w:rPr>
              <w:t>42</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213</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6"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6"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2004 charges</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85</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rFonts w:ascii="Arial" w:hAnsi="Arial"/>
              </w:rPr>
            </w:pPr>
            <w:r>
              <w:rPr>
                <w:rFonts w:ascii="Arial" w:hAnsi="Arial"/>
              </w:rPr>
              <w:t>21</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10</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116</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bottom"/>
          </w:tcPr>
          <w:p>
            <w:pPr>
              <w:pStyle w:val="TableContents"/>
              <w:spacing w:before="0" w:after="283"/>
              <w:jc w:val="left"/>
              <w:rPr/>
            </w:pPr>
            <w:r>
              <w:rPr/>
              <w:t>      </w:t>
            </w:r>
          </w:p>
        </w:tc>
        <w:tc>
          <w:tcPr>
            <w:tcW w:w="3873" w:type="dxa"/>
            <w:tcBorders/>
            <w:shd w:fill="E5FFFF" w:val="clear"/>
            <w:vAlign w:val="bottom"/>
          </w:tcPr>
          <w:p>
            <w:pPr>
              <w:pStyle w:val="TableContents"/>
              <w:spacing w:before="0" w:after="283"/>
              <w:jc w:val="left"/>
              <w:rPr>
                <w:rFonts w:ascii="Arial" w:hAnsi="Arial"/>
              </w:rPr>
            </w:pPr>
            <w:r>
              <w:rPr>
                <w:rFonts w:ascii="Arial" w:hAnsi="Arial"/>
              </w:rPr>
              <w:t>2004 usage</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TableContents"/>
              <w:spacing w:before="0" w:after="283"/>
              <w:jc w:val="right"/>
              <w:rPr>
                <w:rFonts w:ascii="Arial" w:hAnsi="Arial"/>
              </w:rPr>
            </w:pPr>
            <w:r>
              <w:rPr>
                <w:rFonts w:ascii="Arial" w:hAnsi="Arial"/>
              </w:rPr>
              <w:t>(138</w:t>
            </w:r>
          </w:p>
        </w:tc>
        <w:tc>
          <w:tcPr>
            <w:tcW w:w="183"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TableContents"/>
              <w:spacing w:before="0" w:after="283"/>
              <w:jc w:val="right"/>
              <w:rPr>
                <w:rFonts w:ascii="Arial" w:hAnsi="Arial"/>
              </w:rPr>
            </w:pPr>
            <w:r>
              <w:rPr>
                <w:rFonts w:ascii="Arial" w:hAnsi="Arial"/>
              </w:rPr>
              <w:t>(21</w:t>
            </w:r>
          </w:p>
        </w:tc>
        <w:tc>
          <w:tcPr>
            <w:tcW w:w="259"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TableContents"/>
              <w:spacing w:before="0" w:after="283"/>
              <w:jc w:val="right"/>
              <w:rPr>
                <w:rFonts w:ascii="Arial" w:hAnsi="Arial"/>
              </w:rPr>
            </w:pPr>
            <w:r>
              <w:rPr>
                <w:rFonts w:ascii="Arial" w:hAnsi="Arial"/>
              </w:rPr>
              <w:t>(26</w:t>
            </w:r>
          </w:p>
        </w:tc>
        <w:tc>
          <w:tcPr>
            <w:tcW w:w="126"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Arial" w:hAnsi="Arial"/>
              </w:rPr>
            </w:pPr>
            <w:r>
              <w:rPr>
                <w:rFonts w:ascii="Arial" w:hAnsi="Arial"/>
              </w:rPr>
              <w:t>(185</w:t>
            </w:r>
          </w:p>
        </w:tc>
        <w:tc>
          <w:tcPr>
            <w:tcW w:w="11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Adjustments</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(21</w:t>
            </w:r>
          </w:p>
        </w:tc>
        <w:tc>
          <w:tcPr>
            <w:tcW w:w="183" w:type="dxa"/>
            <w:tcBorders/>
            <w:shd w:fill="FFFFFF" w:val="clear"/>
            <w:vAlign w:val="bottom"/>
          </w:tcPr>
          <w:p>
            <w:pPr>
              <w:pStyle w:val="TableContents"/>
              <w:spacing w:before="0" w:after="283"/>
              <w:jc w:val="left"/>
              <w:rPr>
                <w:rFonts w:ascii="Arial" w:hAnsi="Arial"/>
              </w:rPr>
            </w:pPr>
            <w:r>
              <w:rPr>
                <w:rFonts w:ascii="Arial" w:hAnsi="Arial"/>
              </w:rPr>
              <w:t>)</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(7</w:t>
            </w:r>
          </w:p>
        </w:tc>
        <w:tc>
          <w:tcPr>
            <w:tcW w:w="126" w:type="dxa"/>
            <w:tcBorders/>
            <w:shd w:fill="FFFFFF" w:val="clear"/>
            <w:vAlign w:val="bottom"/>
          </w:tcPr>
          <w:p>
            <w:pPr>
              <w:pStyle w:val="TableContents"/>
              <w:spacing w:before="0" w:after="283"/>
              <w:jc w:val="left"/>
              <w:rPr>
                <w:rFonts w:ascii="Arial" w:hAnsi="Arial"/>
              </w:rPr>
            </w:pPr>
            <w:r>
              <w:rPr>
                <w:rFonts w:ascii="Arial" w:hAnsi="Arial"/>
              </w:rPr>
              <w:t>)</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(28</w:t>
            </w:r>
          </w:p>
        </w:tc>
        <w:tc>
          <w:tcPr>
            <w:tcW w:w="11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6"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6"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Balance at December 31, 2004</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97</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19</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116</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6"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6"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2005 charges</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248</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rFonts w:ascii="Arial" w:hAnsi="Arial"/>
              </w:rPr>
            </w:pPr>
            <w:r>
              <w:rPr>
                <w:rFonts w:ascii="Arial" w:hAnsi="Arial"/>
              </w:rPr>
              <w:t>5</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14</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267</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bottom"/>
          </w:tcPr>
          <w:p>
            <w:pPr>
              <w:pStyle w:val="TableContents"/>
              <w:spacing w:before="0" w:after="283"/>
              <w:jc w:val="left"/>
              <w:rPr/>
            </w:pPr>
            <w:r>
              <w:rPr/>
              <w:t>      </w:t>
            </w:r>
          </w:p>
        </w:tc>
        <w:tc>
          <w:tcPr>
            <w:tcW w:w="3873" w:type="dxa"/>
            <w:tcBorders/>
            <w:shd w:fill="E5FFFF" w:val="clear"/>
            <w:vAlign w:val="bottom"/>
          </w:tcPr>
          <w:p>
            <w:pPr>
              <w:pStyle w:val="TableContents"/>
              <w:spacing w:before="0" w:after="283"/>
              <w:jc w:val="left"/>
              <w:rPr>
                <w:rFonts w:ascii="Arial" w:hAnsi="Arial"/>
              </w:rPr>
            </w:pPr>
            <w:r>
              <w:rPr>
                <w:rFonts w:ascii="Arial" w:hAnsi="Arial"/>
              </w:rPr>
              <w:t>2005 usage</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TableContents"/>
              <w:spacing w:before="0" w:after="283"/>
              <w:jc w:val="right"/>
              <w:rPr>
                <w:rFonts w:ascii="Arial" w:hAnsi="Arial"/>
              </w:rPr>
            </w:pPr>
            <w:r>
              <w:rPr>
                <w:rFonts w:ascii="Arial" w:hAnsi="Arial"/>
              </w:rPr>
              <w:t>(156</w:t>
            </w:r>
          </w:p>
        </w:tc>
        <w:tc>
          <w:tcPr>
            <w:tcW w:w="183"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TableContents"/>
              <w:spacing w:before="0" w:after="283"/>
              <w:jc w:val="right"/>
              <w:rPr>
                <w:rFonts w:ascii="Arial" w:hAnsi="Arial"/>
              </w:rPr>
            </w:pPr>
            <w:r>
              <w:rPr>
                <w:rFonts w:ascii="Arial" w:hAnsi="Arial"/>
              </w:rPr>
              <w:t>(5</w:t>
            </w:r>
          </w:p>
        </w:tc>
        <w:tc>
          <w:tcPr>
            <w:tcW w:w="259"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TableContents"/>
              <w:spacing w:before="0" w:after="283"/>
              <w:jc w:val="right"/>
              <w:rPr>
                <w:rFonts w:ascii="Arial" w:hAnsi="Arial"/>
              </w:rPr>
            </w:pPr>
            <w:r>
              <w:rPr>
                <w:rFonts w:ascii="Arial" w:hAnsi="Arial"/>
              </w:rPr>
              <w:t>(15</w:t>
            </w:r>
          </w:p>
        </w:tc>
        <w:tc>
          <w:tcPr>
            <w:tcW w:w="126"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Arial" w:hAnsi="Arial"/>
              </w:rPr>
            </w:pPr>
            <w:r>
              <w:rPr>
                <w:rFonts w:ascii="Arial" w:hAnsi="Arial"/>
              </w:rPr>
              <w:t>(176</w:t>
            </w:r>
          </w:p>
        </w:tc>
        <w:tc>
          <w:tcPr>
            <w:tcW w:w="11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Adjustments</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(21</w:t>
            </w:r>
          </w:p>
        </w:tc>
        <w:tc>
          <w:tcPr>
            <w:tcW w:w="183" w:type="dxa"/>
            <w:tcBorders/>
            <w:shd w:fill="FFFFFF" w:val="clear"/>
            <w:vAlign w:val="bottom"/>
          </w:tcPr>
          <w:p>
            <w:pPr>
              <w:pStyle w:val="TableContents"/>
              <w:spacing w:before="0" w:after="283"/>
              <w:jc w:val="left"/>
              <w:rPr>
                <w:rFonts w:ascii="Arial" w:hAnsi="Arial"/>
              </w:rPr>
            </w:pPr>
            <w:r>
              <w:rPr>
                <w:rFonts w:ascii="Arial" w:hAnsi="Arial"/>
              </w:rPr>
              <w:t>)</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(4</w:t>
            </w:r>
          </w:p>
        </w:tc>
        <w:tc>
          <w:tcPr>
            <w:tcW w:w="126" w:type="dxa"/>
            <w:tcBorders/>
            <w:shd w:fill="FFFFFF" w:val="clear"/>
            <w:vAlign w:val="bottom"/>
          </w:tcPr>
          <w:p>
            <w:pPr>
              <w:pStyle w:val="TableContents"/>
              <w:spacing w:before="0" w:after="283"/>
              <w:jc w:val="left"/>
              <w:rPr>
                <w:rFonts w:ascii="Arial" w:hAnsi="Arial"/>
              </w:rPr>
            </w:pPr>
            <w:r>
              <w:rPr>
                <w:rFonts w:ascii="Arial" w:hAnsi="Arial"/>
              </w:rPr>
              <w:t>)</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(25</w:t>
            </w:r>
          </w:p>
        </w:tc>
        <w:tc>
          <w:tcPr>
            <w:tcW w:w="11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6"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6"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Balance at December 31, 2005</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168</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14</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182</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6"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6"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2006 charges</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102</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rFonts w:ascii="Arial" w:hAnsi="Arial"/>
              </w:rPr>
            </w:pPr>
            <w:r>
              <w:rPr>
                <w:rFonts w:ascii="Arial" w:hAnsi="Arial"/>
              </w:rPr>
              <w:t>15</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7</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124</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bottom"/>
          </w:tcPr>
          <w:p>
            <w:pPr>
              <w:pStyle w:val="TableContents"/>
              <w:spacing w:before="0" w:after="283"/>
              <w:jc w:val="left"/>
              <w:rPr/>
            </w:pPr>
            <w:r>
              <w:rPr/>
              <w:t>      </w:t>
            </w:r>
          </w:p>
        </w:tc>
        <w:tc>
          <w:tcPr>
            <w:tcW w:w="3873" w:type="dxa"/>
            <w:tcBorders/>
            <w:shd w:fill="E5FFFF" w:val="clear"/>
            <w:vAlign w:val="bottom"/>
          </w:tcPr>
          <w:p>
            <w:pPr>
              <w:pStyle w:val="TableContents"/>
              <w:spacing w:before="0" w:after="283"/>
              <w:jc w:val="left"/>
              <w:rPr>
                <w:rFonts w:ascii="Arial" w:hAnsi="Arial"/>
              </w:rPr>
            </w:pPr>
            <w:r>
              <w:rPr>
                <w:rFonts w:ascii="Arial" w:hAnsi="Arial"/>
              </w:rPr>
              <w:t>2006 usage</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TableContents"/>
              <w:spacing w:before="0" w:after="283"/>
              <w:jc w:val="right"/>
              <w:rPr>
                <w:rFonts w:ascii="Arial" w:hAnsi="Arial"/>
              </w:rPr>
            </w:pPr>
            <w:r>
              <w:rPr>
                <w:rFonts w:ascii="Arial" w:hAnsi="Arial"/>
              </w:rPr>
              <w:t>(134</w:t>
            </w:r>
          </w:p>
        </w:tc>
        <w:tc>
          <w:tcPr>
            <w:tcW w:w="183"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TableContents"/>
              <w:spacing w:before="0" w:after="283"/>
              <w:jc w:val="right"/>
              <w:rPr>
                <w:rFonts w:ascii="Arial" w:hAnsi="Arial"/>
              </w:rPr>
            </w:pPr>
            <w:r>
              <w:rPr>
                <w:rFonts w:ascii="Arial" w:hAnsi="Arial"/>
              </w:rPr>
              <w:t>(15</w:t>
            </w:r>
          </w:p>
        </w:tc>
        <w:tc>
          <w:tcPr>
            <w:tcW w:w="259"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TableContents"/>
              <w:spacing w:before="0" w:after="283"/>
              <w:jc w:val="right"/>
              <w:rPr>
                <w:rFonts w:ascii="Arial" w:hAnsi="Arial"/>
              </w:rPr>
            </w:pPr>
            <w:r>
              <w:rPr>
                <w:rFonts w:ascii="Arial" w:hAnsi="Arial"/>
              </w:rPr>
              <w:t>(8</w:t>
            </w:r>
          </w:p>
        </w:tc>
        <w:tc>
          <w:tcPr>
            <w:tcW w:w="126" w:type="dxa"/>
            <w:tcBorders/>
            <w:shd w:fill="E5FFFF" w:val="clear"/>
            <w:vAlign w:val="bottom"/>
          </w:tcPr>
          <w:p>
            <w:pPr>
              <w:pStyle w:val="TableContents"/>
              <w:spacing w:before="0" w:after="283"/>
              <w:jc w:val="left"/>
              <w:rPr>
                <w:rFonts w:ascii="Arial" w:hAnsi="Arial"/>
              </w:rPr>
            </w:pPr>
            <w:r>
              <w:rPr>
                <w:rFonts w:ascii="Arial" w:hAnsi="Arial"/>
              </w:rPr>
              <w:t>)</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Arial" w:hAnsi="Arial"/>
              </w:rPr>
            </w:pPr>
            <w:r>
              <w:rPr>
                <w:rFonts w:ascii="Arial" w:hAnsi="Arial"/>
              </w:rPr>
              <w:t>(157</w:t>
            </w:r>
          </w:p>
        </w:tc>
        <w:tc>
          <w:tcPr>
            <w:tcW w:w="111"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Adjustments</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bottom"/>
          </w:tcPr>
          <w:p>
            <w:pPr>
              <w:pStyle w:val="TableContents"/>
              <w:spacing w:before="0" w:after="283"/>
              <w:jc w:val="right"/>
              <w:rPr>
                <w:rFonts w:ascii="Arial" w:hAnsi="Arial"/>
              </w:rPr>
            </w:pPr>
            <w:r>
              <w:rPr>
                <w:rFonts w:ascii="Arial" w:hAnsi="Arial"/>
              </w:rPr>
              <w:t>(18</w:t>
            </w:r>
          </w:p>
        </w:tc>
        <w:tc>
          <w:tcPr>
            <w:tcW w:w="183" w:type="dxa"/>
            <w:tcBorders/>
            <w:shd w:fill="FFFFFF" w:val="clear"/>
            <w:vAlign w:val="bottom"/>
          </w:tcPr>
          <w:p>
            <w:pPr>
              <w:pStyle w:val="TableContents"/>
              <w:spacing w:before="0" w:after="283"/>
              <w:jc w:val="left"/>
              <w:rPr>
                <w:rFonts w:ascii="Arial" w:hAnsi="Arial"/>
              </w:rPr>
            </w:pPr>
            <w:r>
              <w:rPr>
                <w:rFonts w:ascii="Arial" w:hAnsi="Arial"/>
              </w:rPr>
              <w:t>)</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bottom"/>
          </w:tcPr>
          <w:p>
            <w:pPr>
              <w:pStyle w:val="TableContents"/>
              <w:spacing w:before="0" w:after="283"/>
              <w:jc w:val="right"/>
              <w:rPr>
                <w:rFonts w:ascii="Arial" w:hAnsi="Arial"/>
              </w:rPr>
            </w:pPr>
            <w:r>
              <w:rPr>
                <w:rFonts w:ascii="Arial" w:hAnsi="Arial"/>
              </w:rPr>
              <w:t>(4</w:t>
            </w:r>
          </w:p>
        </w:tc>
        <w:tc>
          <w:tcPr>
            <w:tcW w:w="126" w:type="dxa"/>
            <w:tcBorders/>
            <w:shd w:fill="FFFFFF" w:val="clear"/>
            <w:vAlign w:val="bottom"/>
          </w:tcPr>
          <w:p>
            <w:pPr>
              <w:pStyle w:val="TableContents"/>
              <w:spacing w:before="0" w:after="283"/>
              <w:jc w:val="left"/>
              <w:rPr>
                <w:rFonts w:ascii="Arial" w:hAnsi="Arial"/>
              </w:rPr>
            </w:pPr>
            <w:r>
              <w:rPr>
                <w:rFonts w:ascii="Arial" w:hAnsi="Arial"/>
              </w:rPr>
              <w:t>)</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bottom"/>
          </w:tcPr>
          <w:p>
            <w:pPr>
              <w:pStyle w:val="TableContents"/>
              <w:spacing w:before="0" w:after="283"/>
              <w:jc w:val="right"/>
              <w:rPr>
                <w:rFonts w:ascii="Arial" w:hAnsi="Arial"/>
              </w:rPr>
            </w:pPr>
            <w:r>
              <w:rPr>
                <w:rFonts w:ascii="Arial" w:hAnsi="Arial"/>
              </w:rPr>
              <w:t>(22</w:t>
            </w:r>
          </w:p>
        </w:tc>
        <w:tc>
          <w:tcPr>
            <w:tcW w:w="11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6"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6"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6"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jc w:val="left"/>
              <w:rPr>
                <w:rFonts w:ascii="Arial" w:hAnsi="Arial"/>
              </w:rPr>
            </w:pPr>
            <w:r>
              <w:rPr>
                <w:rFonts w:ascii="Arial" w:hAnsi="Arial"/>
              </w:rPr>
              <w:t>Balance at December 31, 2006</w:t>
            </w:r>
          </w:p>
        </w:tc>
        <w:tc>
          <w:tcPr>
            <w:tcW w:w="280" w:type="dxa"/>
            <w:tcBorders/>
            <w:shd w:fill="FFFFFF" w:val="clear"/>
            <w:vAlign w:val="bottom"/>
          </w:tcPr>
          <w:p>
            <w:pPr>
              <w:pStyle w:val="TableContents"/>
              <w:spacing w:before="0" w:after="283"/>
              <w:jc w:val="right"/>
              <w:rPr/>
            </w:pPr>
            <w:r>
              <w:rPr/>
              <w:t>    </w:t>
            </w:r>
          </w:p>
        </w:tc>
        <w:tc>
          <w:tcPr>
            <w:tcW w:w="297" w:type="dxa"/>
            <w:tcBorders/>
            <w:shd w:fill="FFFFFF" w:val="clear"/>
            <w:vAlign w:val="bottom"/>
          </w:tcPr>
          <w:p>
            <w:pPr>
              <w:pStyle w:val="TableContents"/>
              <w:spacing w:before="0" w:after="283"/>
              <w:jc w:val="right"/>
              <w:rPr>
                <w:rFonts w:ascii="Arial" w:hAnsi="Arial"/>
              </w:rPr>
            </w:pPr>
            <w:r>
              <w:rPr>
                <w:rFonts w:ascii="Arial" w:hAnsi="Arial"/>
              </w:rPr>
              <w:t>$</w:t>
            </w:r>
          </w:p>
        </w:tc>
        <w:tc>
          <w:tcPr>
            <w:tcW w:w="960" w:type="dxa"/>
            <w:tcBorders/>
            <w:shd w:fill="FFFFFF" w:val="clear"/>
            <w:vAlign w:val="bottom"/>
          </w:tcPr>
          <w:p>
            <w:pPr>
              <w:pStyle w:val="TableContents"/>
              <w:spacing w:before="0" w:after="283"/>
              <w:jc w:val="right"/>
              <w:rPr>
                <w:rFonts w:ascii="Arial" w:hAnsi="Arial"/>
              </w:rPr>
            </w:pPr>
            <w:r>
              <w:rPr>
                <w:rFonts w:ascii="Arial" w:hAnsi="Arial"/>
              </w:rPr>
              <w:t>118</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420" w:type="dxa"/>
            <w:tcBorders/>
            <w:shd w:fill="FFFFFF" w:val="clear"/>
            <w:vAlign w:val="bottom"/>
          </w:tcPr>
          <w:p>
            <w:pPr>
              <w:pStyle w:val="TableContents"/>
              <w:spacing w:before="0" w:after="283"/>
              <w:jc w:val="right"/>
              <w:rPr>
                <w:rFonts w:ascii="Arial" w:hAnsi="Arial"/>
              </w:rPr>
            </w:pPr>
            <w:r>
              <w:rPr>
                <w:rFonts w:ascii="Arial" w:hAnsi="Arial"/>
              </w:rPr>
              <w:t>$</w:t>
            </w:r>
          </w:p>
        </w:tc>
        <w:tc>
          <w:tcPr>
            <w:tcW w:w="989"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204" w:type="dxa"/>
            <w:tcBorders/>
            <w:shd w:fill="FFFFFF" w:val="clear"/>
            <w:vAlign w:val="bottom"/>
          </w:tcPr>
          <w:p>
            <w:pPr>
              <w:pStyle w:val="TableContents"/>
              <w:spacing w:before="0" w:after="283"/>
              <w:jc w:val="right"/>
              <w:rPr>
                <w:rFonts w:ascii="Arial" w:hAnsi="Arial"/>
              </w:rPr>
            </w:pPr>
            <w:r>
              <w:rPr>
                <w:rFonts w:ascii="Arial" w:hAnsi="Arial"/>
              </w:rPr>
              <w:t>$</w:t>
            </w:r>
          </w:p>
        </w:tc>
        <w:tc>
          <w:tcPr>
            <w:tcW w:w="480" w:type="dxa"/>
            <w:tcBorders/>
            <w:shd w:fill="FFFFFF" w:val="clear"/>
            <w:vAlign w:val="bottom"/>
          </w:tcPr>
          <w:p>
            <w:pPr>
              <w:pStyle w:val="TableContents"/>
              <w:spacing w:before="0" w:after="283"/>
              <w:jc w:val="right"/>
              <w:rPr>
                <w:rFonts w:ascii="Arial" w:hAnsi="Arial"/>
              </w:rPr>
            </w:pPr>
            <w:r>
              <w:rPr>
                <w:rFonts w:ascii="Arial" w:hAnsi="Arial"/>
              </w:rPr>
              <w:t>9</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583" w:type="dxa"/>
            <w:tcBorders/>
            <w:shd w:fill="FFFFFF" w:val="clear"/>
            <w:vAlign w:val="bottom"/>
          </w:tcPr>
          <w:p>
            <w:pPr>
              <w:pStyle w:val="TableContents"/>
              <w:spacing w:before="0" w:after="283"/>
              <w:jc w:val="right"/>
              <w:rPr>
                <w:rFonts w:ascii="Arial" w:hAnsi="Arial"/>
              </w:rPr>
            </w:pPr>
            <w:r>
              <w:rPr>
                <w:rFonts w:ascii="Arial" w:hAnsi="Arial"/>
              </w:rPr>
              <w:t>127</w:t>
            </w:r>
          </w:p>
        </w:tc>
        <w:tc>
          <w:tcPr>
            <w:tcW w:w="111" w:type="dxa"/>
            <w:tcBorders/>
            <w:shd w:fill="FFFFFF" w:val="clear"/>
            <w:vAlign w:val="center"/>
          </w:tcPr>
          <w:p>
            <w:pPr>
              <w:pStyle w:val="TableContents"/>
              <w:spacing w:before="0" w:after="283"/>
              <w:rPr/>
            </w:pPr>
            <w:r>
              <w:rPr/>
              <w:t> </w:t>
            </w:r>
          </w:p>
        </w:tc>
      </w:tr>
      <w:tr>
        <w:trPr/>
        <w:tc>
          <w:tcPr>
            <w:tcW w:w="419" w:type="dxa"/>
            <w:tcBorders/>
            <w:shd w:fill="E5FFFF" w:val="clear"/>
            <w:vAlign w:val="center"/>
          </w:tcPr>
          <w:p>
            <w:pPr>
              <w:pStyle w:val="TableContents"/>
              <w:spacing w:before="0" w:after="283"/>
              <w:rPr/>
            </w:pPr>
            <w:r>
              <w:rPr/>
              <w:t> </w:t>
            </w:r>
          </w:p>
        </w:tc>
        <w:tc>
          <w:tcPr>
            <w:tcW w:w="387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97" w:type="dxa"/>
            <w:tcBorders/>
            <w:shd w:fill="E5FFFF" w:val="clear"/>
            <w:vAlign w:val="center"/>
          </w:tcPr>
          <w:p>
            <w:pPr>
              <w:pStyle w:val="TableContents"/>
              <w:spacing w:before="0" w:after="283"/>
              <w:rPr/>
            </w:pPr>
            <w:r>
              <w:rPr/>
              <w:t> </w:t>
            </w:r>
          </w:p>
        </w:tc>
        <w:tc>
          <w:tcPr>
            <w:tcW w:w="960" w:type="dxa"/>
            <w:tcBorders/>
            <w:shd w:fill="E5FFFF" w:val="clear"/>
            <w:vAlign w:val="bottom"/>
          </w:tcPr>
          <w:p>
            <w:pPr>
              <w:pStyle w:val="HorizontalLine"/>
              <w:pBdr>
                <w:bottom w:val="single" w:sz="18" w:space="0" w:color="000000"/>
              </w:pBdr>
              <w:spacing w:before="0" w:after="283"/>
              <w:rPr/>
            </w:pPr>
            <w:r>
              <w:rPr/>
            </w:r>
          </w:p>
        </w:tc>
        <w:tc>
          <w:tcPr>
            <w:tcW w:w="183"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989" w:type="dxa"/>
            <w:tcBorders/>
            <w:shd w:fill="E5FFFF" w:val="clear"/>
            <w:vAlign w:val="bottom"/>
          </w:tcPr>
          <w:p>
            <w:pPr>
              <w:pStyle w:val="HorizontalLine"/>
              <w:pBdr>
                <w:bottom w:val="single" w:sz="18" w:space="0" w:color="000000"/>
              </w:pBdr>
              <w:spacing w:before="0" w:after="283"/>
              <w:rPr/>
            </w:pPr>
            <w:r>
              <w:rPr/>
            </w:r>
          </w:p>
        </w:tc>
        <w:tc>
          <w:tcPr>
            <w:tcW w:w="259"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480"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280"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3" w:type="dxa"/>
            <w:tcBorders/>
            <w:shd w:fill="E5FFFF" w:val="clear"/>
            <w:vAlign w:val="bottom"/>
          </w:tcPr>
          <w:p>
            <w:pPr>
              <w:pStyle w:val="HorizontalLine"/>
              <w:pBdr>
                <w:bottom w:val="single" w:sz="18" w:space="0" w:color="000000"/>
              </w:pBdr>
              <w:spacing w:before="0" w:after="283"/>
              <w:rPr/>
            </w:pPr>
            <w:r>
              <w:rPr/>
            </w:r>
          </w:p>
        </w:tc>
        <w:tc>
          <w:tcPr>
            <w:tcW w:w="111" w:type="dxa"/>
            <w:tcBorders/>
            <w:shd w:fill="E5FFFF" w:val="clear"/>
            <w:vAlign w:val="center"/>
          </w:tcPr>
          <w:p>
            <w:pPr>
              <w:pStyle w:val="TableContents"/>
              <w:spacing w:before="0" w:after="283"/>
              <w:rPr/>
            </w:pPr>
            <w:r>
              <w:rPr/>
              <w:t> </w:t>
            </w:r>
          </w:p>
        </w:tc>
      </w:tr>
      <w:tr>
        <w:trPr/>
        <w:tc>
          <w:tcPr>
            <w:tcW w:w="419" w:type="dxa"/>
            <w:tcBorders/>
            <w:shd w:fill="FFFFFF" w:val="clear"/>
            <w:vAlign w:val="bottom"/>
          </w:tcPr>
          <w:p>
            <w:pPr>
              <w:pStyle w:val="TableContents"/>
              <w:spacing w:before="0" w:after="283"/>
              <w:jc w:val="left"/>
              <w:rPr/>
            </w:pPr>
            <w:r>
              <w:rPr/>
              <w:t>      </w:t>
            </w:r>
          </w:p>
        </w:tc>
        <w:tc>
          <w:tcPr>
            <w:tcW w:w="3873" w:type="dxa"/>
            <w:tcBorders/>
            <w:shd w:fill="FFFFFF" w:val="clear"/>
            <w:vAlign w:val="bottom"/>
          </w:tcPr>
          <w:p>
            <w:pPr>
              <w:pStyle w:val="TableContents"/>
              <w:spacing w:before="0" w:after="283"/>
              <w:rPr>
                <w:sz w:val="4"/>
                <w:szCs w:val="4"/>
              </w:rPr>
            </w:pPr>
            <w:r>
              <w:rPr>
                <w:sz w:val="4"/>
                <w:szCs w:val="4"/>
              </w:rPr>
            </w:r>
          </w:p>
        </w:tc>
        <w:tc>
          <w:tcPr>
            <w:tcW w:w="280" w:type="dxa"/>
            <w:tcBorders/>
            <w:shd w:fill="FFFFFF" w:val="clear"/>
            <w:vAlign w:val="center"/>
          </w:tcPr>
          <w:p>
            <w:pPr>
              <w:pStyle w:val="TableContents"/>
              <w:spacing w:before="0" w:after="283"/>
              <w:rPr/>
            </w:pPr>
            <w:r>
              <w:rPr/>
              <w:t> </w:t>
            </w:r>
          </w:p>
        </w:tc>
        <w:tc>
          <w:tcPr>
            <w:tcW w:w="297" w:type="dxa"/>
            <w:tcBorders/>
            <w:shd w:fill="FFFFFF" w:val="clear"/>
            <w:vAlign w:val="center"/>
          </w:tcPr>
          <w:p>
            <w:pPr>
              <w:pStyle w:val="TableContents"/>
              <w:spacing w:before="0" w:after="283"/>
              <w:rPr/>
            </w:pPr>
            <w:r>
              <w:rPr/>
              <w:t> </w:t>
            </w:r>
          </w:p>
        </w:tc>
        <w:tc>
          <w:tcPr>
            <w:tcW w:w="960"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89"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480"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583"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In 2006, we recognized a charge of $210 million for environmental liabilities deemed probable and reasonably estimable during the year. We recognized asbestos related litigation charges, net of insurance, of $126 million which are discussed in Note 21. We recognized other charges of $51 million related to our Corporate segment primarily for the settlement of a property damage claim litigation matter in Brunswick, GA and our entrance into a plea agreement related to an environmental matter at our Baton Rouge, LA facility. See Note 21 for discussion of these matters. We recognized impairment charges of $12 million related to the write-down of property, plant and equipment held for sale in our Specialty Materials reportable segment. We also recognized a credit of $18 million in connection with an arbitration award for overcharges by a supplier of phenol to our Specialty Materials business for 2005 transactions.</w:t>
      </w:r>
    </w:p>
    <w:p>
      <w:pPr>
        <w:pStyle w:val="TextBody"/>
        <w:jc w:val="left"/>
        <w:rPr/>
      </w:pPr>
      <w:r>
        <w:rPr/>
        <w:t>      </w:t>
      </w:r>
      <w:r>
        <w:rPr>
          <w:rFonts w:ascii="Arial" w:hAnsi="Arial"/>
        </w:rPr>
        <w:t>In 2005, we recognized a charge of $186 million for environmental liabilities deemed probable and reasonably estimable during the year. We recognized asbestos related litigation charges, net of insurance, of $10 million which are discussed in Note 21. We recognized a credit of $67 million in connection with an arbitration award for overcharges by a supplier of phenol to our Specialty Materials business from June 2003 through the end of 2004. We recognized impairment charges of $23 million related to the write-down of property, plant and equipment held and used in our Specialty Materials reportable segment. We also recognized other charges of $18 million principally related to the modification of a lease agreement for the Corporate headquarters facility ($10 million) and for various legal settlements ($7 million).</w:t>
      </w:r>
    </w:p>
    <w:p>
      <w:pPr>
        <w:pStyle w:val="TextBody"/>
        <w:jc w:val="left"/>
        <w:rPr/>
      </w:pPr>
      <w:r>
        <w:rPr/>
        <w:t>      </w:t>
      </w:r>
      <w:r>
        <w:rPr>
          <w:rFonts w:ascii="Arial" w:hAnsi="Arial"/>
        </w:rPr>
        <w:t>In 2004, we recognized a charge of $536 million for probable and reasonably estimable environmental liabilities primarily related to the estimated costs of the court-ordered excavation and transport for offsite disposal of approximately one million tons of chromium residue present at a predecessor Honeywell site located in Jersey City, New Jersey, and environmental conditions in and around Onondaga Lake in Syracuse, New York. Both of these environmental matters are discussed in</w:t>
      </w:r>
    </w:p>
    <w:p>
      <w:pPr>
        <w:pStyle w:val="TextBody"/>
        <w:jc w:val="center"/>
        <w:rPr>
          <w:rFonts w:ascii="Arial" w:hAnsi="Arial"/>
        </w:rPr>
      </w:pPr>
      <w:r>
        <w:rPr>
          <w:rFonts w:ascii="Arial" w:hAnsi="Arial"/>
        </w:rPr>
        <w:t>58</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further detail in Note 21. We recognized asbestos related litigation charges, net of insurance, of $76 million which are discussed in Note 21. We recognized an impairment charge of $42 million in the second quarter of 2004 related principally to the write-down of property, plant and equipment of our Performance Fibers business in our Specialty Materials reportable segment. This business was sold in December 2004. We also recognized other charges of $33 million consisting of $29 million for various legal settlements including property damage claims in our Automation and Control Solutions reportable segment, $14 million for the write-off of receivables, inventories and other assets net of a reversal of a reserve of $10 million established in the prior year for a contract settlement.</w:t>
      </w:r>
    </w:p>
    <w:p>
      <w:pPr>
        <w:pStyle w:val="TextBody"/>
        <w:jc w:val="left"/>
        <w:rPr>
          <w:rFonts w:ascii="Arial" w:hAnsi="Arial"/>
          <w:b/>
        </w:rPr>
      </w:pPr>
      <w:r>
        <w:rPr>
          <w:rFonts w:ascii="Arial" w:hAnsi="Arial"/>
          <w:b/>
        </w:rPr>
        <w:t>Note 4—Other (Income)/Expense</w:t>
      </w:r>
    </w:p>
    <w:tbl>
      <w:tblPr>
        <w:tblW w:w="5000" w:type="pct"/>
        <w:jc w:val="left"/>
        <w:tblInd w:w="0" w:type="dxa"/>
        <w:tblCellMar>
          <w:top w:w="0" w:type="dxa"/>
          <w:left w:w="0" w:type="dxa"/>
          <w:bottom w:w="0" w:type="dxa"/>
          <w:right w:w="0" w:type="dxa"/>
        </w:tblCellMar>
      </w:tblPr>
      <w:tblGrid>
        <w:gridCol w:w="5921"/>
        <w:gridCol w:w="255"/>
        <w:gridCol w:w="165"/>
        <w:gridCol w:w="533"/>
        <w:gridCol w:w="101"/>
        <w:gridCol w:w="512"/>
        <w:gridCol w:w="165"/>
        <w:gridCol w:w="533"/>
        <w:gridCol w:w="405"/>
        <w:gridCol w:w="512"/>
        <w:gridCol w:w="165"/>
        <w:gridCol w:w="533"/>
        <w:gridCol w:w="405"/>
      </w:tblGrid>
      <w:tr>
        <w:trPr/>
        <w:tc>
          <w:tcPr>
            <w:tcW w:w="5921"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4029"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5921"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799"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512" w:type="dxa"/>
            <w:tcBorders/>
            <w:shd w:fill="FFFFFF" w:val="clear"/>
            <w:vAlign w:val="center"/>
          </w:tcPr>
          <w:p>
            <w:pPr>
              <w:pStyle w:val="TableContents"/>
              <w:spacing w:before="0" w:after="283"/>
              <w:rPr/>
            </w:pPr>
            <w:r>
              <w:rPr/>
              <w:t> </w:t>
            </w:r>
          </w:p>
        </w:tc>
        <w:tc>
          <w:tcPr>
            <w:tcW w:w="110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512" w:type="dxa"/>
            <w:tcBorders/>
            <w:shd w:fill="FFFFFF" w:val="clear"/>
            <w:vAlign w:val="center"/>
          </w:tcPr>
          <w:p>
            <w:pPr>
              <w:pStyle w:val="TableContents"/>
              <w:spacing w:before="0" w:after="283"/>
              <w:rPr/>
            </w:pPr>
            <w:r>
              <w:rPr/>
              <w:t> </w:t>
            </w:r>
          </w:p>
        </w:tc>
        <w:tc>
          <w:tcPr>
            <w:tcW w:w="1103"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921" w:type="dxa"/>
            <w:tcBorders/>
            <w:shd w:fill="FFFFFF" w:val="clear"/>
            <w:vAlign w:val="bottom"/>
          </w:tcPr>
          <w:p>
            <w:pPr>
              <w:pStyle w:val="TableContents"/>
              <w:spacing w:before="0" w:after="283"/>
              <w:jc w:val="left"/>
              <w:rPr>
                <w:rFonts w:ascii="Arial" w:hAnsi="Arial"/>
              </w:rPr>
            </w:pPr>
            <w:r>
              <w:rPr>
                <w:rFonts w:ascii="Arial" w:hAnsi="Arial"/>
              </w:rPr>
              <w:t>Gain on sale of non-strategic businesses and assets</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533" w:type="dxa"/>
            <w:tcBorders/>
            <w:shd w:fill="FFFFFF" w:val="clear"/>
            <w:vAlign w:val="bottom"/>
          </w:tcPr>
          <w:p>
            <w:pPr>
              <w:pStyle w:val="TableContents"/>
              <w:spacing w:before="0" w:after="283"/>
              <w:jc w:val="right"/>
              <w:rPr>
                <w:rFonts w:ascii="Arial" w:hAnsi="Arial"/>
              </w:rPr>
            </w:pPr>
            <w:r>
              <w:rPr>
                <w:rFonts w:ascii="Arial" w:hAnsi="Arial"/>
              </w:rPr>
              <w:t>(30</w:t>
            </w:r>
          </w:p>
        </w:tc>
        <w:tc>
          <w:tcPr>
            <w:tcW w:w="101" w:type="dxa"/>
            <w:tcBorders/>
            <w:shd w:fill="FFFFFF" w:val="clear"/>
            <w:vAlign w:val="bottom"/>
          </w:tcPr>
          <w:p>
            <w:pPr>
              <w:pStyle w:val="TableContents"/>
              <w:spacing w:before="0" w:after="283"/>
              <w:jc w:val="left"/>
              <w:rPr>
                <w:rFonts w:ascii="Arial" w:hAnsi="Arial"/>
              </w:rPr>
            </w:pPr>
            <w:r>
              <w:rPr>
                <w:rFonts w:ascii="Arial" w:hAnsi="Arial"/>
              </w:rPr>
              <w:t>)</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533" w:type="dxa"/>
            <w:tcBorders/>
            <w:shd w:fill="FFFFFF" w:val="clear"/>
            <w:vAlign w:val="bottom"/>
          </w:tcPr>
          <w:p>
            <w:pPr>
              <w:pStyle w:val="TableContents"/>
              <w:spacing w:before="0" w:after="283"/>
              <w:jc w:val="right"/>
              <w:rPr>
                <w:rFonts w:ascii="Arial" w:hAnsi="Arial"/>
              </w:rPr>
            </w:pPr>
            <w:r>
              <w:rPr>
                <w:rFonts w:ascii="Arial" w:hAnsi="Arial"/>
              </w:rPr>
              <w:t>(36</w:t>
            </w:r>
          </w:p>
        </w:tc>
        <w:tc>
          <w:tcPr>
            <w:tcW w:w="405" w:type="dxa"/>
            <w:tcBorders/>
            <w:shd w:fill="FFFFFF" w:val="clear"/>
            <w:vAlign w:val="bottom"/>
          </w:tcPr>
          <w:p>
            <w:pPr>
              <w:pStyle w:val="TableContents"/>
              <w:spacing w:before="0" w:after="283"/>
              <w:jc w:val="left"/>
              <w:rPr>
                <w:rFonts w:ascii="Arial" w:hAnsi="Arial"/>
              </w:rPr>
            </w:pPr>
            <w:r>
              <w:rPr>
                <w:rFonts w:ascii="Arial" w:hAnsi="Arial"/>
              </w:rPr>
              <w:t>)</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533" w:type="dxa"/>
            <w:tcBorders/>
            <w:shd w:fill="FFFFFF" w:val="clear"/>
            <w:vAlign w:val="bottom"/>
          </w:tcPr>
          <w:p>
            <w:pPr>
              <w:pStyle w:val="TableContents"/>
              <w:spacing w:before="0" w:after="283"/>
              <w:jc w:val="right"/>
              <w:rPr>
                <w:rFonts w:ascii="Arial" w:hAnsi="Arial"/>
              </w:rPr>
            </w:pPr>
            <w:r>
              <w:rPr>
                <w:rFonts w:ascii="Arial" w:hAnsi="Arial"/>
              </w:rPr>
              <w:t>(255</w:t>
            </w:r>
          </w:p>
        </w:tc>
        <w:tc>
          <w:tcPr>
            <w:tcW w:w="405" w:type="dxa"/>
            <w:tcBorders/>
            <w:shd w:fill="FFFFFF" w:val="clear"/>
            <w:vAlign w:val="bottom"/>
          </w:tcPr>
          <w:p>
            <w:pPr>
              <w:pStyle w:val="TableContents"/>
              <w:spacing w:before="0" w:after="283"/>
              <w:jc w:val="left"/>
              <w:rPr>
                <w:rFonts w:ascii="Arial" w:hAnsi="Arial"/>
              </w:rPr>
            </w:pPr>
            <w:r>
              <w:rPr>
                <w:rFonts w:ascii="Arial" w:hAnsi="Arial"/>
              </w:rPr>
              <w:t>)(1)</w:t>
            </w:r>
          </w:p>
        </w:tc>
      </w:tr>
      <w:tr>
        <w:trPr/>
        <w:tc>
          <w:tcPr>
            <w:tcW w:w="5921" w:type="dxa"/>
            <w:tcBorders/>
            <w:shd w:fill="E5FFFF" w:val="clear"/>
            <w:vAlign w:val="bottom"/>
          </w:tcPr>
          <w:p>
            <w:pPr>
              <w:pStyle w:val="TableContents"/>
              <w:spacing w:before="0" w:after="283"/>
              <w:jc w:val="left"/>
              <w:rPr>
                <w:rFonts w:ascii="Arial" w:hAnsi="Arial"/>
              </w:rPr>
            </w:pPr>
            <w:r>
              <w:rPr>
                <w:rFonts w:ascii="Arial" w:hAnsi="Arial"/>
              </w:rPr>
              <w:t>Equity (income)/loss of affiliated companies</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rPr>
            </w:pPr>
            <w:r>
              <w:rPr>
                <w:rFonts w:ascii="Arial" w:hAnsi="Arial"/>
              </w:rPr>
              <w:t>(13</w:t>
            </w:r>
          </w:p>
        </w:tc>
        <w:tc>
          <w:tcPr>
            <w:tcW w:w="101" w:type="dxa"/>
            <w:tcBorders/>
            <w:shd w:fill="E5FFFF" w:val="clear"/>
            <w:vAlign w:val="bottom"/>
          </w:tcPr>
          <w:p>
            <w:pPr>
              <w:pStyle w:val="TableContents"/>
              <w:spacing w:before="0" w:after="283"/>
              <w:jc w:val="left"/>
              <w:rPr>
                <w:rFonts w:ascii="Arial" w:hAnsi="Arial"/>
              </w:rPr>
            </w:pPr>
            <w:r>
              <w:rPr>
                <w:rFonts w:ascii="Arial" w:hAnsi="Arial"/>
              </w:rPr>
              <w:t>)</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rPr>
            </w:pPr>
            <w:r>
              <w:rPr>
                <w:rFonts w:ascii="Arial" w:hAnsi="Arial"/>
              </w:rPr>
              <w:t>(134</w:t>
            </w:r>
          </w:p>
        </w:tc>
        <w:tc>
          <w:tcPr>
            <w:tcW w:w="405" w:type="dxa"/>
            <w:tcBorders/>
            <w:shd w:fill="E5FFFF" w:val="clear"/>
            <w:vAlign w:val="bottom"/>
          </w:tcPr>
          <w:p>
            <w:pPr>
              <w:pStyle w:val="TableContents"/>
              <w:spacing w:before="0" w:after="283"/>
              <w:jc w:val="left"/>
              <w:rPr>
                <w:rFonts w:ascii="Arial" w:hAnsi="Arial"/>
              </w:rPr>
            </w:pPr>
            <w:r>
              <w:rPr>
                <w:rFonts w:ascii="Arial" w:hAnsi="Arial"/>
              </w:rPr>
              <w:t>)(2)</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rPr>
            </w:pPr>
            <w:r>
              <w:rPr>
                <w:rFonts w:ascii="Arial" w:hAnsi="Arial"/>
              </w:rPr>
              <w:t>(82</w:t>
            </w:r>
          </w:p>
        </w:tc>
        <w:tc>
          <w:tcPr>
            <w:tcW w:w="405" w:type="dxa"/>
            <w:tcBorders/>
            <w:shd w:fill="E5FFFF" w:val="clear"/>
            <w:vAlign w:val="bottom"/>
          </w:tcPr>
          <w:p>
            <w:pPr>
              <w:pStyle w:val="TableContents"/>
              <w:spacing w:before="0" w:after="283"/>
              <w:jc w:val="left"/>
              <w:rPr>
                <w:rFonts w:ascii="Arial" w:hAnsi="Arial"/>
              </w:rPr>
            </w:pPr>
            <w:r>
              <w:rPr>
                <w:rFonts w:ascii="Arial" w:hAnsi="Arial"/>
              </w:rPr>
              <w:t>)(2)</w:t>
            </w:r>
          </w:p>
        </w:tc>
      </w:tr>
      <w:tr>
        <w:trPr/>
        <w:tc>
          <w:tcPr>
            <w:tcW w:w="5921" w:type="dxa"/>
            <w:tcBorders/>
            <w:shd w:fill="FFFFFF" w:val="clear"/>
            <w:vAlign w:val="bottom"/>
          </w:tcPr>
          <w:p>
            <w:pPr>
              <w:pStyle w:val="TableContents"/>
              <w:spacing w:before="0" w:after="283"/>
              <w:jc w:val="left"/>
              <w:rPr>
                <w:rFonts w:ascii="Arial" w:hAnsi="Arial"/>
              </w:rPr>
            </w:pPr>
            <w:r>
              <w:rPr>
                <w:rFonts w:ascii="Arial" w:hAnsi="Arial"/>
              </w:rPr>
              <w:t>Interest income</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rPr>
            </w:pPr>
            <w:r>
              <w:rPr>
                <w:rFonts w:ascii="Arial" w:hAnsi="Arial"/>
              </w:rPr>
              <w:t>(94</w:t>
            </w:r>
          </w:p>
        </w:tc>
        <w:tc>
          <w:tcPr>
            <w:tcW w:w="101" w:type="dxa"/>
            <w:tcBorders/>
            <w:shd w:fill="FFFFFF" w:val="clear"/>
            <w:vAlign w:val="bottom"/>
          </w:tcPr>
          <w:p>
            <w:pPr>
              <w:pStyle w:val="TableContents"/>
              <w:spacing w:before="0" w:after="283"/>
              <w:jc w:val="left"/>
              <w:rPr>
                <w:rFonts w:ascii="Arial" w:hAnsi="Arial"/>
              </w:rPr>
            </w:pPr>
            <w:r>
              <w:rPr>
                <w:rFonts w:ascii="Arial" w:hAnsi="Arial"/>
              </w:rPr>
              <w:t>)</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rPr>
            </w:pPr>
            <w:r>
              <w:rPr>
                <w:rFonts w:ascii="Arial" w:hAnsi="Arial"/>
              </w:rPr>
              <w:t>(84</w:t>
            </w:r>
          </w:p>
        </w:tc>
        <w:tc>
          <w:tcPr>
            <w:tcW w:w="405" w:type="dxa"/>
            <w:tcBorders/>
            <w:shd w:fill="FFFFFF" w:val="clear"/>
            <w:vAlign w:val="bottom"/>
          </w:tcPr>
          <w:p>
            <w:pPr>
              <w:pStyle w:val="TableContents"/>
              <w:spacing w:before="0" w:after="283"/>
              <w:jc w:val="left"/>
              <w:rPr>
                <w:rFonts w:ascii="Arial" w:hAnsi="Arial"/>
              </w:rPr>
            </w:pPr>
            <w:r>
              <w:rPr>
                <w:rFonts w:ascii="Arial" w:hAnsi="Arial"/>
              </w:rPr>
              <w:t>)</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rPr>
            </w:pPr>
            <w:r>
              <w:rPr>
                <w:rFonts w:ascii="Arial" w:hAnsi="Arial"/>
              </w:rPr>
              <w:t>(100</w:t>
            </w:r>
          </w:p>
        </w:tc>
        <w:tc>
          <w:tcPr>
            <w:tcW w:w="40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21" w:type="dxa"/>
            <w:tcBorders/>
            <w:shd w:fill="E5FFFF" w:val="clear"/>
            <w:vAlign w:val="bottom"/>
          </w:tcPr>
          <w:p>
            <w:pPr>
              <w:pStyle w:val="TableContents"/>
              <w:spacing w:before="0" w:after="283"/>
              <w:jc w:val="left"/>
              <w:rPr>
                <w:rFonts w:ascii="Arial" w:hAnsi="Arial"/>
              </w:rPr>
            </w:pPr>
            <w:r>
              <w:rPr>
                <w:rFonts w:ascii="Arial" w:hAnsi="Arial"/>
              </w:rPr>
              <w:t>Foreign exchange</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rPr>
            </w:pPr>
            <w:r>
              <w:rPr>
                <w:rFonts w:ascii="Arial" w:hAnsi="Arial"/>
              </w:rPr>
              <w:t>18</w:t>
            </w:r>
          </w:p>
        </w:tc>
        <w:tc>
          <w:tcPr>
            <w:tcW w:w="101" w:type="dxa"/>
            <w:tcBorders/>
            <w:shd w:fill="E5FFFF" w:val="clear"/>
            <w:vAlign w:val="center"/>
          </w:tcPr>
          <w:p>
            <w:pPr>
              <w:pStyle w:val="TableContents"/>
              <w:spacing w:before="0" w:after="283"/>
              <w:rPr/>
            </w:pPr>
            <w:r>
              <w:rPr/>
              <w:t> </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rPr>
            </w:pPr>
            <w:r>
              <w:rPr>
                <w:rFonts w:ascii="Arial" w:hAnsi="Arial"/>
              </w:rPr>
              <w:t>21</w:t>
            </w:r>
          </w:p>
        </w:tc>
        <w:tc>
          <w:tcPr>
            <w:tcW w:w="405" w:type="dxa"/>
            <w:tcBorders/>
            <w:shd w:fill="E5FFFF" w:val="clear"/>
            <w:vAlign w:val="center"/>
          </w:tcPr>
          <w:p>
            <w:pPr>
              <w:pStyle w:val="TableContents"/>
              <w:spacing w:before="0" w:after="283"/>
              <w:rPr/>
            </w:pPr>
            <w:r>
              <w:rPr/>
              <w:t> </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rPr>
            </w:pPr>
            <w:r>
              <w:rPr>
                <w:rFonts w:ascii="Arial" w:hAnsi="Arial"/>
              </w:rPr>
              <w:t>28</w:t>
            </w:r>
          </w:p>
        </w:tc>
        <w:tc>
          <w:tcPr>
            <w:tcW w:w="405" w:type="dxa"/>
            <w:tcBorders/>
            <w:shd w:fill="E5FFFF" w:val="clear"/>
            <w:vAlign w:val="center"/>
          </w:tcPr>
          <w:p>
            <w:pPr>
              <w:pStyle w:val="TableContents"/>
              <w:spacing w:before="0" w:after="283"/>
              <w:rPr/>
            </w:pPr>
            <w:r>
              <w:rPr/>
              <w:t> </w:t>
            </w:r>
          </w:p>
        </w:tc>
      </w:tr>
      <w:tr>
        <w:trPr/>
        <w:tc>
          <w:tcPr>
            <w:tcW w:w="5921" w:type="dxa"/>
            <w:tcBorders/>
            <w:shd w:fill="FFFFFF" w:val="clear"/>
            <w:vAlign w:val="bottom"/>
          </w:tcPr>
          <w:p>
            <w:pPr>
              <w:pStyle w:val="TableContents"/>
              <w:spacing w:before="0" w:after="283"/>
              <w:jc w:val="left"/>
              <w:rPr>
                <w:rFonts w:ascii="Arial" w:hAnsi="Arial"/>
              </w:rPr>
            </w:pPr>
            <w:r>
              <w:rPr>
                <w:rFonts w:ascii="Arial" w:hAnsi="Arial"/>
              </w:rPr>
              <w:t>Other (net)</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rPr>
            </w:pPr>
            <w:r>
              <w:rPr>
                <w:rFonts w:ascii="Arial" w:hAnsi="Arial"/>
              </w:rPr>
              <w:t>8</w:t>
            </w:r>
          </w:p>
        </w:tc>
        <w:tc>
          <w:tcPr>
            <w:tcW w:w="101" w:type="dxa"/>
            <w:tcBorders/>
            <w:shd w:fill="FFFFFF" w:val="clear"/>
            <w:vAlign w:val="center"/>
          </w:tcPr>
          <w:p>
            <w:pPr>
              <w:pStyle w:val="TableContents"/>
              <w:spacing w:before="0" w:after="283"/>
              <w:rPr/>
            </w:pPr>
            <w:r>
              <w:rPr/>
              <w:t> </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rPr>
            </w:pPr>
            <w:r>
              <w:rPr>
                <w:rFonts w:ascii="Arial" w:hAnsi="Arial"/>
              </w:rPr>
              <w:t>2</w:t>
            </w:r>
          </w:p>
        </w:tc>
        <w:tc>
          <w:tcPr>
            <w:tcW w:w="405" w:type="dxa"/>
            <w:tcBorders/>
            <w:shd w:fill="FFFFFF" w:val="clear"/>
            <w:vAlign w:val="center"/>
          </w:tcPr>
          <w:p>
            <w:pPr>
              <w:pStyle w:val="TableContents"/>
              <w:spacing w:before="0" w:after="283"/>
              <w:rPr/>
            </w:pPr>
            <w:r>
              <w:rPr/>
              <w:t> </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rPr>
            </w:pPr>
            <w:r>
              <w:rPr>
                <w:rFonts w:ascii="Arial" w:hAnsi="Arial"/>
              </w:rPr>
              <w:t>(20</w:t>
            </w:r>
          </w:p>
        </w:tc>
        <w:tc>
          <w:tcPr>
            <w:tcW w:w="405" w:type="dxa"/>
            <w:tcBorders/>
            <w:shd w:fill="FFFFFF" w:val="clear"/>
            <w:vAlign w:val="bottom"/>
          </w:tcPr>
          <w:p>
            <w:pPr>
              <w:pStyle w:val="TableContents"/>
              <w:spacing w:before="0" w:after="283"/>
              <w:jc w:val="left"/>
              <w:rPr>
                <w:rFonts w:ascii="Arial" w:hAnsi="Arial"/>
              </w:rPr>
            </w:pPr>
            <w:r>
              <w:rPr>
                <w:rFonts w:ascii="Arial" w:hAnsi="Arial"/>
              </w:rPr>
              <w:t>)(3)</w:t>
            </w:r>
          </w:p>
        </w:tc>
      </w:tr>
      <w:tr>
        <w:trPr/>
        <w:tc>
          <w:tcPr>
            <w:tcW w:w="5921"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6" w:space="0" w:color="000000"/>
              </w:pBdr>
              <w:spacing w:before="0" w:after="283"/>
              <w:rPr/>
            </w:pPr>
            <w:r>
              <w:rPr/>
            </w:r>
          </w:p>
        </w:tc>
        <w:tc>
          <w:tcPr>
            <w:tcW w:w="101" w:type="dxa"/>
            <w:tcBorders/>
            <w:shd w:fill="E5FFFF" w:val="clear"/>
            <w:vAlign w:val="center"/>
          </w:tcPr>
          <w:p>
            <w:pPr>
              <w:pStyle w:val="TableContents"/>
              <w:spacing w:before="0" w:after="283"/>
              <w:rPr/>
            </w:pPr>
            <w:r>
              <w:rPr/>
              <w:t> </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6" w:space="0" w:color="000000"/>
              </w:pBdr>
              <w:spacing w:before="0" w:after="283"/>
              <w:rPr/>
            </w:pPr>
            <w:r>
              <w:rPr/>
            </w:r>
          </w:p>
        </w:tc>
        <w:tc>
          <w:tcPr>
            <w:tcW w:w="405" w:type="dxa"/>
            <w:tcBorders/>
            <w:shd w:fill="E5FFFF" w:val="clear"/>
            <w:vAlign w:val="center"/>
          </w:tcPr>
          <w:p>
            <w:pPr>
              <w:pStyle w:val="TableContents"/>
              <w:spacing w:before="0" w:after="283"/>
              <w:rPr/>
            </w:pPr>
            <w:r>
              <w:rPr/>
              <w:t> </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6" w:space="0" w:color="000000"/>
              </w:pBdr>
              <w:spacing w:before="0" w:after="283"/>
              <w:rPr/>
            </w:pPr>
            <w:r>
              <w:rPr/>
            </w:r>
          </w:p>
        </w:tc>
        <w:tc>
          <w:tcPr>
            <w:tcW w:w="405" w:type="dxa"/>
            <w:tcBorders/>
            <w:shd w:fill="E5FFFF" w:val="clear"/>
            <w:vAlign w:val="center"/>
          </w:tcPr>
          <w:p>
            <w:pPr>
              <w:pStyle w:val="TableContents"/>
              <w:spacing w:before="0" w:after="283"/>
              <w:rPr/>
            </w:pPr>
            <w:r>
              <w:rPr/>
              <w:t> </w:t>
            </w:r>
          </w:p>
        </w:tc>
      </w:tr>
      <w:tr>
        <w:trPr/>
        <w:tc>
          <w:tcPr>
            <w:tcW w:w="5921" w:type="dxa"/>
            <w:tcBorders/>
            <w:shd w:fill="FFFFFF" w:val="clear"/>
            <w:vAlign w:val="bottom"/>
          </w:tcPr>
          <w:p>
            <w:pPr>
              <w:pStyle w:val="TableContents"/>
              <w:spacing w:before="0" w:after="283"/>
              <w:rPr>
                <w:sz w:val="4"/>
                <w:szCs w:val="4"/>
              </w:rPr>
            </w:pPr>
            <w:r>
              <w:rPr>
                <w:sz w:val="4"/>
                <w:szCs w:val="4"/>
              </w:rPr>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533" w:type="dxa"/>
            <w:tcBorders/>
            <w:shd w:fill="FFFFFF" w:val="clear"/>
            <w:vAlign w:val="bottom"/>
          </w:tcPr>
          <w:p>
            <w:pPr>
              <w:pStyle w:val="TableContents"/>
              <w:spacing w:before="0" w:after="283"/>
              <w:jc w:val="right"/>
              <w:rPr>
                <w:rFonts w:ascii="Arial" w:hAnsi="Arial"/>
              </w:rPr>
            </w:pPr>
            <w:r>
              <w:rPr>
                <w:rFonts w:ascii="Arial" w:hAnsi="Arial"/>
              </w:rPr>
              <w:t>(111</w:t>
            </w:r>
          </w:p>
        </w:tc>
        <w:tc>
          <w:tcPr>
            <w:tcW w:w="101" w:type="dxa"/>
            <w:tcBorders/>
            <w:shd w:fill="FFFFFF" w:val="clear"/>
            <w:vAlign w:val="bottom"/>
          </w:tcPr>
          <w:p>
            <w:pPr>
              <w:pStyle w:val="TableContents"/>
              <w:spacing w:before="0" w:after="283"/>
              <w:jc w:val="left"/>
              <w:rPr>
                <w:rFonts w:ascii="Arial" w:hAnsi="Arial"/>
              </w:rPr>
            </w:pPr>
            <w:r>
              <w:rPr>
                <w:rFonts w:ascii="Arial" w:hAnsi="Arial"/>
              </w:rPr>
              <w:t>)</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533" w:type="dxa"/>
            <w:tcBorders/>
            <w:shd w:fill="FFFFFF" w:val="clear"/>
            <w:vAlign w:val="bottom"/>
          </w:tcPr>
          <w:p>
            <w:pPr>
              <w:pStyle w:val="TableContents"/>
              <w:spacing w:before="0" w:after="283"/>
              <w:jc w:val="right"/>
              <w:rPr>
                <w:rFonts w:ascii="Arial" w:hAnsi="Arial"/>
              </w:rPr>
            </w:pPr>
            <w:r>
              <w:rPr>
                <w:rFonts w:ascii="Arial" w:hAnsi="Arial"/>
              </w:rPr>
              <w:t>(231</w:t>
            </w:r>
          </w:p>
        </w:tc>
        <w:tc>
          <w:tcPr>
            <w:tcW w:w="405" w:type="dxa"/>
            <w:tcBorders/>
            <w:shd w:fill="FFFFFF" w:val="clear"/>
            <w:vAlign w:val="bottom"/>
          </w:tcPr>
          <w:p>
            <w:pPr>
              <w:pStyle w:val="TableContents"/>
              <w:spacing w:before="0" w:after="283"/>
              <w:jc w:val="left"/>
              <w:rPr>
                <w:rFonts w:ascii="Arial" w:hAnsi="Arial"/>
              </w:rPr>
            </w:pPr>
            <w:r>
              <w:rPr>
                <w:rFonts w:ascii="Arial" w:hAnsi="Arial"/>
              </w:rPr>
              <w:t>)</w:t>
            </w:r>
          </w:p>
        </w:tc>
        <w:tc>
          <w:tcPr>
            <w:tcW w:w="512"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533" w:type="dxa"/>
            <w:tcBorders/>
            <w:shd w:fill="FFFFFF" w:val="clear"/>
            <w:vAlign w:val="bottom"/>
          </w:tcPr>
          <w:p>
            <w:pPr>
              <w:pStyle w:val="TableContents"/>
              <w:spacing w:before="0" w:after="283"/>
              <w:jc w:val="right"/>
              <w:rPr>
                <w:rFonts w:ascii="Arial" w:hAnsi="Arial"/>
              </w:rPr>
            </w:pPr>
            <w:r>
              <w:rPr>
                <w:rFonts w:ascii="Arial" w:hAnsi="Arial"/>
              </w:rPr>
              <w:t>(429</w:t>
            </w:r>
          </w:p>
        </w:tc>
        <w:tc>
          <w:tcPr>
            <w:tcW w:w="40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21"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18" w:space="0" w:color="000000"/>
              </w:pBdr>
              <w:spacing w:before="0" w:after="283"/>
              <w:rPr/>
            </w:pPr>
            <w:r>
              <w:rPr/>
            </w:r>
          </w:p>
        </w:tc>
        <w:tc>
          <w:tcPr>
            <w:tcW w:w="101" w:type="dxa"/>
            <w:tcBorders/>
            <w:shd w:fill="E5FFFF" w:val="clear"/>
            <w:vAlign w:val="center"/>
          </w:tcPr>
          <w:p>
            <w:pPr>
              <w:pStyle w:val="TableContents"/>
              <w:spacing w:before="0" w:after="283"/>
              <w:rPr/>
            </w:pPr>
            <w:r>
              <w:rPr/>
              <w:t> </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18" w:space="0" w:color="000000"/>
              </w:pBdr>
              <w:spacing w:before="0" w:after="283"/>
              <w:rPr/>
            </w:pPr>
            <w:r>
              <w:rPr/>
            </w:r>
          </w:p>
        </w:tc>
        <w:tc>
          <w:tcPr>
            <w:tcW w:w="405" w:type="dxa"/>
            <w:tcBorders/>
            <w:shd w:fill="E5FFFF" w:val="clear"/>
            <w:vAlign w:val="center"/>
          </w:tcPr>
          <w:p>
            <w:pPr>
              <w:pStyle w:val="TableContents"/>
              <w:spacing w:before="0" w:after="283"/>
              <w:rPr/>
            </w:pPr>
            <w:r>
              <w:rPr/>
              <w:t> </w:t>
            </w:r>
          </w:p>
        </w:tc>
        <w:tc>
          <w:tcPr>
            <w:tcW w:w="512"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18" w:space="0" w:color="000000"/>
              </w:pBdr>
              <w:spacing w:before="0" w:after="283"/>
              <w:rPr/>
            </w:pPr>
            <w:r>
              <w:rPr/>
            </w:r>
          </w:p>
        </w:tc>
        <w:tc>
          <w:tcPr>
            <w:tcW w:w="405" w:type="dxa"/>
            <w:tcBorders/>
            <w:shd w:fill="E5FFFF" w:val="clear"/>
            <w:vAlign w:val="center"/>
          </w:tcPr>
          <w:p>
            <w:pPr>
              <w:pStyle w:val="TableContents"/>
              <w:spacing w:before="0" w:after="283"/>
              <w:rPr/>
            </w:pPr>
            <w:r>
              <w:rPr/>
              <w:t> </w:t>
            </w:r>
          </w:p>
        </w:tc>
      </w:tr>
      <w:tr>
        <w:trPr/>
        <w:tc>
          <w:tcPr>
            <w:tcW w:w="5921" w:type="dxa"/>
            <w:tcBorders/>
            <w:shd w:fill="FFFFFF" w:val="clear"/>
            <w:vAlign w:val="bottom"/>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512"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center"/>
          </w:tcPr>
          <w:p>
            <w:pPr>
              <w:pStyle w:val="TableContents"/>
              <w:spacing w:before="0" w:after="283"/>
              <w:rPr/>
            </w:pPr>
            <w:r>
              <w:rPr/>
              <w:t> </w:t>
            </w:r>
          </w:p>
        </w:tc>
        <w:tc>
          <w:tcPr>
            <w:tcW w:w="405" w:type="dxa"/>
            <w:tcBorders/>
            <w:shd w:fill="FFFFFF" w:val="clear"/>
            <w:vAlign w:val="center"/>
          </w:tcPr>
          <w:p>
            <w:pPr>
              <w:pStyle w:val="TableContents"/>
              <w:spacing w:before="0" w:after="283"/>
              <w:rPr/>
            </w:pPr>
            <w:r>
              <w:rPr/>
              <w:t> </w:t>
            </w:r>
          </w:p>
        </w:tc>
        <w:tc>
          <w:tcPr>
            <w:tcW w:w="512"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533" w:type="dxa"/>
            <w:tcBorders/>
            <w:shd w:fill="FFFFFF" w:val="clear"/>
            <w:vAlign w:val="center"/>
          </w:tcPr>
          <w:p>
            <w:pPr>
              <w:pStyle w:val="TableContents"/>
              <w:spacing w:before="0" w:after="283"/>
              <w:rPr/>
            </w:pPr>
            <w:r>
              <w:rPr/>
              <w:t> </w:t>
            </w:r>
          </w:p>
        </w:tc>
        <w:tc>
          <w:tcPr>
            <w:tcW w:w="405"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76"/>
        <w:gridCol w:w="180"/>
        <w:gridCol w:w="9749"/>
      </w:tblGrid>
      <w:tr>
        <w:trPr/>
        <w:tc>
          <w:tcPr>
            <w:tcW w:w="276"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49" w:type="dxa"/>
            <w:tcBorders/>
            <w:shd w:fill="FFFFFF" w:val="clear"/>
            <w:vAlign w:val="center"/>
          </w:tcPr>
          <w:p>
            <w:pPr>
              <w:pStyle w:val="TableContents"/>
              <w:spacing w:before="0" w:after="283"/>
              <w:rPr/>
            </w:pPr>
            <w:r>
              <w:rPr/>
              <w:t> </w:t>
            </w:r>
          </w:p>
        </w:tc>
      </w:tr>
      <w:tr>
        <w:trPr/>
        <w:tc>
          <w:tcPr>
            <w:tcW w:w="276"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49" w:type="dxa"/>
            <w:tcBorders/>
            <w:shd w:fill="FFFFFF" w:val="clear"/>
            <w:vAlign w:val="bottom"/>
          </w:tcPr>
          <w:p>
            <w:pPr>
              <w:pStyle w:val="TableContents"/>
              <w:spacing w:before="0" w:after="283"/>
              <w:jc w:val="left"/>
              <w:rPr>
                <w:rFonts w:ascii="Arial" w:hAnsi="Arial"/>
              </w:rPr>
            </w:pPr>
            <w:r>
              <w:rPr>
                <w:rFonts w:ascii="Arial" w:hAnsi="Arial"/>
              </w:rPr>
              <w:t>Includes pretax gains on the sales of our Security Monitoring and VCSEL Optical Products businesses of $215 and $36 million, respectively.</w:t>
            </w:r>
          </w:p>
        </w:tc>
      </w:tr>
      <w:tr>
        <w:trPr/>
        <w:tc>
          <w:tcPr>
            <w:tcW w:w="276"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49" w:type="dxa"/>
            <w:tcBorders/>
            <w:shd w:fill="FFFFFF" w:val="clear"/>
            <w:vAlign w:val="center"/>
          </w:tcPr>
          <w:p>
            <w:pPr>
              <w:pStyle w:val="TableContents"/>
              <w:spacing w:before="0" w:after="283"/>
              <w:rPr/>
            </w:pPr>
            <w:r>
              <w:rPr/>
              <w:t> </w:t>
            </w:r>
          </w:p>
        </w:tc>
      </w:tr>
      <w:tr>
        <w:trPr/>
        <w:tc>
          <w:tcPr>
            <w:tcW w:w="276" w:type="dxa"/>
            <w:tcBorders/>
            <w:shd w:fill="FFFFFF" w:val="clear"/>
          </w:tcPr>
          <w:p>
            <w:pPr>
              <w:pStyle w:val="TableContents"/>
              <w:spacing w:before="0" w:after="283"/>
              <w:jc w:val="right"/>
              <w:rPr>
                <w:rFonts w:ascii="Arial" w:hAnsi="Arial"/>
              </w:rPr>
            </w:pPr>
            <w:r>
              <w:rPr>
                <w:rFonts w:ascii="Arial" w:hAnsi="Arial"/>
              </w:rPr>
              <w:t>(2)</w:t>
            </w:r>
          </w:p>
        </w:tc>
        <w:tc>
          <w:tcPr>
            <w:tcW w:w="180" w:type="dxa"/>
            <w:tcBorders/>
            <w:shd w:fill="FFFFFF" w:val="clear"/>
            <w:vAlign w:val="bottom"/>
          </w:tcPr>
          <w:p>
            <w:pPr>
              <w:pStyle w:val="TableContents"/>
              <w:spacing w:before="0" w:after="283"/>
              <w:jc w:val="left"/>
              <w:rPr/>
            </w:pPr>
            <w:r>
              <w:rPr/>
              <w:t>   </w:t>
            </w:r>
          </w:p>
        </w:tc>
        <w:tc>
          <w:tcPr>
            <w:tcW w:w="9749" w:type="dxa"/>
            <w:tcBorders/>
            <w:shd w:fill="FFFFFF" w:val="clear"/>
            <w:vAlign w:val="bottom"/>
          </w:tcPr>
          <w:p>
            <w:pPr>
              <w:pStyle w:val="TableContents"/>
              <w:spacing w:before="0" w:after="283"/>
              <w:jc w:val="left"/>
              <w:rPr>
                <w:rFonts w:ascii="Arial" w:hAnsi="Arial"/>
              </w:rPr>
            </w:pPr>
            <w:r>
              <w:rPr>
                <w:rFonts w:ascii="Arial" w:hAnsi="Arial"/>
              </w:rPr>
              <w:t>Includes equity income of $107 million in 2005 and $71 million in 2004 from UOP (acquisition to full ownership in November 2005).</w:t>
            </w:r>
          </w:p>
        </w:tc>
      </w:tr>
      <w:tr>
        <w:trPr/>
        <w:tc>
          <w:tcPr>
            <w:tcW w:w="276"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49" w:type="dxa"/>
            <w:tcBorders/>
            <w:shd w:fill="FFFFFF" w:val="clear"/>
            <w:vAlign w:val="center"/>
          </w:tcPr>
          <w:p>
            <w:pPr>
              <w:pStyle w:val="TableContents"/>
              <w:spacing w:before="0" w:after="283"/>
              <w:rPr/>
            </w:pPr>
            <w:r>
              <w:rPr/>
              <w:t> </w:t>
            </w:r>
          </w:p>
        </w:tc>
      </w:tr>
      <w:tr>
        <w:trPr/>
        <w:tc>
          <w:tcPr>
            <w:tcW w:w="276" w:type="dxa"/>
            <w:tcBorders/>
            <w:shd w:fill="FFFFFF" w:val="clear"/>
          </w:tcPr>
          <w:p>
            <w:pPr>
              <w:pStyle w:val="TableContents"/>
              <w:spacing w:before="0" w:after="283"/>
              <w:jc w:val="right"/>
              <w:rPr>
                <w:rFonts w:ascii="Arial" w:hAnsi="Arial"/>
              </w:rPr>
            </w:pPr>
            <w:r>
              <w:rPr>
                <w:rFonts w:ascii="Arial" w:hAnsi="Arial"/>
              </w:rPr>
              <w:t>(3)</w:t>
            </w:r>
          </w:p>
        </w:tc>
        <w:tc>
          <w:tcPr>
            <w:tcW w:w="180" w:type="dxa"/>
            <w:tcBorders/>
            <w:shd w:fill="FFFFFF" w:val="clear"/>
            <w:vAlign w:val="bottom"/>
          </w:tcPr>
          <w:p>
            <w:pPr>
              <w:pStyle w:val="TableContents"/>
              <w:spacing w:before="0" w:after="283"/>
              <w:jc w:val="left"/>
              <w:rPr/>
            </w:pPr>
            <w:r>
              <w:rPr/>
              <w:t>   </w:t>
            </w:r>
          </w:p>
        </w:tc>
        <w:tc>
          <w:tcPr>
            <w:tcW w:w="9749" w:type="dxa"/>
            <w:tcBorders/>
            <w:shd w:fill="FFFFFF" w:val="clear"/>
            <w:vAlign w:val="bottom"/>
          </w:tcPr>
          <w:p>
            <w:pPr>
              <w:pStyle w:val="TableContents"/>
              <w:spacing w:before="0" w:after="283"/>
              <w:jc w:val="left"/>
              <w:rPr>
                <w:rFonts w:ascii="Arial" w:hAnsi="Arial"/>
              </w:rPr>
            </w:pPr>
            <w:r>
              <w:rPr>
                <w:rFonts w:ascii="Arial" w:hAnsi="Arial"/>
              </w:rPr>
              <w:t>Includes recognition of a gain of $27 million related to the settlement of a patent infringement lawsuit.</w:t>
            </w:r>
          </w:p>
        </w:tc>
      </w:tr>
    </w:tbl>
    <w:p>
      <w:pPr>
        <w:pStyle w:val="TextBody"/>
        <w:jc w:val="left"/>
        <w:rPr>
          <w:rFonts w:ascii="Arial" w:hAnsi="Arial"/>
          <w:b/>
        </w:rPr>
      </w:pPr>
      <w:r>
        <w:rPr>
          <w:rFonts w:ascii="Arial" w:hAnsi="Arial"/>
          <w:b/>
        </w:rPr>
        <w:t>Note 5—Interest and Other Financial Charges</w:t>
      </w:r>
    </w:p>
    <w:tbl>
      <w:tblPr>
        <w:tblW w:w="5000" w:type="pct"/>
        <w:jc w:val="left"/>
        <w:tblInd w:w="0" w:type="dxa"/>
        <w:tblCellMar>
          <w:top w:w="0" w:type="dxa"/>
          <w:left w:w="0" w:type="dxa"/>
          <w:bottom w:w="0" w:type="dxa"/>
          <w:right w:w="0" w:type="dxa"/>
        </w:tblCellMar>
      </w:tblPr>
      <w:tblGrid>
        <w:gridCol w:w="456"/>
        <w:gridCol w:w="5508"/>
        <w:gridCol w:w="305"/>
        <w:gridCol w:w="243"/>
        <w:gridCol w:w="669"/>
        <w:gridCol w:w="148"/>
        <w:gridCol w:w="377"/>
        <w:gridCol w:w="244"/>
        <w:gridCol w:w="668"/>
        <w:gridCol w:w="149"/>
        <w:gridCol w:w="377"/>
        <w:gridCol w:w="243"/>
        <w:gridCol w:w="669"/>
        <w:gridCol w:w="149"/>
      </w:tblGrid>
      <w:tr>
        <w:trPr/>
        <w:tc>
          <w:tcPr>
            <w:tcW w:w="456" w:type="dxa"/>
            <w:tcBorders/>
            <w:shd w:fill="FFFFFF" w:val="clear"/>
            <w:vAlign w:val="center"/>
          </w:tcPr>
          <w:p>
            <w:pPr>
              <w:pStyle w:val="TableContents"/>
              <w:spacing w:before="0" w:after="283"/>
              <w:rPr/>
            </w:pPr>
            <w:r>
              <w:rPr/>
              <w:t> </w:t>
            </w:r>
          </w:p>
        </w:tc>
        <w:tc>
          <w:tcPr>
            <w:tcW w:w="5508"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3936"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56" w:type="dxa"/>
            <w:tcBorders/>
            <w:shd w:fill="FFFFFF" w:val="clear"/>
            <w:vAlign w:val="center"/>
          </w:tcPr>
          <w:p>
            <w:pPr>
              <w:pStyle w:val="TableContents"/>
              <w:spacing w:before="0" w:after="283"/>
              <w:rPr/>
            </w:pPr>
            <w:r>
              <w:rPr/>
              <w:t> </w:t>
            </w:r>
          </w:p>
        </w:tc>
        <w:tc>
          <w:tcPr>
            <w:tcW w:w="5508"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rPr/>
            </w:pPr>
            <w:r>
              <w:rPr/>
              <w:t> </w:t>
            </w:r>
          </w:p>
        </w:tc>
        <w:tc>
          <w:tcPr>
            <w:tcW w:w="106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77" w:type="dxa"/>
            <w:tcBorders/>
            <w:shd w:fill="FFFFFF" w:val="clear"/>
            <w:vAlign w:val="center"/>
          </w:tcPr>
          <w:p>
            <w:pPr>
              <w:pStyle w:val="TableContents"/>
              <w:spacing w:before="0" w:after="283"/>
              <w:rPr/>
            </w:pPr>
            <w:r>
              <w:rPr/>
              <w:t> </w:t>
            </w:r>
          </w:p>
        </w:tc>
        <w:tc>
          <w:tcPr>
            <w:tcW w:w="1061"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77" w:type="dxa"/>
            <w:tcBorders/>
            <w:shd w:fill="FFFFFF" w:val="clear"/>
            <w:vAlign w:val="center"/>
          </w:tcPr>
          <w:p>
            <w:pPr>
              <w:pStyle w:val="TableContents"/>
              <w:spacing w:before="0" w:after="283"/>
              <w:rPr/>
            </w:pPr>
            <w:r>
              <w:rPr/>
              <w:t> </w:t>
            </w:r>
          </w:p>
        </w:tc>
        <w:tc>
          <w:tcPr>
            <w:tcW w:w="106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56" w:type="dxa"/>
            <w:tcBorders/>
            <w:shd w:fill="FFFFFF" w:val="clear"/>
            <w:vAlign w:val="bottom"/>
          </w:tcPr>
          <w:p>
            <w:pPr>
              <w:pStyle w:val="TableContents"/>
              <w:spacing w:before="0" w:after="283"/>
              <w:jc w:val="left"/>
              <w:rPr/>
            </w:pPr>
            <w:r>
              <w:rPr/>
              <w:t>      </w:t>
            </w:r>
          </w:p>
        </w:tc>
        <w:tc>
          <w:tcPr>
            <w:tcW w:w="5508" w:type="dxa"/>
            <w:tcBorders/>
            <w:shd w:fill="FFFFFF" w:val="clear"/>
            <w:vAlign w:val="bottom"/>
          </w:tcPr>
          <w:p>
            <w:pPr>
              <w:pStyle w:val="TableContents"/>
              <w:spacing w:before="0" w:after="283"/>
              <w:jc w:val="left"/>
              <w:rPr>
                <w:rFonts w:ascii="Arial" w:hAnsi="Arial"/>
              </w:rPr>
            </w:pPr>
            <w:r>
              <w:rPr>
                <w:rFonts w:ascii="Arial" w:hAnsi="Arial"/>
              </w:rPr>
              <w:t>Total interest and other financial charges</w:t>
            </w:r>
          </w:p>
        </w:tc>
        <w:tc>
          <w:tcPr>
            <w:tcW w:w="305" w:type="dxa"/>
            <w:tcBorders/>
            <w:shd w:fill="FFFFFF" w:val="clear"/>
            <w:vAlign w:val="bottom"/>
          </w:tcPr>
          <w:p>
            <w:pPr>
              <w:pStyle w:val="TableContents"/>
              <w:spacing w:before="0" w:after="283"/>
              <w:jc w:val="right"/>
              <w:rPr/>
            </w:pPr>
            <w:r>
              <w:rPr/>
              <w:t>    </w:t>
            </w:r>
          </w:p>
        </w:tc>
        <w:tc>
          <w:tcPr>
            <w:tcW w:w="243" w:type="dxa"/>
            <w:tcBorders/>
            <w:shd w:fill="FFFFFF" w:val="clear"/>
            <w:vAlign w:val="bottom"/>
          </w:tcPr>
          <w:p>
            <w:pPr>
              <w:pStyle w:val="TableContents"/>
              <w:spacing w:before="0" w:after="283"/>
              <w:jc w:val="right"/>
              <w:rPr>
                <w:rFonts w:ascii="Arial" w:hAnsi="Arial"/>
              </w:rPr>
            </w:pPr>
            <w:r>
              <w:rPr>
                <w:rFonts w:ascii="Arial" w:hAnsi="Arial"/>
              </w:rPr>
              <w:t>$</w:t>
            </w:r>
          </w:p>
        </w:tc>
        <w:tc>
          <w:tcPr>
            <w:tcW w:w="669" w:type="dxa"/>
            <w:tcBorders/>
            <w:shd w:fill="FFFFFF" w:val="clear"/>
            <w:vAlign w:val="bottom"/>
          </w:tcPr>
          <w:p>
            <w:pPr>
              <w:pStyle w:val="TableContents"/>
              <w:spacing w:before="0" w:after="283"/>
              <w:jc w:val="right"/>
              <w:rPr>
                <w:rFonts w:ascii="Arial" w:hAnsi="Arial"/>
              </w:rPr>
            </w:pPr>
            <w:r>
              <w:rPr>
                <w:rFonts w:ascii="Arial" w:hAnsi="Arial"/>
              </w:rPr>
              <w:t>396</w:t>
            </w:r>
          </w:p>
        </w:tc>
        <w:tc>
          <w:tcPr>
            <w:tcW w:w="148" w:type="dxa"/>
            <w:tcBorders/>
            <w:shd w:fill="FFFFFF" w:val="clear"/>
            <w:vAlign w:val="center"/>
          </w:tcPr>
          <w:p>
            <w:pPr>
              <w:pStyle w:val="TableContents"/>
              <w:spacing w:before="0" w:after="283"/>
              <w:rPr/>
            </w:pPr>
            <w:r>
              <w:rPr/>
              <w:t> </w:t>
            </w:r>
          </w:p>
        </w:tc>
        <w:tc>
          <w:tcPr>
            <w:tcW w:w="377"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right"/>
              <w:rPr>
                <w:rFonts w:ascii="Arial" w:hAnsi="Arial"/>
              </w:rPr>
            </w:pPr>
            <w:r>
              <w:rPr>
                <w:rFonts w:ascii="Arial" w:hAnsi="Arial"/>
              </w:rPr>
              <w:t>$</w:t>
            </w:r>
          </w:p>
        </w:tc>
        <w:tc>
          <w:tcPr>
            <w:tcW w:w="668" w:type="dxa"/>
            <w:tcBorders/>
            <w:shd w:fill="FFFFFF" w:val="clear"/>
            <w:vAlign w:val="bottom"/>
          </w:tcPr>
          <w:p>
            <w:pPr>
              <w:pStyle w:val="TableContents"/>
              <w:spacing w:before="0" w:after="283"/>
              <w:jc w:val="right"/>
              <w:rPr>
                <w:rFonts w:ascii="Arial" w:hAnsi="Arial"/>
              </w:rPr>
            </w:pPr>
            <w:r>
              <w:rPr>
                <w:rFonts w:ascii="Arial" w:hAnsi="Arial"/>
              </w:rPr>
              <w:t>373</w:t>
            </w:r>
          </w:p>
        </w:tc>
        <w:tc>
          <w:tcPr>
            <w:tcW w:w="149" w:type="dxa"/>
            <w:tcBorders/>
            <w:shd w:fill="FFFFFF" w:val="clear"/>
            <w:vAlign w:val="center"/>
          </w:tcPr>
          <w:p>
            <w:pPr>
              <w:pStyle w:val="TableContents"/>
              <w:spacing w:before="0" w:after="283"/>
              <w:rPr/>
            </w:pPr>
            <w:r>
              <w:rPr/>
              <w:t> </w:t>
            </w:r>
          </w:p>
        </w:tc>
        <w:tc>
          <w:tcPr>
            <w:tcW w:w="377" w:type="dxa"/>
            <w:tcBorders/>
            <w:shd w:fill="FFFFFF" w:val="clear"/>
            <w:vAlign w:val="bottom"/>
          </w:tcPr>
          <w:p>
            <w:pPr>
              <w:pStyle w:val="TableContents"/>
              <w:spacing w:before="0" w:after="283"/>
              <w:jc w:val="right"/>
              <w:rPr/>
            </w:pPr>
            <w:r>
              <w:rPr/>
              <w:t>    </w:t>
            </w:r>
          </w:p>
        </w:tc>
        <w:tc>
          <w:tcPr>
            <w:tcW w:w="243" w:type="dxa"/>
            <w:tcBorders/>
            <w:shd w:fill="FFFFFF" w:val="clear"/>
            <w:vAlign w:val="bottom"/>
          </w:tcPr>
          <w:p>
            <w:pPr>
              <w:pStyle w:val="TableContents"/>
              <w:spacing w:before="0" w:after="283"/>
              <w:jc w:val="right"/>
              <w:rPr>
                <w:rFonts w:ascii="Arial" w:hAnsi="Arial"/>
              </w:rPr>
            </w:pPr>
            <w:r>
              <w:rPr>
                <w:rFonts w:ascii="Arial" w:hAnsi="Arial"/>
              </w:rPr>
              <w:t>$</w:t>
            </w:r>
          </w:p>
        </w:tc>
        <w:tc>
          <w:tcPr>
            <w:tcW w:w="669" w:type="dxa"/>
            <w:tcBorders/>
            <w:shd w:fill="FFFFFF" w:val="clear"/>
            <w:vAlign w:val="bottom"/>
          </w:tcPr>
          <w:p>
            <w:pPr>
              <w:pStyle w:val="TableContents"/>
              <w:spacing w:before="0" w:after="283"/>
              <w:jc w:val="right"/>
              <w:rPr>
                <w:rFonts w:ascii="Arial" w:hAnsi="Arial"/>
              </w:rPr>
            </w:pPr>
            <w:r>
              <w:rPr>
                <w:rFonts w:ascii="Arial" w:hAnsi="Arial"/>
              </w:rPr>
              <w:t>349</w:t>
            </w:r>
          </w:p>
        </w:tc>
        <w:tc>
          <w:tcPr>
            <w:tcW w:w="149" w:type="dxa"/>
            <w:tcBorders/>
            <w:shd w:fill="FFFFFF" w:val="clear"/>
            <w:vAlign w:val="center"/>
          </w:tcPr>
          <w:p>
            <w:pPr>
              <w:pStyle w:val="TableContents"/>
              <w:spacing w:before="0" w:after="283"/>
              <w:rPr/>
            </w:pPr>
            <w:r>
              <w:rPr/>
              <w:t> </w:t>
            </w:r>
          </w:p>
        </w:tc>
      </w:tr>
      <w:tr>
        <w:trPr/>
        <w:tc>
          <w:tcPr>
            <w:tcW w:w="456" w:type="dxa"/>
            <w:tcBorders/>
            <w:shd w:fill="E5FFFF" w:val="clear"/>
            <w:vAlign w:val="bottom"/>
          </w:tcPr>
          <w:p>
            <w:pPr>
              <w:pStyle w:val="TableContents"/>
              <w:spacing w:before="0" w:after="283"/>
              <w:jc w:val="left"/>
              <w:rPr/>
            </w:pPr>
            <w:r>
              <w:rPr/>
              <w:t>      </w:t>
            </w:r>
          </w:p>
        </w:tc>
        <w:tc>
          <w:tcPr>
            <w:tcW w:w="5508" w:type="dxa"/>
            <w:tcBorders/>
            <w:shd w:fill="E5FFFF" w:val="clear"/>
            <w:vAlign w:val="bottom"/>
          </w:tcPr>
          <w:p>
            <w:pPr>
              <w:pStyle w:val="TableContents"/>
              <w:spacing w:before="0" w:after="283"/>
              <w:jc w:val="left"/>
              <w:rPr>
                <w:rFonts w:ascii="Arial" w:hAnsi="Arial"/>
              </w:rPr>
            </w:pPr>
            <w:r>
              <w:rPr>
                <w:rFonts w:ascii="Arial" w:hAnsi="Arial"/>
              </w:rPr>
              <w:t>Less—capitalized interest</w:t>
            </w:r>
          </w:p>
        </w:tc>
        <w:tc>
          <w:tcPr>
            <w:tcW w:w="305" w:type="dxa"/>
            <w:tcBorders/>
            <w:shd w:fill="E5FFFF" w:val="clear"/>
            <w:vAlign w:val="bottom"/>
          </w:tcPr>
          <w:p>
            <w:pPr>
              <w:pStyle w:val="TableContents"/>
              <w:spacing w:before="0" w:after="283"/>
              <w:jc w:val="right"/>
              <w:rPr/>
            </w:pPr>
            <w:r>
              <w:rPr/>
              <w:t>    </w:t>
            </w:r>
          </w:p>
        </w:tc>
        <w:tc>
          <w:tcPr>
            <w:tcW w:w="243" w:type="dxa"/>
            <w:tcBorders/>
            <w:shd w:fill="E5FFFF" w:val="clear"/>
            <w:vAlign w:val="center"/>
          </w:tcPr>
          <w:p>
            <w:pPr>
              <w:pStyle w:val="TableContents"/>
              <w:spacing w:before="0" w:after="283"/>
              <w:rPr/>
            </w:pPr>
            <w:r>
              <w:rPr/>
              <w:t> </w:t>
            </w:r>
          </w:p>
        </w:tc>
        <w:tc>
          <w:tcPr>
            <w:tcW w:w="669" w:type="dxa"/>
            <w:tcBorders/>
            <w:shd w:fill="E5FFFF" w:val="clear"/>
            <w:vAlign w:val="bottom"/>
          </w:tcPr>
          <w:p>
            <w:pPr>
              <w:pStyle w:val="TableContents"/>
              <w:spacing w:before="0" w:after="283"/>
              <w:jc w:val="right"/>
              <w:rPr>
                <w:rFonts w:ascii="Arial" w:hAnsi="Arial"/>
              </w:rPr>
            </w:pPr>
            <w:r>
              <w:rPr>
                <w:rFonts w:ascii="Arial" w:hAnsi="Arial"/>
              </w:rPr>
              <w:t>(22</w:t>
            </w:r>
          </w:p>
        </w:tc>
        <w:tc>
          <w:tcPr>
            <w:tcW w:w="148" w:type="dxa"/>
            <w:tcBorders/>
            <w:shd w:fill="E5FFFF" w:val="clear"/>
            <w:vAlign w:val="bottom"/>
          </w:tcPr>
          <w:p>
            <w:pPr>
              <w:pStyle w:val="TableContents"/>
              <w:spacing w:before="0" w:after="283"/>
              <w:jc w:val="left"/>
              <w:rPr>
                <w:rFonts w:ascii="Arial" w:hAnsi="Arial"/>
              </w:rPr>
            </w:pPr>
            <w:r>
              <w:rPr>
                <w:rFonts w:ascii="Arial" w:hAnsi="Arial"/>
              </w:rPr>
              <w:t>)</w:t>
            </w:r>
          </w:p>
        </w:tc>
        <w:tc>
          <w:tcPr>
            <w:tcW w:w="377" w:type="dxa"/>
            <w:tcBorders/>
            <w:shd w:fill="E5FFFF" w:val="clear"/>
            <w:vAlign w:val="bottom"/>
          </w:tcPr>
          <w:p>
            <w:pPr>
              <w:pStyle w:val="TableContents"/>
              <w:spacing w:before="0" w:after="283"/>
              <w:jc w:val="right"/>
              <w:rPr/>
            </w:pPr>
            <w:r>
              <w:rPr/>
              <w:t>    </w:t>
            </w:r>
          </w:p>
        </w:tc>
        <w:tc>
          <w:tcPr>
            <w:tcW w:w="244" w:type="dxa"/>
            <w:tcBorders/>
            <w:shd w:fill="E5FFFF" w:val="clear"/>
            <w:vAlign w:val="center"/>
          </w:tcPr>
          <w:p>
            <w:pPr>
              <w:pStyle w:val="TableContents"/>
              <w:spacing w:before="0" w:after="283"/>
              <w:rPr/>
            </w:pPr>
            <w:r>
              <w:rPr/>
              <w:t> </w:t>
            </w:r>
          </w:p>
        </w:tc>
        <w:tc>
          <w:tcPr>
            <w:tcW w:w="668" w:type="dxa"/>
            <w:tcBorders/>
            <w:shd w:fill="E5FFFF" w:val="clear"/>
            <w:vAlign w:val="bottom"/>
          </w:tcPr>
          <w:p>
            <w:pPr>
              <w:pStyle w:val="TableContents"/>
              <w:spacing w:before="0" w:after="283"/>
              <w:jc w:val="right"/>
              <w:rPr>
                <w:rFonts w:ascii="Arial" w:hAnsi="Arial"/>
              </w:rPr>
            </w:pPr>
            <w:r>
              <w:rPr>
                <w:rFonts w:ascii="Arial" w:hAnsi="Arial"/>
              </w:rPr>
              <w:t>(17</w:t>
            </w:r>
          </w:p>
        </w:tc>
        <w:tc>
          <w:tcPr>
            <w:tcW w:w="149" w:type="dxa"/>
            <w:tcBorders/>
            <w:shd w:fill="E5FFFF" w:val="clear"/>
            <w:vAlign w:val="bottom"/>
          </w:tcPr>
          <w:p>
            <w:pPr>
              <w:pStyle w:val="TableContents"/>
              <w:spacing w:before="0" w:after="283"/>
              <w:jc w:val="left"/>
              <w:rPr>
                <w:rFonts w:ascii="Arial" w:hAnsi="Arial"/>
              </w:rPr>
            </w:pPr>
            <w:r>
              <w:rPr>
                <w:rFonts w:ascii="Arial" w:hAnsi="Arial"/>
              </w:rPr>
              <w:t>)</w:t>
            </w:r>
          </w:p>
        </w:tc>
        <w:tc>
          <w:tcPr>
            <w:tcW w:w="377" w:type="dxa"/>
            <w:tcBorders/>
            <w:shd w:fill="E5FFFF" w:val="clear"/>
            <w:vAlign w:val="bottom"/>
          </w:tcPr>
          <w:p>
            <w:pPr>
              <w:pStyle w:val="TableContents"/>
              <w:spacing w:before="0" w:after="283"/>
              <w:jc w:val="right"/>
              <w:rPr/>
            </w:pPr>
            <w:r>
              <w:rPr/>
              <w:t>    </w:t>
            </w:r>
          </w:p>
        </w:tc>
        <w:tc>
          <w:tcPr>
            <w:tcW w:w="243" w:type="dxa"/>
            <w:tcBorders/>
            <w:shd w:fill="E5FFFF" w:val="clear"/>
            <w:vAlign w:val="center"/>
          </w:tcPr>
          <w:p>
            <w:pPr>
              <w:pStyle w:val="TableContents"/>
              <w:spacing w:before="0" w:after="283"/>
              <w:rPr/>
            </w:pPr>
            <w:r>
              <w:rPr/>
              <w:t> </w:t>
            </w:r>
          </w:p>
        </w:tc>
        <w:tc>
          <w:tcPr>
            <w:tcW w:w="669" w:type="dxa"/>
            <w:tcBorders/>
            <w:shd w:fill="E5FFFF" w:val="clear"/>
            <w:vAlign w:val="bottom"/>
          </w:tcPr>
          <w:p>
            <w:pPr>
              <w:pStyle w:val="TableContents"/>
              <w:spacing w:before="0" w:after="283"/>
              <w:jc w:val="right"/>
              <w:rPr>
                <w:rFonts w:ascii="Arial" w:hAnsi="Arial"/>
              </w:rPr>
            </w:pPr>
            <w:r>
              <w:rPr>
                <w:rFonts w:ascii="Arial" w:hAnsi="Arial"/>
              </w:rPr>
              <w:t>(18</w:t>
            </w:r>
          </w:p>
        </w:tc>
        <w:tc>
          <w:tcPr>
            <w:tcW w:w="149"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56" w:type="dxa"/>
            <w:tcBorders/>
            <w:shd w:fill="FFFFFF" w:val="clear"/>
            <w:vAlign w:val="center"/>
          </w:tcPr>
          <w:p>
            <w:pPr>
              <w:pStyle w:val="TableContents"/>
              <w:spacing w:before="0" w:after="283"/>
              <w:rPr/>
            </w:pPr>
            <w:r>
              <w:rPr/>
              <w:t> </w:t>
            </w:r>
          </w:p>
        </w:tc>
        <w:tc>
          <w:tcPr>
            <w:tcW w:w="5508" w:type="dxa"/>
            <w:tcBorders/>
            <w:shd w:fill="FFFFFF" w:val="clear"/>
            <w:vAlign w:val="center"/>
          </w:tcPr>
          <w:p>
            <w:pPr>
              <w:pStyle w:val="TableContents"/>
              <w:spacing w:before="0" w:after="283"/>
              <w:rPr/>
            </w:pPr>
            <w:r>
              <w:rPr/>
              <w:t> </w:t>
            </w:r>
          </w:p>
        </w:tc>
        <w:tc>
          <w:tcPr>
            <w:tcW w:w="305" w:type="dxa"/>
            <w:tcBorders/>
            <w:shd w:fill="FFFFFF" w:val="clear"/>
            <w:vAlign w:val="bottom"/>
          </w:tcPr>
          <w:p>
            <w:pPr>
              <w:pStyle w:val="TableContents"/>
              <w:spacing w:before="0" w:after="283"/>
              <w:jc w:val="right"/>
              <w:rPr/>
            </w:pPr>
            <w:r>
              <w:rPr/>
              <w:t>    </w:t>
            </w:r>
          </w:p>
        </w:tc>
        <w:tc>
          <w:tcPr>
            <w:tcW w:w="243"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HorizontalLine"/>
              <w:pBdr>
                <w:bottom w:val="single" w:sz="6" w:space="0" w:color="000000"/>
              </w:pBdr>
              <w:spacing w:before="0" w:after="283"/>
              <w:rPr/>
            </w:pPr>
            <w:r>
              <w:rPr/>
            </w:r>
          </w:p>
        </w:tc>
        <w:tc>
          <w:tcPr>
            <w:tcW w:w="148" w:type="dxa"/>
            <w:tcBorders/>
            <w:shd w:fill="FFFFFF" w:val="clear"/>
            <w:vAlign w:val="center"/>
          </w:tcPr>
          <w:p>
            <w:pPr>
              <w:pStyle w:val="TableContents"/>
              <w:spacing w:before="0" w:after="283"/>
              <w:rPr/>
            </w:pPr>
            <w:r>
              <w:rPr/>
              <w:t> </w:t>
            </w:r>
          </w:p>
        </w:tc>
        <w:tc>
          <w:tcPr>
            <w:tcW w:w="377" w:type="dxa"/>
            <w:tcBorders/>
            <w:shd w:fill="FFFFFF" w:val="clear"/>
            <w:vAlign w:val="bottom"/>
          </w:tcPr>
          <w:p>
            <w:pPr>
              <w:pStyle w:val="TableContents"/>
              <w:spacing w:before="0" w:after="283"/>
              <w:jc w:val="right"/>
              <w:rPr/>
            </w:pPr>
            <w:r>
              <w:rPr/>
              <w:t>    </w:t>
            </w:r>
          </w:p>
        </w:tc>
        <w:tc>
          <w:tcPr>
            <w:tcW w:w="244" w:type="dxa"/>
            <w:tcBorders/>
            <w:shd w:fill="FFFFFF" w:val="clear"/>
            <w:vAlign w:val="center"/>
          </w:tcPr>
          <w:p>
            <w:pPr>
              <w:pStyle w:val="TableContents"/>
              <w:spacing w:before="0" w:after="283"/>
              <w:rPr/>
            </w:pPr>
            <w:r>
              <w:rPr/>
              <w:t> </w:t>
            </w:r>
          </w:p>
        </w:tc>
        <w:tc>
          <w:tcPr>
            <w:tcW w:w="668" w:type="dxa"/>
            <w:tcBorders/>
            <w:shd w:fill="FFFFFF" w:val="clear"/>
            <w:vAlign w:val="bottom"/>
          </w:tcPr>
          <w:p>
            <w:pPr>
              <w:pStyle w:val="HorizontalLine"/>
              <w:pBdr>
                <w:bottom w:val="single" w:sz="6" w:space="0" w:color="000000"/>
              </w:pBdr>
              <w:spacing w:before="0" w:after="283"/>
              <w:rPr/>
            </w:pPr>
            <w:r>
              <w:rPr/>
            </w:r>
          </w:p>
        </w:tc>
        <w:tc>
          <w:tcPr>
            <w:tcW w:w="149" w:type="dxa"/>
            <w:tcBorders/>
            <w:shd w:fill="FFFFFF" w:val="clear"/>
            <w:vAlign w:val="center"/>
          </w:tcPr>
          <w:p>
            <w:pPr>
              <w:pStyle w:val="TableContents"/>
              <w:spacing w:before="0" w:after="283"/>
              <w:rPr/>
            </w:pPr>
            <w:r>
              <w:rPr/>
              <w:t> </w:t>
            </w:r>
          </w:p>
        </w:tc>
        <w:tc>
          <w:tcPr>
            <w:tcW w:w="377" w:type="dxa"/>
            <w:tcBorders/>
            <w:shd w:fill="FFFFFF" w:val="clear"/>
            <w:vAlign w:val="bottom"/>
          </w:tcPr>
          <w:p>
            <w:pPr>
              <w:pStyle w:val="TableContents"/>
              <w:spacing w:before="0" w:after="283"/>
              <w:jc w:val="right"/>
              <w:rPr/>
            </w:pPr>
            <w:r>
              <w:rPr/>
              <w:t>    </w:t>
            </w:r>
          </w:p>
        </w:tc>
        <w:tc>
          <w:tcPr>
            <w:tcW w:w="243"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HorizontalLine"/>
              <w:pBdr>
                <w:bottom w:val="single" w:sz="6" w:space="0" w:color="000000"/>
              </w:pBdr>
              <w:spacing w:before="0" w:after="283"/>
              <w:rPr/>
            </w:pPr>
            <w:r>
              <w:rPr/>
            </w:r>
          </w:p>
        </w:tc>
        <w:tc>
          <w:tcPr>
            <w:tcW w:w="149" w:type="dxa"/>
            <w:tcBorders/>
            <w:shd w:fill="FFFFFF" w:val="clear"/>
            <w:vAlign w:val="center"/>
          </w:tcPr>
          <w:p>
            <w:pPr>
              <w:pStyle w:val="TableContents"/>
              <w:spacing w:before="0" w:after="283"/>
              <w:rPr/>
            </w:pPr>
            <w:r>
              <w:rPr/>
              <w:t> </w:t>
            </w:r>
          </w:p>
        </w:tc>
      </w:tr>
      <w:tr>
        <w:trPr/>
        <w:tc>
          <w:tcPr>
            <w:tcW w:w="456" w:type="dxa"/>
            <w:tcBorders/>
            <w:shd w:fill="E5FFFF" w:val="clear"/>
            <w:vAlign w:val="bottom"/>
          </w:tcPr>
          <w:p>
            <w:pPr>
              <w:pStyle w:val="TableContents"/>
              <w:spacing w:before="0" w:after="283"/>
              <w:jc w:val="left"/>
              <w:rPr/>
            </w:pPr>
            <w:r>
              <w:rPr/>
              <w:t>      </w:t>
            </w:r>
          </w:p>
        </w:tc>
        <w:tc>
          <w:tcPr>
            <w:tcW w:w="5508" w:type="dxa"/>
            <w:tcBorders/>
            <w:shd w:fill="E5FFFF" w:val="clear"/>
            <w:vAlign w:val="bottom"/>
          </w:tcPr>
          <w:p>
            <w:pPr>
              <w:pStyle w:val="TableContents"/>
              <w:spacing w:before="0" w:after="283"/>
              <w:rPr>
                <w:sz w:val="4"/>
                <w:szCs w:val="4"/>
              </w:rPr>
            </w:pPr>
            <w:r>
              <w:rPr>
                <w:sz w:val="4"/>
                <w:szCs w:val="4"/>
              </w:rPr>
            </w:r>
          </w:p>
        </w:tc>
        <w:tc>
          <w:tcPr>
            <w:tcW w:w="305" w:type="dxa"/>
            <w:tcBorders/>
            <w:shd w:fill="E5FFFF" w:val="clear"/>
            <w:vAlign w:val="bottom"/>
          </w:tcPr>
          <w:p>
            <w:pPr>
              <w:pStyle w:val="TableContents"/>
              <w:spacing w:before="0" w:after="283"/>
              <w:jc w:val="right"/>
              <w:rPr/>
            </w:pPr>
            <w:r>
              <w:rPr/>
              <w:t>    </w:t>
            </w:r>
          </w:p>
        </w:tc>
        <w:tc>
          <w:tcPr>
            <w:tcW w:w="243" w:type="dxa"/>
            <w:tcBorders/>
            <w:shd w:fill="E5FFFF" w:val="clear"/>
            <w:vAlign w:val="bottom"/>
          </w:tcPr>
          <w:p>
            <w:pPr>
              <w:pStyle w:val="TableContents"/>
              <w:spacing w:before="0" w:after="283"/>
              <w:jc w:val="right"/>
              <w:rPr>
                <w:rFonts w:ascii="Arial" w:hAnsi="Arial"/>
              </w:rPr>
            </w:pPr>
            <w:r>
              <w:rPr>
                <w:rFonts w:ascii="Arial" w:hAnsi="Arial"/>
              </w:rPr>
              <w:t>$</w:t>
            </w:r>
          </w:p>
        </w:tc>
        <w:tc>
          <w:tcPr>
            <w:tcW w:w="669" w:type="dxa"/>
            <w:tcBorders/>
            <w:shd w:fill="E5FFFF" w:val="clear"/>
            <w:vAlign w:val="bottom"/>
          </w:tcPr>
          <w:p>
            <w:pPr>
              <w:pStyle w:val="TableContents"/>
              <w:spacing w:before="0" w:after="283"/>
              <w:jc w:val="right"/>
              <w:rPr>
                <w:rFonts w:ascii="Arial" w:hAnsi="Arial"/>
              </w:rPr>
            </w:pPr>
            <w:r>
              <w:rPr>
                <w:rFonts w:ascii="Arial" w:hAnsi="Arial"/>
              </w:rPr>
              <w:t>374</w:t>
            </w:r>
          </w:p>
        </w:tc>
        <w:tc>
          <w:tcPr>
            <w:tcW w:w="148" w:type="dxa"/>
            <w:tcBorders/>
            <w:shd w:fill="E5FFFF" w:val="clear"/>
            <w:vAlign w:val="center"/>
          </w:tcPr>
          <w:p>
            <w:pPr>
              <w:pStyle w:val="TableContents"/>
              <w:spacing w:before="0" w:after="283"/>
              <w:rPr/>
            </w:pPr>
            <w:r>
              <w:rPr/>
              <w:t> </w:t>
            </w:r>
          </w:p>
        </w:tc>
        <w:tc>
          <w:tcPr>
            <w:tcW w:w="377" w:type="dxa"/>
            <w:tcBorders/>
            <w:shd w:fill="E5FFFF" w:val="clear"/>
            <w:vAlign w:val="bottom"/>
          </w:tcPr>
          <w:p>
            <w:pPr>
              <w:pStyle w:val="TableContents"/>
              <w:spacing w:before="0" w:after="283"/>
              <w:jc w:val="right"/>
              <w:rPr/>
            </w:pPr>
            <w:r>
              <w:rPr/>
              <w:t>    </w:t>
            </w:r>
          </w:p>
        </w:tc>
        <w:tc>
          <w:tcPr>
            <w:tcW w:w="244" w:type="dxa"/>
            <w:tcBorders/>
            <w:shd w:fill="E5FFFF" w:val="clear"/>
            <w:vAlign w:val="bottom"/>
          </w:tcPr>
          <w:p>
            <w:pPr>
              <w:pStyle w:val="TableContents"/>
              <w:spacing w:before="0" w:after="283"/>
              <w:jc w:val="right"/>
              <w:rPr>
                <w:rFonts w:ascii="Arial" w:hAnsi="Arial"/>
              </w:rPr>
            </w:pPr>
            <w:r>
              <w:rPr>
                <w:rFonts w:ascii="Arial" w:hAnsi="Arial"/>
              </w:rPr>
              <w:t>$</w:t>
            </w:r>
          </w:p>
        </w:tc>
        <w:tc>
          <w:tcPr>
            <w:tcW w:w="668" w:type="dxa"/>
            <w:tcBorders/>
            <w:shd w:fill="E5FFFF" w:val="clear"/>
            <w:vAlign w:val="bottom"/>
          </w:tcPr>
          <w:p>
            <w:pPr>
              <w:pStyle w:val="TableContents"/>
              <w:spacing w:before="0" w:after="283"/>
              <w:jc w:val="right"/>
              <w:rPr>
                <w:rFonts w:ascii="Arial" w:hAnsi="Arial"/>
              </w:rPr>
            </w:pPr>
            <w:r>
              <w:rPr>
                <w:rFonts w:ascii="Arial" w:hAnsi="Arial"/>
              </w:rPr>
              <w:t>356</w:t>
            </w:r>
          </w:p>
        </w:tc>
        <w:tc>
          <w:tcPr>
            <w:tcW w:w="149" w:type="dxa"/>
            <w:tcBorders/>
            <w:shd w:fill="E5FFFF" w:val="clear"/>
            <w:vAlign w:val="center"/>
          </w:tcPr>
          <w:p>
            <w:pPr>
              <w:pStyle w:val="TableContents"/>
              <w:spacing w:before="0" w:after="283"/>
              <w:rPr/>
            </w:pPr>
            <w:r>
              <w:rPr/>
              <w:t> </w:t>
            </w:r>
          </w:p>
        </w:tc>
        <w:tc>
          <w:tcPr>
            <w:tcW w:w="377" w:type="dxa"/>
            <w:tcBorders/>
            <w:shd w:fill="E5FFFF" w:val="clear"/>
            <w:vAlign w:val="bottom"/>
          </w:tcPr>
          <w:p>
            <w:pPr>
              <w:pStyle w:val="TableContents"/>
              <w:spacing w:before="0" w:after="283"/>
              <w:jc w:val="right"/>
              <w:rPr/>
            </w:pPr>
            <w:r>
              <w:rPr/>
              <w:t>    </w:t>
            </w:r>
          </w:p>
        </w:tc>
        <w:tc>
          <w:tcPr>
            <w:tcW w:w="243" w:type="dxa"/>
            <w:tcBorders/>
            <w:shd w:fill="E5FFFF" w:val="clear"/>
            <w:vAlign w:val="bottom"/>
          </w:tcPr>
          <w:p>
            <w:pPr>
              <w:pStyle w:val="TableContents"/>
              <w:spacing w:before="0" w:after="283"/>
              <w:jc w:val="right"/>
              <w:rPr>
                <w:rFonts w:ascii="Arial" w:hAnsi="Arial"/>
              </w:rPr>
            </w:pPr>
            <w:r>
              <w:rPr>
                <w:rFonts w:ascii="Arial" w:hAnsi="Arial"/>
              </w:rPr>
              <w:t>$</w:t>
            </w:r>
          </w:p>
        </w:tc>
        <w:tc>
          <w:tcPr>
            <w:tcW w:w="669" w:type="dxa"/>
            <w:tcBorders/>
            <w:shd w:fill="E5FFFF" w:val="clear"/>
            <w:vAlign w:val="bottom"/>
          </w:tcPr>
          <w:p>
            <w:pPr>
              <w:pStyle w:val="TableContents"/>
              <w:spacing w:before="0" w:after="283"/>
              <w:jc w:val="right"/>
              <w:rPr>
                <w:rFonts w:ascii="Arial" w:hAnsi="Arial"/>
              </w:rPr>
            </w:pPr>
            <w:r>
              <w:rPr>
                <w:rFonts w:ascii="Arial" w:hAnsi="Arial"/>
              </w:rPr>
              <w:t>331</w:t>
            </w:r>
          </w:p>
        </w:tc>
        <w:tc>
          <w:tcPr>
            <w:tcW w:w="149" w:type="dxa"/>
            <w:tcBorders/>
            <w:shd w:fill="E5FFFF" w:val="clear"/>
            <w:vAlign w:val="center"/>
          </w:tcPr>
          <w:p>
            <w:pPr>
              <w:pStyle w:val="TableContents"/>
              <w:spacing w:before="0" w:after="283"/>
              <w:rPr/>
            </w:pPr>
            <w:r>
              <w:rPr/>
              <w:t> </w:t>
            </w:r>
          </w:p>
        </w:tc>
      </w:tr>
      <w:tr>
        <w:trPr/>
        <w:tc>
          <w:tcPr>
            <w:tcW w:w="456" w:type="dxa"/>
            <w:tcBorders/>
            <w:shd w:fill="FFFFFF" w:val="clear"/>
            <w:vAlign w:val="center"/>
          </w:tcPr>
          <w:p>
            <w:pPr>
              <w:pStyle w:val="TableContents"/>
              <w:spacing w:before="0" w:after="283"/>
              <w:rPr/>
            </w:pPr>
            <w:r>
              <w:rPr/>
              <w:t> </w:t>
            </w:r>
          </w:p>
        </w:tc>
        <w:tc>
          <w:tcPr>
            <w:tcW w:w="5508" w:type="dxa"/>
            <w:tcBorders/>
            <w:shd w:fill="FFFFFF" w:val="clear"/>
            <w:vAlign w:val="center"/>
          </w:tcPr>
          <w:p>
            <w:pPr>
              <w:pStyle w:val="TableContents"/>
              <w:spacing w:before="0" w:after="283"/>
              <w:rPr/>
            </w:pPr>
            <w:r>
              <w:rPr/>
              <w:t> </w:t>
            </w:r>
          </w:p>
        </w:tc>
        <w:tc>
          <w:tcPr>
            <w:tcW w:w="305" w:type="dxa"/>
            <w:tcBorders/>
            <w:shd w:fill="FFFFFF" w:val="clear"/>
            <w:vAlign w:val="bottom"/>
          </w:tcPr>
          <w:p>
            <w:pPr>
              <w:pStyle w:val="TableContents"/>
              <w:spacing w:before="0" w:after="283"/>
              <w:jc w:val="right"/>
              <w:rPr/>
            </w:pPr>
            <w:r>
              <w:rPr/>
              <w:t>    </w:t>
            </w:r>
          </w:p>
        </w:tc>
        <w:tc>
          <w:tcPr>
            <w:tcW w:w="243"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HorizontalLine"/>
              <w:pBdr>
                <w:bottom w:val="single" w:sz="18" w:space="0" w:color="000000"/>
              </w:pBdr>
              <w:spacing w:before="0" w:after="283"/>
              <w:rPr/>
            </w:pPr>
            <w:r>
              <w:rPr/>
            </w:r>
          </w:p>
        </w:tc>
        <w:tc>
          <w:tcPr>
            <w:tcW w:w="148" w:type="dxa"/>
            <w:tcBorders/>
            <w:shd w:fill="FFFFFF" w:val="clear"/>
            <w:vAlign w:val="center"/>
          </w:tcPr>
          <w:p>
            <w:pPr>
              <w:pStyle w:val="TableContents"/>
              <w:spacing w:before="0" w:after="283"/>
              <w:rPr/>
            </w:pPr>
            <w:r>
              <w:rPr/>
              <w:t> </w:t>
            </w:r>
          </w:p>
        </w:tc>
        <w:tc>
          <w:tcPr>
            <w:tcW w:w="377" w:type="dxa"/>
            <w:tcBorders/>
            <w:shd w:fill="FFFFFF" w:val="clear"/>
            <w:vAlign w:val="bottom"/>
          </w:tcPr>
          <w:p>
            <w:pPr>
              <w:pStyle w:val="TableContents"/>
              <w:spacing w:before="0" w:after="283"/>
              <w:jc w:val="right"/>
              <w:rPr/>
            </w:pPr>
            <w:r>
              <w:rPr/>
              <w:t>    </w:t>
            </w:r>
          </w:p>
        </w:tc>
        <w:tc>
          <w:tcPr>
            <w:tcW w:w="244" w:type="dxa"/>
            <w:tcBorders/>
            <w:shd w:fill="FFFFFF" w:val="clear"/>
            <w:vAlign w:val="center"/>
          </w:tcPr>
          <w:p>
            <w:pPr>
              <w:pStyle w:val="TableContents"/>
              <w:spacing w:before="0" w:after="283"/>
              <w:rPr/>
            </w:pPr>
            <w:r>
              <w:rPr/>
              <w:t> </w:t>
            </w:r>
          </w:p>
        </w:tc>
        <w:tc>
          <w:tcPr>
            <w:tcW w:w="668" w:type="dxa"/>
            <w:tcBorders/>
            <w:shd w:fill="FFFFFF" w:val="clear"/>
            <w:vAlign w:val="bottom"/>
          </w:tcPr>
          <w:p>
            <w:pPr>
              <w:pStyle w:val="HorizontalLine"/>
              <w:pBdr>
                <w:bottom w:val="single" w:sz="18" w:space="0" w:color="000000"/>
              </w:pBdr>
              <w:spacing w:before="0" w:after="283"/>
              <w:rPr/>
            </w:pPr>
            <w:r>
              <w:rPr/>
            </w:r>
          </w:p>
        </w:tc>
        <w:tc>
          <w:tcPr>
            <w:tcW w:w="149" w:type="dxa"/>
            <w:tcBorders/>
            <w:shd w:fill="FFFFFF" w:val="clear"/>
            <w:vAlign w:val="center"/>
          </w:tcPr>
          <w:p>
            <w:pPr>
              <w:pStyle w:val="TableContents"/>
              <w:spacing w:before="0" w:after="283"/>
              <w:rPr/>
            </w:pPr>
            <w:r>
              <w:rPr/>
              <w:t> </w:t>
            </w:r>
          </w:p>
        </w:tc>
        <w:tc>
          <w:tcPr>
            <w:tcW w:w="377" w:type="dxa"/>
            <w:tcBorders/>
            <w:shd w:fill="FFFFFF" w:val="clear"/>
            <w:vAlign w:val="bottom"/>
          </w:tcPr>
          <w:p>
            <w:pPr>
              <w:pStyle w:val="TableContents"/>
              <w:spacing w:before="0" w:after="283"/>
              <w:jc w:val="right"/>
              <w:rPr/>
            </w:pPr>
            <w:r>
              <w:rPr/>
              <w:t>    </w:t>
            </w:r>
          </w:p>
        </w:tc>
        <w:tc>
          <w:tcPr>
            <w:tcW w:w="243"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HorizontalLine"/>
              <w:pBdr>
                <w:bottom w:val="single" w:sz="18" w:space="0" w:color="000000"/>
              </w:pBdr>
              <w:spacing w:before="0" w:after="283"/>
              <w:rPr/>
            </w:pPr>
            <w:r>
              <w:rPr/>
            </w:r>
          </w:p>
        </w:tc>
        <w:tc>
          <w:tcPr>
            <w:tcW w:w="149" w:type="dxa"/>
            <w:tcBorders/>
            <w:shd w:fill="FFFFFF" w:val="clear"/>
            <w:vAlign w:val="center"/>
          </w:tcPr>
          <w:p>
            <w:pPr>
              <w:pStyle w:val="TableContents"/>
              <w:spacing w:before="0" w:after="283"/>
              <w:rPr/>
            </w:pPr>
            <w:r>
              <w:rPr/>
              <w:t> </w:t>
            </w:r>
          </w:p>
        </w:tc>
      </w:tr>
      <w:tr>
        <w:trPr/>
        <w:tc>
          <w:tcPr>
            <w:tcW w:w="456" w:type="dxa"/>
            <w:tcBorders/>
            <w:shd w:fill="FFFFFF" w:val="clear"/>
            <w:vAlign w:val="bottom"/>
          </w:tcPr>
          <w:p>
            <w:pPr>
              <w:pStyle w:val="TableContents"/>
              <w:spacing w:before="0" w:after="283"/>
              <w:jc w:val="left"/>
              <w:rPr/>
            </w:pPr>
            <w:r>
              <w:rPr/>
              <w:t>      </w:t>
            </w:r>
          </w:p>
        </w:tc>
        <w:tc>
          <w:tcPr>
            <w:tcW w:w="5508" w:type="dxa"/>
            <w:tcBorders/>
            <w:shd w:fill="FFFFFF" w:val="clear"/>
            <w:vAlign w:val="bottom"/>
          </w:tcPr>
          <w:p>
            <w:pPr>
              <w:pStyle w:val="TableContents"/>
              <w:spacing w:before="0" w:after="283"/>
              <w:rPr>
                <w:sz w:val="4"/>
                <w:szCs w:val="4"/>
              </w:rPr>
            </w:pPr>
            <w:r>
              <w:rPr>
                <w:sz w:val="4"/>
                <w:szCs w:val="4"/>
              </w:rPr>
            </w:r>
          </w:p>
        </w:tc>
        <w:tc>
          <w:tcPr>
            <w:tcW w:w="305"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669"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377"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668"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377"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669"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weighted average interest rate on short-term borrowings and commercial paper outstanding at December 31, 2006 and 2005 was 5.67 percent and 4.48 percent, respectively.</w:t>
      </w:r>
    </w:p>
    <w:p>
      <w:pPr>
        <w:pStyle w:val="TextBody"/>
        <w:jc w:val="left"/>
        <w:rPr>
          <w:rFonts w:ascii="Arial" w:hAnsi="Arial"/>
          <w:b/>
        </w:rPr>
      </w:pPr>
      <w:r>
        <w:rPr>
          <w:rFonts w:ascii="Arial" w:hAnsi="Arial"/>
          <w:b/>
        </w:rPr>
        <w:t>Note 6—Income Taxes</w:t>
      </w:r>
    </w:p>
    <w:p>
      <w:pPr>
        <w:pStyle w:val="TextBody"/>
        <w:jc w:val="left"/>
        <w:rPr>
          <w:rFonts w:ascii="Arial" w:hAnsi="Arial"/>
          <w:b/>
        </w:rPr>
      </w:pPr>
      <w:r>
        <w:rPr>
          <w:rFonts w:ascii="Arial" w:hAnsi="Arial"/>
          <w:b/>
        </w:rPr>
        <w:t>Income from continuing operations before taxes</w:t>
      </w:r>
    </w:p>
    <w:tbl>
      <w:tblPr>
        <w:tblW w:w="5000" w:type="pct"/>
        <w:jc w:val="left"/>
        <w:tblInd w:w="0" w:type="dxa"/>
        <w:tblCellMar>
          <w:top w:w="0" w:type="dxa"/>
          <w:left w:w="0" w:type="dxa"/>
          <w:bottom w:w="0" w:type="dxa"/>
          <w:right w:w="0" w:type="dxa"/>
        </w:tblCellMar>
      </w:tblPr>
      <w:tblGrid>
        <w:gridCol w:w="711"/>
        <w:gridCol w:w="2885"/>
        <w:gridCol w:w="475"/>
        <w:gridCol w:w="318"/>
        <w:gridCol w:w="1275"/>
        <w:gridCol w:w="122"/>
        <w:gridCol w:w="494"/>
        <w:gridCol w:w="318"/>
        <w:gridCol w:w="1275"/>
        <w:gridCol w:w="122"/>
        <w:gridCol w:w="494"/>
        <w:gridCol w:w="318"/>
        <w:gridCol w:w="1275"/>
        <w:gridCol w:w="123"/>
      </w:tblGrid>
      <w:tr>
        <w:trPr/>
        <w:tc>
          <w:tcPr>
            <w:tcW w:w="711" w:type="dxa"/>
            <w:tcBorders/>
            <w:shd w:fill="FFFFFF" w:val="clear"/>
            <w:vAlign w:val="center"/>
          </w:tcPr>
          <w:p>
            <w:pPr>
              <w:pStyle w:val="TableContents"/>
              <w:spacing w:before="0" w:after="283"/>
              <w:rPr/>
            </w:pPr>
            <w:r>
              <w:rPr/>
              <w:t> </w:t>
            </w:r>
          </w:p>
        </w:tc>
        <w:tc>
          <w:tcPr>
            <w:tcW w:w="2885" w:type="dxa"/>
            <w:tcBorders/>
            <w:shd w:fill="FFFFFF" w:val="clear"/>
            <w:vAlign w:val="center"/>
          </w:tcPr>
          <w:p>
            <w:pPr>
              <w:pStyle w:val="TableContents"/>
              <w:spacing w:before="0" w:after="283"/>
              <w:rPr/>
            </w:pPr>
            <w:r>
              <w:rPr/>
              <w:t> </w:t>
            </w:r>
          </w:p>
        </w:tc>
        <w:tc>
          <w:tcPr>
            <w:tcW w:w="475" w:type="dxa"/>
            <w:tcBorders/>
            <w:shd w:fill="FFFFFF" w:val="clear"/>
            <w:vAlign w:val="center"/>
          </w:tcPr>
          <w:p>
            <w:pPr>
              <w:pStyle w:val="TableContents"/>
              <w:spacing w:before="0" w:after="283"/>
              <w:rPr/>
            </w:pPr>
            <w:r>
              <w:rPr/>
              <w:t> </w:t>
            </w:r>
          </w:p>
        </w:tc>
        <w:tc>
          <w:tcPr>
            <w:tcW w:w="6134"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711" w:type="dxa"/>
            <w:tcBorders/>
            <w:shd w:fill="FFFFFF" w:val="clear"/>
            <w:vAlign w:val="center"/>
          </w:tcPr>
          <w:p>
            <w:pPr>
              <w:pStyle w:val="TableContents"/>
              <w:spacing w:before="0" w:after="283"/>
              <w:rPr/>
            </w:pPr>
            <w:r>
              <w:rPr/>
              <w:t> </w:t>
            </w:r>
          </w:p>
        </w:tc>
        <w:tc>
          <w:tcPr>
            <w:tcW w:w="2885" w:type="dxa"/>
            <w:tcBorders/>
            <w:shd w:fill="FFFFFF" w:val="clear"/>
            <w:vAlign w:val="center"/>
          </w:tcPr>
          <w:p>
            <w:pPr>
              <w:pStyle w:val="TableContents"/>
              <w:spacing w:before="0" w:after="283"/>
              <w:rPr/>
            </w:pPr>
            <w:r>
              <w:rPr/>
              <w:t> </w:t>
            </w:r>
          </w:p>
        </w:tc>
        <w:tc>
          <w:tcPr>
            <w:tcW w:w="475" w:type="dxa"/>
            <w:tcBorders/>
            <w:shd w:fill="FFFFFF" w:val="clear"/>
            <w:vAlign w:val="center"/>
          </w:tcPr>
          <w:p>
            <w:pPr>
              <w:pStyle w:val="TableContents"/>
              <w:spacing w:before="0" w:after="283"/>
              <w:rPr/>
            </w:pPr>
            <w:r>
              <w:rPr/>
              <w:t> </w:t>
            </w:r>
          </w:p>
        </w:tc>
        <w:tc>
          <w:tcPr>
            <w:tcW w:w="171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94" w:type="dxa"/>
            <w:tcBorders/>
            <w:shd w:fill="FFFFFF" w:val="clear"/>
            <w:vAlign w:val="center"/>
          </w:tcPr>
          <w:p>
            <w:pPr>
              <w:pStyle w:val="TableContents"/>
              <w:spacing w:before="0" w:after="283"/>
              <w:rPr/>
            </w:pPr>
            <w:r>
              <w:rPr/>
              <w:t> </w:t>
            </w:r>
          </w:p>
        </w:tc>
        <w:tc>
          <w:tcPr>
            <w:tcW w:w="171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494" w:type="dxa"/>
            <w:tcBorders/>
            <w:shd w:fill="FFFFFF" w:val="clear"/>
            <w:vAlign w:val="center"/>
          </w:tcPr>
          <w:p>
            <w:pPr>
              <w:pStyle w:val="TableContents"/>
              <w:spacing w:before="0" w:after="283"/>
              <w:rPr/>
            </w:pPr>
            <w:r>
              <w:rPr/>
              <w:t> </w:t>
            </w:r>
          </w:p>
        </w:tc>
        <w:tc>
          <w:tcPr>
            <w:tcW w:w="1716"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711" w:type="dxa"/>
            <w:tcBorders/>
            <w:shd w:fill="E5FFFF" w:val="clear"/>
            <w:vAlign w:val="bottom"/>
          </w:tcPr>
          <w:p>
            <w:pPr>
              <w:pStyle w:val="TableContents"/>
              <w:spacing w:before="0" w:after="283"/>
              <w:jc w:val="left"/>
              <w:rPr/>
            </w:pPr>
            <w:r>
              <w:rPr/>
              <w:t>      </w:t>
            </w:r>
          </w:p>
        </w:tc>
        <w:tc>
          <w:tcPr>
            <w:tcW w:w="2885" w:type="dxa"/>
            <w:tcBorders/>
            <w:shd w:fill="E5FFFF" w:val="clear"/>
            <w:vAlign w:val="bottom"/>
          </w:tcPr>
          <w:p>
            <w:pPr>
              <w:pStyle w:val="TableContents"/>
              <w:spacing w:before="0" w:after="283"/>
              <w:jc w:val="left"/>
              <w:rPr>
                <w:rFonts w:ascii="Arial" w:hAnsi="Arial"/>
              </w:rPr>
            </w:pPr>
            <w:r>
              <w:rPr>
                <w:rFonts w:ascii="Arial" w:hAnsi="Arial"/>
              </w:rPr>
              <w:t>United States</w:t>
            </w:r>
          </w:p>
        </w:tc>
        <w:tc>
          <w:tcPr>
            <w:tcW w:w="475" w:type="dxa"/>
            <w:tcBorders/>
            <w:shd w:fill="E5FFFF" w:val="clear"/>
            <w:vAlign w:val="bottom"/>
          </w:tcPr>
          <w:p>
            <w:pPr>
              <w:pStyle w:val="TableContents"/>
              <w:spacing w:before="0" w:after="283"/>
              <w:jc w:val="right"/>
              <w:rPr/>
            </w:pPr>
            <w:r>
              <w:rPr/>
              <w:t>    </w:t>
            </w:r>
          </w:p>
        </w:tc>
        <w:tc>
          <w:tcPr>
            <w:tcW w:w="318" w:type="dxa"/>
            <w:tcBorders/>
            <w:shd w:fill="E5FFFF" w:val="clear"/>
            <w:vAlign w:val="bottom"/>
          </w:tcPr>
          <w:p>
            <w:pPr>
              <w:pStyle w:val="TableContents"/>
              <w:spacing w:before="0" w:after="283"/>
              <w:jc w:val="right"/>
              <w:rPr>
                <w:rFonts w:ascii="Arial" w:hAnsi="Arial"/>
              </w:rPr>
            </w:pPr>
            <w:r>
              <w:rPr>
                <w:rFonts w:ascii="Arial" w:hAnsi="Arial"/>
              </w:rPr>
              <w:t>$</w:t>
            </w:r>
          </w:p>
        </w:tc>
        <w:tc>
          <w:tcPr>
            <w:tcW w:w="1275" w:type="dxa"/>
            <w:tcBorders/>
            <w:shd w:fill="E5FFFF" w:val="clear"/>
            <w:vAlign w:val="bottom"/>
          </w:tcPr>
          <w:p>
            <w:pPr>
              <w:pStyle w:val="TableContents"/>
              <w:spacing w:before="0" w:after="283"/>
              <w:jc w:val="right"/>
              <w:rPr>
                <w:rFonts w:ascii="Arial" w:hAnsi="Arial"/>
              </w:rPr>
            </w:pPr>
            <w:r>
              <w:rPr>
                <w:rFonts w:ascii="Arial" w:hAnsi="Arial"/>
              </w:rPr>
              <w:t>1,882</w:t>
            </w:r>
          </w:p>
        </w:tc>
        <w:tc>
          <w:tcPr>
            <w:tcW w:w="122" w:type="dxa"/>
            <w:tcBorders/>
            <w:shd w:fill="E5FFFF" w:val="clear"/>
            <w:vAlign w:val="center"/>
          </w:tcPr>
          <w:p>
            <w:pPr>
              <w:pStyle w:val="TableContents"/>
              <w:spacing w:before="0" w:after="283"/>
              <w:rPr/>
            </w:pPr>
            <w:r>
              <w:rPr/>
              <w:t> </w:t>
            </w:r>
          </w:p>
        </w:tc>
        <w:tc>
          <w:tcPr>
            <w:tcW w:w="494" w:type="dxa"/>
            <w:tcBorders/>
            <w:shd w:fill="E5FFFF" w:val="clear"/>
            <w:vAlign w:val="bottom"/>
          </w:tcPr>
          <w:p>
            <w:pPr>
              <w:pStyle w:val="TableContents"/>
              <w:spacing w:before="0" w:after="283"/>
              <w:jc w:val="right"/>
              <w:rPr/>
            </w:pPr>
            <w:r>
              <w:rPr/>
              <w:t>    </w:t>
            </w:r>
          </w:p>
        </w:tc>
        <w:tc>
          <w:tcPr>
            <w:tcW w:w="318" w:type="dxa"/>
            <w:tcBorders/>
            <w:shd w:fill="E5FFFF" w:val="clear"/>
            <w:vAlign w:val="bottom"/>
          </w:tcPr>
          <w:p>
            <w:pPr>
              <w:pStyle w:val="TableContents"/>
              <w:spacing w:before="0" w:after="283"/>
              <w:jc w:val="right"/>
              <w:rPr>
                <w:rFonts w:ascii="Arial" w:hAnsi="Arial"/>
              </w:rPr>
            </w:pPr>
            <w:r>
              <w:rPr>
                <w:rFonts w:ascii="Arial" w:hAnsi="Arial"/>
              </w:rPr>
              <w:t>$</w:t>
            </w:r>
          </w:p>
        </w:tc>
        <w:tc>
          <w:tcPr>
            <w:tcW w:w="1275" w:type="dxa"/>
            <w:tcBorders/>
            <w:shd w:fill="E5FFFF" w:val="clear"/>
            <w:vAlign w:val="bottom"/>
          </w:tcPr>
          <w:p>
            <w:pPr>
              <w:pStyle w:val="TableContents"/>
              <w:spacing w:before="0" w:after="283"/>
              <w:jc w:val="right"/>
              <w:rPr>
                <w:rFonts w:ascii="Arial" w:hAnsi="Arial"/>
              </w:rPr>
            </w:pPr>
            <w:r>
              <w:rPr>
                <w:rFonts w:ascii="Arial" w:hAnsi="Arial"/>
              </w:rPr>
              <w:t>1,530</w:t>
            </w:r>
          </w:p>
        </w:tc>
        <w:tc>
          <w:tcPr>
            <w:tcW w:w="122" w:type="dxa"/>
            <w:tcBorders/>
            <w:shd w:fill="E5FFFF" w:val="clear"/>
            <w:vAlign w:val="center"/>
          </w:tcPr>
          <w:p>
            <w:pPr>
              <w:pStyle w:val="TableContents"/>
              <w:spacing w:before="0" w:after="283"/>
              <w:rPr/>
            </w:pPr>
            <w:r>
              <w:rPr/>
              <w:t> </w:t>
            </w:r>
          </w:p>
        </w:tc>
        <w:tc>
          <w:tcPr>
            <w:tcW w:w="494" w:type="dxa"/>
            <w:tcBorders/>
            <w:shd w:fill="E5FFFF" w:val="clear"/>
            <w:vAlign w:val="bottom"/>
          </w:tcPr>
          <w:p>
            <w:pPr>
              <w:pStyle w:val="TableContents"/>
              <w:spacing w:before="0" w:after="283"/>
              <w:jc w:val="right"/>
              <w:rPr/>
            </w:pPr>
            <w:r>
              <w:rPr/>
              <w:t>    </w:t>
            </w:r>
          </w:p>
        </w:tc>
        <w:tc>
          <w:tcPr>
            <w:tcW w:w="318" w:type="dxa"/>
            <w:tcBorders/>
            <w:shd w:fill="E5FFFF" w:val="clear"/>
            <w:vAlign w:val="bottom"/>
          </w:tcPr>
          <w:p>
            <w:pPr>
              <w:pStyle w:val="TableContents"/>
              <w:spacing w:before="0" w:after="283"/>
              <w:jc w:val="right"/>
              <w:rPr>
                <w:rFonts w:ascii="Arial" w:hAnsi="Arial"/>
              </w:rPr>
            </w:pPr>
            <w:r>
              <w:rPr>
                <w:rFonts w:ascii="Arial" w:hAnsi="Arial"/>
              </w:rPr>
              <w:t>$</w:t>
            </w:r>
          </w:p>
        </w:tc>
        <w:tc>
          <w:tcPr>
            <w:tcW w:w="1275" w:type="dxa"/>
            <w:tcBorders/>
            <w:shd w:fill="E5FFFF" w:val="clear"/>
            <w:vAlign w:val="bottom"/>
          </w:tcPr>
          <w:p>
            <w:pPr>
              <w:pStyle w:val="TableContents"/>
              <w:spacing w:before="0" w:after="283"/>
              <w:jc w:val="right"/>
              <w:rPr>
                <w:rFonts w:ascii="Arial" w:hAnsi="Arial"/>
              </w:rPr>
            </w:pPr>
            <w:r>
              <w:rPr>
                <w:rFonts w:ascii="Arial" w:hAnsi="Arial"/>
              </w:rPr>
              <w:t>821</w:t>
            </w:r>
          </w:p>
        </w:tc>
        <w:tc>
          <w:tcPr>
            <w:tcW w:w="123" w:type="dxa"/>
            <w:tcBorders/>
            <w:shd w:fill="E5FFFF" w:val="clear"/>
            <w:vAlign w:val="center"/>
          </w:tcPr>
          <w:p>
            <w:pPr>
              <w:pStyle w:val="TableContents"/>
              <w:spacing w:before="0" w:after="283"/>
              <w:rPr/>
            </w:pPr>
            <w:r>
              <w:rPr/>
              <w:t> </w:t>
            </w:r>
          </w:p>
        </w:tc>
      </w:tr>
      <w:tr>
        <w:trPr/>
        <w:tc>
          <w:tcPr>
            <w:tcW w:w="711" w:type="dxa"/>
            <w:tcBorders/>
            <w:shd w:fill="FFFFFF" w:val="clear"/>
            <w:vAlign w:val="bottom"/>
          </w:tcPr>
          <w:p>
            <w:pPr>
              <w:pStyle w:val="TableContents"/>
              <w:spacing w:before="0" w:after="283"/>
              <w:jc w:val="left"/>
              <w:rPr/>
            </w:pPr>
            <w:r>
              <w:rPr/>
              <w:t>      </w:t>
            </w:r>
          </w:p>
        </w:tc>
        <w:tc>
          <w:tcPr>
            <w:tcW w:w="2885" w:type="dxa"/>
            <w:tcBorders/>
            <w:shd w:fill="FFFFFF" w:val="clear"/>
            <w:vAlign w:val="bottom"/>
          </w:tcPr>
          <w:p>
            <w:pPr>
              <w:pStyle w:val="TableContents"/>
              <w:spacing w:before="0" w:after="283"/>
              <w:jc w:val="left"/>
              <w:rPr>
                <w:rFonts w:ascii="Arial" w:hAnsi="Arial"/>
              </w:rPr>
            </w:pPr>
            <w:r>
              <w:rPr>
                <w:rFonts w:ascii="Arial" w:hAnsi="Arial"/>
              </w:rPr>
              <w:t>Foreign</w:t>
            </w:r>
          </w:p>
        </w:tc>
        <w:tc>
          <w:tcPr>
            <w:tcW w:w="475" w:type="dxa"/>
            <w:tcBorders/>
            <w:shd w:fill="FFFFFF" w:val="clear"/>
            <w:vAlign w:val="bottom"/>
          </w:tcPr>
          <w:p>
            <w:pPr>
              <w:pStyle w:val="TableContents"/>
              <w:spacing w:before="0" w:after="283"/>
              <w:jc w:val="right"/>
              <w:rPr/>
            </w:pPr>
            <w:r>
              <w:rPr/>
              <w:t>    </w:t>
            </w:r>
          </w:p>
        </w:tc>
        <w:tc>
          <w:tcPr>
            <w:tcW w:w="318" w:type="dxa"/>
            <w:tcBorders/>
            <w:shd w:fill="FFFFFF" w:val="clear"/>
            <w:vAlign w:val="center"/>
          </w:tcPr>
          <w:p>
            <w:pPr>
              <w:pStyle w:val="TableContents"/>
              <w:spacing w:before="0" w:after="283"/>
              <w:rPr/>
            </w:pPr>
            <w:r>
              <w:rPr/>
              <w:t> </w:t>
            </w:r>
          </w:p>
        </w:tc>
        <w:tc>
          <w:tcPr>
            <w:tcW w:w="1275" w:type="dxa"/>
            <w:tcBorders/>
            <w:shd w:fill="FFFFFF" w:val="clear"/>
            <w:vAlign w:val="bottom"/>
          </w:tcPr>
          <w:p>
            <w:pPr>
              <w:pStyle w:val="TableContents"/>
              <w:spacing w:before="0" w:after="283"/>
              <w:jc w:val="right"/>
              <w:rPr>
                <w:rFonts w:ascii="Arial" w:hAnsi="Arial"/>
              </w:rPr>
            </w:pPr>
            <w:r>
              <w:rPr>
                <w:rFonts w:ascii="Arial" w:hAnsi="Arial"/>
              </w:rPr>
              <w:t>916</w:t>
            </w:r>
          </w:p>
        </w:tc>
        <w:tc>
          <w:tcPr>
            <w:tcW w:w="122" w:type="dxa"/>
            <w:tcBorders/>
            <w:shd w:fill="FFFFFF" w:val="clear"/>
            <w:vAlign w:val="center"/>
          </w:tcPr>
          <w:p>
            <w:pPr>
              <w:pStyle w:val="TableContents"/>
              <w:spacing w:before="0" w:after="283"/>
              <w:rPr/>
            </w:pPr>
            <w:r>
              <w:rPr/>
              <w:t> </w:t>
            </w:r>
          </w:p>
        </w:tc>
        <w:tc>
          <w:tcPr>
            <w:tcW w:w="494" w:type="dxa"/>
            <w:tcBorders/>
            <w:shd w:fill="FFFFFF" w:val="clear"/>
            <w:vAlign w:val="bottom"/>
          </w:tcPr>
          <w:p>
            <w:pPr>
              <w:pStyle w:val="TableContents"/>
              <w:spacing w:before="0" w:after="283"/>
              <w:jc w:val="right"/>
              <w:rPr/>
            </w:pPr>
            <w:r>
              <w:rPr/>
              <w:t>    </w:t>
            </w:r>
          </w:p>
        </w:tc>
        <w:tc>
          <w:tcPr>
            <w:tcW w:w="318" w:type="dxa"/>
            <w:tcBorders/>
            <w:shd w:fill="FFFFFF" w:val="clear"/>
            <w:vAlign w:val="center"/>
          </w:tcPr>
          <w:p>
            <w:pPr>
              <w:pStyle w:val="TableContents"/>
              <w:spacing w:before="0" w:after="283"/>
              <w:rPr/>
            </w:pPr>
            <w:r>
              <w:rPr/>
              <w:t> </w:t>
            </w:r>
          </w:p>
        </w:tc>
        <w:tc>
          <w:tcPr>
            <w:tcW w:w="1275" w:type="dxa"/>
            <w:tcBorders/>
            <w:shd w:fill="FFFFFF" w:val="clear"/>
            <w:vAlign w:val="bottom"/>
          </w:tcPr>
          <w:p>
            <w:pPr>
              <w:pStyle w:val="TableContents"/>
              <w:spacing w:before="0" w:after="283"/>
              <w:jc w:val="right"/>
              <w:rPr>
                <w:rFonts w:ascii="Arial" w:hAnsi="Arial"/>
              </w:rPr>
            </w:pPr>
            <w:r>
              <w:rPr>
                <w:rFonts w:ascii="Arial" w:hAnsi="Arial"/>
              </w:rPr>
              <w:t>766</w:t>
            </w:r>
          </w:p>
        </w:tc>
        <w:tc>
          <w:tcPr>
            <w:tcW w:w="122" w:type="dxa"/>
            <w:tcBorders/>
            <w:shd w:fill="FFFFFF" w:val="clear"/>
            <w:vAlign w:val="center"/>
          </w:tcPr>
          <w:p>
            <w:pPr>
              <w:pStyle w:val="TableContents"/>
              <w:spacing w:before="0" w:after="283"/>
              <w:rPr/>
            </w:pPr>
            <w:r>
              <w:rPr/>
              <w:t> </w:t>
            </w:r>
          </w:p>
        </w:tc>
        <w:tc>
          <w:tcPr>
            <w:tcW w:w="494" w:type="dxa"/>
            <w:tcBorders/>
            <w:shd w:fill="FFFFFF" w:val="clear"/>
            <w:vAlign w:val="bottom"/>
          </w:tcPr>
          <w:p>
            <w:pPr>
              <w:pStyle w:val="TableContents"/>
              <w:spacing w:before="0" w:after="283"/>
              <w:jc w:val="right"/>
              <w:rPr/>
            </w:pPr>
            <w:r>
              <w:rPr/>
              <w:t>    </w:t>
            </w:r>
          </w:p>
        </w:tc>
        <w:tc>
          <w:tcPr>
            <w:tcW w:w="318" w:type="dxa"/>
            <w:tcBorders/>
            <w:shd w:fill="FFFFFF" w:val="clear"/>
            <w:vAlign w:val="center"/>
          </w:tcPr>
          <w:p>
            <w:pPr>
              <w:pStyle w:val="TableContents"/>
              <w:spacing w:before="0" w:after="283"/>
              <w:rPr/>
            </w:pPr>
            <w:r>
              <w:rPr/>
              <w:t> </w:t>
            </w:r>
          </w:p>
        </w:tc>
        <w:tc>
          <w:tcPr>
            <w:tcW w:w="1275" w:type="dxa"/>
            <w:tcBorders/>
            <w:shd w:fill="FFFFFF" w:val="clear"/>
            <w:vAlign w:val="bottom"/>
          </w:tcPr>
          <w:p>
            <w:pPr>
              <w:pStyle w:val="TableContents"/>
              <w:spacing w:before="0" w:after="283"/>
              <w:jc w:val="right"/>
              <w:rPr>
                <w:rFonts w:ascii="Arial" w:hAnsi="Arial"/>
              </w:rPr>
            </w:pPr>
            <w:r>
              <w:rPr>
                <w:rFonts w:ascii="Arial" w:hAnsi="Arial"/>
              </w:rPr>
              <w:t>802</w:t>
            </w:r>
          </w:p>
        </w:tc>
        <w:tc>
          <w:tcPr>
            <w:tcW w:w="123" w:type="dxa"/>
            <w:tcBorders/>
            <w:shd w:fill="FFFFFF" w:val="clear"/>
            <w:vAlign w:val="center"/>
          </w:tcPr>
          <w:p>
            <w:pPr>
              <w:pStyle w:val="TableContents"/>
              <w:spacing w:before="0" w:after="283"/>
              <w:rPr/>
            </w:pPr>
            <w:r>
              <w:rPr/>
              <w:t> </w:t>
            </w:r>
          </w:p>
        </w:tc>
      </w:tr>
      <w:tr>
        <w:trPr/>
        <w:tc>
          <w:tcPr>
            <w:tcW w:w="711" w:type="dxa"/>
            <w:tcBorders/>
            <w:shd w:fill="E5FFFF" w:val="clear"/>
            <w:vAlign w:val="center"/>
          </w:tcPr>
          <w:p>
            <w:pPr>
              <w:pStyle w:val="TableContents"/>
              <w:spacing w:before="0" w:after="283"/>
              <w:rPr/>
            </w:pPr>
            <w:r>
              <w:rPr/>
              <w:t> </w:t>
            </w:r>
          </w:p>
        </w:tc>
        <w:tc>
          <w:tcPr>
            <w:tcW w:w="2885" w:type="dxa"/>
            <w:tcBorders/>
            <w:shd w:fill="E5FFFF" w:val="clear"/>
            <w:vAlign w:val="center"/>
          </w:tcPr>
          <w:p>
            <w:pPr>
              <w:pStyle w:val="TableContents"/>
              <w:spacing w:before="0" w:after="283"/>
              <w:rPr/>
            </w:pPr>
            <w:r>
              <w:rPr/>
              <w:t> </w:t>
            </w:r>
          </w:p>
        </w:tc>
        <w:tc>
          <w:tcPr>
            <w:tcW w:w="475" w:type="dxa"/>
            <w:tcBorders/>
            <w:shd w:fill="E5FFFF" w:val="clear"/>
            <w:vAlign w:val="bottom"/>
          </w:tcPr>
          <w:p>
            <w:pPr>
              <w:pStyle w:val="TableContents"/>
              <w:spacing w:before="0" w:after="283"/>
              <w:jc w:val="right"/>
              <w:rPr/>
            </w:pPr>
            <w:r>
              <w:rPr/>
              <w:t>    </w:t>
            </w:r>
          </w:p>
        </w:tc>
        <w:tc>
          <w:tcPr>
            <w:tcW w:w="318" w:type="dxa"/>
            <w:tcBorders/>
            <w:shd w:fill="E5FFFF" w:val="clear"/>
            <w:vAlign w:val="center"/>
          </w:tcPr>
          <w:p>
            <w:pPr>
              <w:pStyle w:val="TableContents"/>
              <w:spacing w:before="0" w:after="283"/>
              <w:rPr/>
            </w:pPr>
            <w:r>
              <w:rPr/>
              <w:t> </w:t>
            </w:r>
          </w:p>
        </w:tc>
        <w:tc>
          <w:tcPr>
            <w:tcW w:w="1275" w:type="dxa"/>
            <w:tcBorders/>
            <w:shd w:fill="E5FFFF" w:val="clear"/>
            <w:vAlign w:val="bottom"/>
          </w:tcPr>
          <w:p>
            <w:pPr>
              <w:pStyle w:val="HorizontalLine"/>
              <w:pBdr>
                <w:bottom w:val="single" w:sz="6" w:space="0" w:color="000000"/>
              </w:pBdr>
              <w:spacing w:before="0" w:after="283"/>
              <w:rPr/>
            </w:pPr>
            <w:r>
              <w:rPr/>
            </w:r>
          </w:p>
        </w:tc>
        <w:tc>
          <w:tcPr>
            <w:tcW w:w="122" w:type="dxa"/>
            <w:tcBorders/>
            <w:shd w:fill="E5FFFF" w:val="clear"/>
            <w:vAlign w:val="center"/>
          </w:tcPr>
          <w:p>
            <w:pPr>
              <w:pStyle w:val="TableContents"/>
              <w:spacing w:before="0" w:after="283"/>
              <w:rPr/>
            </w:pPr>
            <w:r>
              <w:rPr/>
              <w:t> </w:t>
            </w:r>
          </w:p>
        </w:tc>
        <w:tc>
          <w:tcPr>
            <w:tcW w:w="494" w:type="dxa"/>
            <w:tcBorders/>
            <w:shd w:fill="E5FFFF" w:val="clear"/>
            <w:vAlign w:val="bottom"/>
          </w:tcPr>
          <w:p>
            <w:pPr>
              <w:pStyle w:val="TableContents"/>
              <w:spacing w:before="0" w:after="283"/>
              <w:jc w:val="right"/>
              <w:rPr/>
            </w:pPr>
            <w:r>
              <w:rPr/>
              <w:t>    </w:t>
            </w:r>
          </w:p>
        </w:tc>
        <w:tc>
          <w:tcPr>
            <w:tcW w:w="318" w:type="dxa"/>
            <w:tcBorders/>
            <w:shd w:fill="E5FFFF" w:val="clear"/>
            <w:vAlign w:val="center"/>
          </w:tcPr>
          <w:p>
            <w:pPr>
              <w:pStyle w:val="TableContents"/>
              <w:spacing w:before="0" w:after="283"/>
              <w:rPr/>
            </w:pPr>
            <w:r>
              <w:rPr/>
              <w:t> </w:t>
            </w:r>
          </w:p>
        </w:tc>
        <w:tc>
          <w:tcPr>
            <w:tcW w:w="1275" w:type="dxa"/>
            <w:tcBorders/>
            <w:shd w:fill="E5FFFF" w:val="clear"/>
            <w:vAlign w:val="bottom"/>
          </w:tcPr>
          <w:p>
            <w:pPr>
              <w:pStyle w:val="HorizontalLine"/>
              <w:pBdr>
                <w:bottom w:val="single" w:sz="6" w:space="0" w:color="000000"/>
              </w:pBdr>
              <w:spacing w:before="0" w:after="283"/>
              <w:rPr/>
            </w:pPr>
            <w:r>
              <w:rPr/>
            </w:r>
          </w:p>
        </w:tc>
        <w:tc>
          <w:tcPr>
            <w:tcW w:w="122" w:type="dxa"/>
            <w:tcBorders/>
            <w:shd w:fill="E5FFFF" w:val="clear"/>
            <w:vAlign w:val="center"/>
          </w:tcPr>
          <w:p>
            <w:pPr>
              <w:pStyle w:val="TableContents"/>
              <w:spacing w:before="0" w:after="283"/>
              <w:rPr/>
            </w:pPr>
            <w:r>
              <w:rPr/>
              <w:t> </w:t>
            </w:r>
          </w:p>
        </w:tc>
        <w:tc>
          <w:tcPr>
            <w:tcW w:w="494" w:type="dxa"/>
            <w:tcBorders/>
            <w:shd w:fill="E5FFFF" w:val="clear"/>
            <w:vAlign w:val="bottom"/>
          </w:tcPr>
          <w:p>
            <w:pPr>
              <w:pStyle w:val="TableContents"/>
              <w:spacing w:before="0" w:after="283"/>
              <w:jc w:val="right"/>
              <w:rPr/>
            </w:pPr>
            <w:r>
              <w:rPr/>
              <w:t>    </w:t>
            </w:r>
          </w:p>
        </w:tc>
        <w:tc>
          <w:tcPr>
            <w:tcW w:w="318" w:type="dxa"/>
            <w:tcBorders/>
            <w:shd w:fill="E5FFFF" w:val="clear"/>
            <w:vAlign w:val="center"/>
          </w:tcPr>
          <w:p>
            <w:pPr>
              <w:pStyle w:val="TableContents"/>
              <w:spacing w:before="0" w:after="283"/>
              <w:rPr/>
            </w:pPr>
            <w:r>
              <w:rPr/>
              <w:t> </w:t>
            </w:r>
          </w:p>
        </w:tc>
        <w:tc>
          <w:tcPr>
            <w:tcW w:w="1275" w:type="dxa"/>
            <w:tcBorders/>
            <w:shd w:fill="E5FFFF" w:val="clear"/>
            <w:vAlign w:val="bottom"/>
          </w:tcPr>
          <w:p>
            <w:pPr>
              <w:pStyle w:val="HorizontalLine"/>
              <w:pBdr>
                <w:bottom w:val="single" w:sz="6" w:space="0" w:color="000000"/>
              </w:pBdr>
              <w:spacing w:before="0" w:after="283"/>
              <w:rPr/>
            </w:pPr>
            <w:r>
              <w:rPr/>
            </w:r>
          </w:p>
        </w:tc>
        <w:tc>
          <w:tcPr>
            <w:tcW w:w="123" w:type="dxa"/>
            <w:tcBorders/>
            <w:shd w:fill="E5FFFF" w:val="clear"/>
            <w:vAlign w:val="center"/>
          </w:tcPr>
          <w:p>
            <w:pPr>
              <w:pStyle w:val="TableContents"/>
              <w:spacing w:before="0" w:after="283"/>
              <w:rPr/>
            </w:pPr>
            <w:r>
              <w:rPr/>
              <w:t> </w:t>
            </w:r>
          </w:p>
        </w:tc>
      </w:tr>
      <w:tr>
        <w:trPr/>
        <w:tc>
          <w:tcPr>
            <w:tcW w:w="711" w:type="dxa"/>
            <w:tcBorders/>
            <w:shd w:fill="FFFFFF" w:val="clear"/>
            <w:vAlign w:val="bottom"/>
          </w:tcPr>
          <w:p>
            <w:pPr>
              <w:pStyle w:val="TableContents"/>
              <w:spacing w:before="0" w:after="283"/>
              <w:jc w:val="left"/>
              <w:rPr/>
            </w:pPr>
            <w:r>
              <w:rPr/>
              <w:t>      </w:t>
            </w:r>
          </w:p>
        </w:tc>
        <w:tc>
          <w:tcPr>
            <w:tcW w:w="2885" w:type="dxa"/>
            <w:tcBorders/>
            <w:shd w:fill="FFFFFF" w:val="clear"/>
            <w:vAlign w:val="bottom"/>
          </w:tcPr>
          <w:p>
            <w:pPr>
              <w:pStyle w:val="TableContents"/>
              <w:spacing w:before="0" w:after="283"/>
              <w:rPr>
                <w:sz w:val="4"/>
                <w:szCs w:val="4"/>
              </w:rPr>
            </w:pPr>
            <w:r>
              <w:rPr>
                <w:sz w:val="4"/>
                <w:szCs w:val="4"/>
              </w:rPr>
            </w:r>
          </w:p>
        </w:tc>
        <w:tc>
          <w:tcPr>
            <w:tcW w:w="475"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rFonts w:ascii="Arial" w:hAnsi="Arial"/>
              </w:rPr>
            </w:pPr>
            <w:r>
              <w:rPr>
                <w:rFonts w:ascii="Arial" w:hAnsi="Arial"/>
              </w:rPr>
              <w:t>$</w:t>
            </w:r>
          </w:p>
        </w:tc>
        <w:tc>
          <w:tcPr>
            <w:tcW w:w="1275" w:type="dxa"/>
            <w:tcBorders/>
            <w:shd w:fill="FFFFFF" w:val="clear"/>
            <w:vAlign w:val="bottom"/>
          </w:tcPr>
          <w:p>
            <w:pPr>
              <w:pStyle w:val="TableContents"/>
              <w:spacing w:before="0" w:after="283"/>
              <w:jc w:val="right"/>
              <w:rPr>
                <w:rFonts w:ascii="Arial" w:hAnsi="Arial"/>
              </w:rPr>
            </w:pPr>
            <w:r>
              <w:rPr>
                <w:rFonts w:ascii="Arial" w:hAnsi="Arial"/>
              </w:rPr>
              <w:t>2,798</w:t>
            </w:r>
          </w:p>
        </w:tc>
        <w:tc>
          <w:tcPr>
            <w:tcW w:w="122" w:type="dxa"/>
            <w:tcBorders/>
            <w:shd w:fill="FFFFFF" w:val="clear"/>
            <w:vAlign w:val="center"/>
          </w:tcPr>
          <w:p>
            <w:pPr>
              <w:pStyle w:val="TableContents"/>
              <w:spacing w:before="0" w:after="283"/>
              <w:rPr/>
            </w:pPr>
            <w:r>
              <w:rPr/>
              <w:t> </w:t>
            </w:r>
          </w:p>
        </w:tc>
        <w:tc>
          <w:tcPr>
            <w:tcW w:w="494"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rFonts w:ascii="Arial" w:hAnsi="Arial"/>
              </w:rPr>
            </w:pPr>
            <w:r>
              <w:rPr>
                <w:rFonts w:ascii="Arial" w:hAnsi="Arial"/>
              </w:rPr>
              <w:t>$</w:t>
            </w:r>
          </w:p>
        </w:tc>
        <w:tc>
          <w:tcPr>
            <w:tcW w:w="1275" w:type="dxa"/>
            <w:tcBorders/>
            <w:shd w:fill="FFFFFF" w:val="clear"/>
            <w:vAlign w:val="bottom"/>
          </w:tcPr>
          <w:p>
            <w:pPr>
              <w:pStyle w:val="TableContents"/>
              <w:spacing w:before="0" w:after="283"/>
              <w:jc w:val="right"/>
              <w:rPr>
                <w:rFonts w:ascii="Arial" w:hAnsi="Arial"/>
              </w:rPr>
            </w:pPr>
            <w:r>
              <w:rPr>
                <w:rFonts w:ascii="Arial" w:hAnsi="Arial"/>
              </w:rPr>
              <w:t>2,296</w:t>
            </w:r>
          </w:p>
        </w:tc>
        <w:tc>
          <w:tcPr>
            <w:tcW w:w="122" w:type="dxa"/>
            <w:tcBorders/>
            <w:shd w:fill="FFFFFF" w:val="clear"/>
            <w:vAlign w:val="center"/>
          </w:tcPr>
          <w:p>
            <w:pPr>
              <w:pStyle w:val="TableContents"/>
              <w:spacing w:before="0" w:after="283"/>
              <w:rPr/>
            </w:pPr>
            <w:r>
              <w:rPr/>
              <w:t> </w:t>
            </w:r>
          </w:p>
        </w:tc>
        <w:tc>
          <w:tcPr>
            <w:tcW w:w="494"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right"/>
              <w:rPr>
                <w:rFonts w:ascii="Arial" w:hAnsi="Arial"/>
              </w:rPr>
            </w:pPr>
            <w:r>
              <w:rPr>
                <w:rFonts w:ascii="Arial" w:hAnsi="Arial"/>
              </w:rPr>
              <w:t>$</w:t>
            </w:r>
          </w:p>
        </w:tc>
        <w:tc>
          <w:tcPr>
            <w:tcW w:w="1275" w:type="dxa"/>
            <w:tcBorders/>
            <w:shd w:fill="FFFFFF" w:val="clear"/>
            <w:vAlign w:val="bottom"/>
          </w:tcPr>
          <w:p>
            <w:pPr>
              <w:pStyle w:val="TableContents"/>
              <w:spacing w:before="0" w:after="283"/>
              <w:jc w:val="right"/>
              <w:rPr>
                <w:rFonts w:ascii="Arial" w:hAnsi="Arial"/>
              </w:rPr>
            </w:pPr>
            <w:r>
              <w:rPr>
                <w:rFonts w:ascii="Arial" w:hAnsi="Arial"/>
              </w:rPr>
              <w:t>1,623</w:t>
            </w:r>
          </w:p>
        </w:tc>
        <w:tc>
          <w:tcPr>
            <w:tcW w:w="123" w:type="dxa"/>
            <w:tcBorders/>
            <w:shd w:fill="FFFFFF" w:val="clear"/>
            <w:vAlign w:val="center"/>
          </w:tcPr>
          <w:p>
            <w:pPr>
              <w:pStyle w:val="TableContents"/>
              <w:spacing w:before="0" w:after="283"/>
              <w:rPr/>
            </w:pPr>
            <w:r>
              <w:rPr/>
              <w:t> </w:t>
            </w:r>
          </w:p>
        </w:tc>
      </w:tr>
      <w:tr>
        <w:trPr/>
        <w:tc>
          <w:tcPr>
            <w:tcW w:w="711" w:type="dxa"/>
            <w:tcBorders/>
            <w:shd w:fill="E5FFFF" w:val="clear"/>
            <w:vAlign w:val="center"/>
          </w:tcPr>
          <w:p>
            <w:pPr>
              <w:pStyle w:val="TableContents"/>
              <w:spacing w:before="0" w:after="283"/>
              <w:rPr/>
            </w:pPr>
            <w:r>
              <w:rPr/>
              <w:t> </w:t>
            </w:r>
          </w:p>
        </w:tc>
        <w:tc>
          <w:tcPr>
            <w:tcW w:w="2885" w:type="dxa"/>
            <w:tcBorders/>
            <w:shd w:fill="E5FFFF" w:val="clear"/>
            <w:vAlign w:val="center"/>
          </w:tcPr>
          <w:p>
            <w:pPr>
              <w:pStyle w:val="TableContents"/>
              <w:spacing w:before="0" w:after="283"/>
              <w:rPr/>
            </w:pPr>
            <w:r>
              <w:rPr/>
              <w:t> </w:t>
            </w:r>
          </w:p>
        </w:tc>
        <w:tc>
          <w:tcPr>
            <w:tcW w:w="475" w:type="dxa"/>
            <w:tcBorders/>
            <w:shd w:fill="E5FFFF" w:val="clear"/>
            <w:vAlign w:val="bottom"/>
          </w:tcPr>
          <w:p>
            <w:pPr>
              <w:pStyle w:val="TableContents"/>
              <w:spacing w:before="0" w:after="283"/>
              <w:jc w:val="right"/>
              <w:rPr/>
            </w:pPr>
            <w:r>
              <w:rPr/>
              <w:t>    </w:t>
            </w:r>
          </w:p>
        </w:tc>
        <w:tc>
          <w:tcPr>
            <w:tcW w:w="318" w:type="dxa"/>
            <w:tcBorders/>
            <w:shd w:fill="E5FFFF" w:val="clear"/>
            <w:vAlign w:val="center"/>
          </w:tcPr>
          <w:p>
            <w:pPr>
              <w:pStyle w:val="TableContents"/>
              <w:spacing w:before="0" w:after="283"/>
              <w:rPr/>
            </w:pPr>
            <w:r>
              <w:rPr/>
              <w:t> </w:t>
            </w:r>
          </w:p>
        </w:tc>
        <w:tc>
          <w:tcPr>
            <w:tcW w:w="1275" w:type="dxa"/>
            <w:tcBorders/>
            <w:shd w:fill="E5FFFF" w:val="clear"/>
            <w:vAlign w:val="bottom"/>
          </w:tcPr>
          <w:p>
            <w:pPr>
              <w:pStyle w:val="HorizontalLine"/>
              <w:pBdr>
                <w:bottom w:val="single" w:sz="18" w:space="0" w:color="000000"/>
              </w:pBdr>
              <w:spacing w:before="0" w:after="283"/>
              <w:rPr/>
            </w:pPr>
            <w:r>
              <w:rPr/>
            </w:r>
          </w:p>
        </w:tc>
        <w:tc>
          <w:tcPr>
            <w:tcW w:w="122" w:type="dxa"/>
            <w:tcBorders/>
            <w:shd w:fill="E5FFFF" w:val="clear"/>
            <w:vAlign w:val="center"/>
          </w:tcPr>
          <w:p>
            <w:pPr>
              <w:pStyle w:val="TableContents"/>
              <w:spacing w:before="0" w:after="283"/>
              <w:rPr/>
            </w:pPr>
            <w:r>
              <w:rPr/>
              <w:t> </w:t>
            </w:r>
          </w:p>
        </w:tc>
        <w:tc>
          <w:tcPr>
            <w:tcW w:w="494" w:type="dxa"/>
            <w:tcBorders/>
            <w:shd w:fill="E5FFFF" w:val="clear"/>
            <w:vAlign w:val="bottom"/>
          </w:tcPr>
          <w:p>
            <w:pPr>
              <w:pStyle w:val="TableContents"/>
              <w:spacing w:before="0" w:after="283"/>
              <w:jc w:val="right"/>
              <w:rPr/>
            </w:pPr>
            <w:r>
              <w:rPr/>
              <w:t>    </w:t>
            </w:r>
          </w:p>
        </w:tc>
        <w:tc>
          <w:tcPr>
            <w:tcW w:w="318" w:type="dxa"/>
            <w:tcBorders/>
            <w:shd w:fill="E5FFFF" w:val="clear"/>
            <w:vAlign w:val="center"/>
          </w:tcPr>
          <w:p>
            <w:pPr>
              <w:pStyle w:val="TableContents"/>
              <w:spacing w:before="0" w:after="283"/>
              <w:rPr/>
            </w:pPr>
            <w:r>
              <w:rPr/>
              <w:t> </w:t>
            </w:r>
          </w:p>
        </w:tc>
        <w:tc>
          <w:tcPr>
            <w:tcW w:w="1275" w:type="dxa"/>
            <w:tcBorders/>
            <w:shd w:fill="E5FFFF" w:val="clear"/>
            <w:vAlign w:val="bottom"/>
          </w:tcPr>
          <w:p>
            <w:pPr>
              <w:pStyle w:val="HorizontalLine"/>
              <w:pBdr>
                <w:bottom w:val="single" w:sz="18" w:space="0" w:color="000000"/>
              </w:pBdr>
              <w:spacing w:before="0" w:after="283"/>
              <w:rPr/>
            </w:pPr>
            <w:r>
              <w:rPr/>
            </w:r>
          </w:p>
        </w:tc>
        <w:tc>
          <w:tcPr>
            <w:tcW w:w="122" w:type="dxa"/>
            <w:tcBorders/>
            <w:shd w:fill="E5FFFF" w:val="clear"/>
            <w:vAlign w:val="center"/>
          </w:tcPr>
          <w:p>
            <w:pPr>
              <w:pStyle w:val="TableContents"/>
              <w:spacing w:before="0" w:after="283"/>
              <w:rPr/>
            </w:pPr>
            <w:r>
              <w:rPr/>
              <w:t> </w:t>
            </w:r>
          </w:p>
        </w:tc>
        <w:tc>
          <w:tcPr>
            <w:tcW w:w="494" w:type="dxa"/>
            <w:tcBorders/>
            <w:shd w:fill="E5FFFF" w:val="clear"/>
            <w:vAlign w:val="bottom"/>
          </w:tcPr>
          <w:p>
            <w:pPr>
              <w:pStyle w:val="TableContents"/>
              <w:spacing w:before="0" w:after="283"/>
              <w:jc w:val="right"/>
              <w:rPr/>
            </w:pPr>
            <w:r>
              <w:rPr/>
              <w:t>    </w:t>
            </w:r>
          </w:p>
        </w:tc>
        <w:tc>
          <w:tcPr>
            <w:tcW w:w="318" w:type="dxa"/>
            <w:tcBorders/>
            <w:shd w:fill="E5FFFF" w:val="clear"/>
            <w:vAlign w:val="center"/>
          </w:tcPr>
          <w:p>
            <w:pPr>
              <w:pStyle w:val="TableContents"/>
              <w:spacing w:before="0" w:after="283"/>
              <w:rPr/>
            </w:pPr>
            <w:r>
              <w:rPr/>
              <w:t> </w:t>
            </w:r>
          </w:p>
        </w:tc>
        <w:tc>
          <w:tcPr>
            <w:tcW w:w="1275" w:type="dxa"/>
            <w:tcBorders/>
            <w:shd w:fill="E5FFFF" w:val="clear"/>
            <w:vAlign w:val="bottom"/>
          </w:tcPr>
          <w:p>
            <w:pPr>
              <w:pStyle w:val="HorizontalLine"/>
              <w:pBdr>
                <w:bottom w:val="single" w:sz="18" w:space="0" w:color="000000"/>
              </w:pBdr>
              <w:spacing w:before="0" w:after="283"/>
              <w:rPr/>
            </w:pPr>
            <w:r>
              <w:rPr/>
            </w:r>
          </w:p>
        </w:tc>
        <w:tc>
          <w:tcPr>
            <w:tcW w:w="123" w:type="dxa"/>
            <w:tcBorders/>
            <w:shd w:fill="E5FFFF" w:val="clear"/>
            <w:vAlign w:val="center"/>
          </w:tcPr>
          <w:p>
            <w:pPr>
              <w:pStyle w:val="TableContents"/>
              <w:spacing w:before="0" w:after="283"/>
              <w:rPr/>
            </w:pPr>
            <w:r>
              <w:rPr/>
              <w:t> </w:t>
            </w:r>
          </w:p>
        </w:tc>
      </w:tr>
      <w:tr>
        <w:trPr/>
        <w:tc>
          <w:tcPr>
            <w:tcW w:w="711" w:type="dxa"/>
            <w:tcBorders/>
            <w:shd w:fill="FFFFFF" w:val="clear"/>
            <w:vAlign w:val="bottom"/>
          </w:tcPr>
          <w:p>
            <w:pPr>
              <w:pStyle w:val="TableContents"/>
              <w:spacing w:before="0" w:after="283"/>
              <w:jc w:val="left"/>
              <w:rPr/>
            </w:pPr>
            <w:r>
              <w:rPr/>
              <w:t>      </w:t>
            </w:r>
          </w:p>
        </w:tc>
        <w:tc>
          <w:tcPr>
            <w:tcW w:w="2885" w:type="dxa"/>
            <w:tcBorders/>
            <w:shd w:fill="FFFFFF" w:val="clear"/>
            <w:vAlign w:val="bottom"/>
          </w:tcPr>
          <w:p>
            <w:pPr>
              <w:pStyle w:val="TableContents"/>
              <w:spacing w:before="0" w:after="283"/>
              <w:rPr>
                <w:sz w:val="4"/>
                <w:szCs w:val="4"/>
              </w:rPr>
            </w:pPr>
            <w:r>
              <w:rPr>
                <w:sz w:val="4"/>
                <w:szCs w:val="4"/>
              </w:rPr>
            </w:r>
          </w:p>
        </w:tc>
        <w:tc>
          <w:tcPr>
            <w:tcW w:w="475"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27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494"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27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494"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275"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59</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Tax expense</w:t>
      </w:r>
    </w:p>
    <w:tbl>
      <w:tblPr>
        <w:tblW w:w="5000" w:type="pct"/>
        <w:jc w:val="left"/>
        <w:tblInd w:w="0" w:type="dxa"/>
        <w:tblCellMar>
          <w:top w:w="0" w:type="dxa"/>
          <w:left w:w="0" w:type="dxa"/>
          <w:bottom w:w="0" w:type="dxa"/>
          <w:right w:w="0" w:type="dxa"/>
        </w:tblCellMar>
      </w:tblPr>
      <w:tblGrid>
        <w:gridCol w:w="627"/>
        <w:gridCol w:w="4790"/>
        <w:gridCol w:w="240"/>
        <w:gridCol w:w="182"/>
        <w:gridCol w:w="1055"/>
        <w:gridCol w:w="117"/>
        <w:gridCol w:w="240"/>
        <w:gridCol w:w="182"/>
        <w:gridCol w:w="1055"/>
        <w:gridCol w:w="117"/>
        <w:gridCol w:w="240"/>
        <w:gridCol w:w="182"/>
        <w:gridCol w:w="1055"/>
        <w:gridCol w:w="123"/>
      </w:tblGrid>
      <w:tr>
        <w:trPr/>
        <w:tc>
          <w:tcPr>
            <w:tcW w:w="627" w:type="dxa"/>
            <w:tcBorders/>
            <w:shd w:fill="FFFFFF" w:val="clear"/>
            <w:vAlign w:val="center"/>
          </w:tcPr>
          <w:p>
            <w:pPr>
              <w:pStyle w:val="TableContents"/>
              <w:spacing w:before="0" w:after="283"/>
              <w:rPr/>
            </w:pPr>
            <w:r>
              <w:rPr/>
              <w:t> </w:t>
            </w:r>
          </w:p>
        </w:tc>
        <w:tc>
          <w:tcPr>
            <w:tcW w:w="479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4548"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27" w:type="dxa"/>
            <w:tcBorders/>
            <w:shd w:fill="FFFFFF" w:val="clear"/>
            <w:vAlign w:val="center"/>
          </w:tcPr>
          <w:p>
            <w:pPr>
              <w:pStyle w:val="TableContents"/>
              <w:spacing w:before="0" w:after="283"/>
              <w:rPr/>
            </w:pPr>
            <w:r>
              <w:rPr/>
              <w:t> </w:t>
            </w:r>
          </w:p>
        </w:tc>
        <w:tc>
          <w:tcPr>
            <w:tcW w:w="479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35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5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6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27" w:type="dxa"/>
            <w:tcBorders/>
            <w:shd w:fill="FFFFFF" w:val="clear"/>
            <w:vAlign w:val="bottom"/>
          </w:tcPr>
          <w:p>
            <w:pPr>
              <w:pStyle w:val="TableContents"/>
              <w:spacing w:before="0" w:after="283"/>
              <w:jc w:val="left"/>
              <w:rPr/>
            </w:pPr>
            <w:r>
              <w:rPr/>
              <w:t>      </w:t>
            </w:r>
          </w:p>
        </w:tc>
        <w:tc>
          <w:tcPr>
            <w:tcW w:w="4790" w:type="dxa"/>
            <w:tcBorders/>
            <w:shd w:fill="FFFFFF" w:val="clear"/>
            <w:vAlign w:val="bottom"/>
          </w:tcPr>
          <w:p>
            <w:pPr>
              <w:pStyle w:val="TableContents"/>
              <w:spacing w:before="0" w:after="283"/>
              <w:jc w:val="left"/>
              <w:rPr>
                <w:rFonts w:ascii="Arial" w:hAnsi="Arial"/>
              </w:rPr>
            </w:pPr>
            <w:r>
              <w:rPr>
                <w:rFonts w:ascii="Arial" w:hAnsi="Arial"/>
              </w:rPr>
              <w:t>United States</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right"/>
              <w:rPr>
                <w:rFonts w:ascii="Arial" w:hAnsi="Arial"/>
              </w:rPr>
            </w:pPr>
            <w:r>
              <w:rPr>
                <w:rFonts w:ascii="Arial" w:hAnsi="Arial"/>
              </w:rPr>
              <w:t>$</w:t>
            </w:r>
          </w:p>
        </w:tc>
        <w:tc>
          <w:tcPr>
            <w:tcW w:w="1055" w:type="dxa"/>
            <w:tcBorders/>
            <w:shd w:fill="FFFFFF" w:val="clear"/>
            <w:vAlign w:val="bottom"/>
          </w:tcPr>
          <w:p>
            <w:pPr>
              <w:pStyle w:val="TableContents"/>
              <w:spacing w:before="0" w:after="283"/>
              <w:jc w:val="right"/>
              <w:rPr>
                <w:rFonts w:ascii="Arial" w:hAnsi="Arial"/>
              </w:rPr>
            </w:pPr>
            <w:r>
              <w:rPr>
                <w:rFonts w:ascii="Arial" w:hAnsi="Arial"/>
              </w:rPr>
              <w:t>412</w:t>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right"/>
              <w:rPr>
                <w:rFonts w:ascii="Arial" w:hAnsi="Arial"/>
              </w:rPr>
            </w:pPr>
            <w:r>
              <w:rPr>
                <w:rFonts w:ascii="Arial" w:hAnsi="Arial"/>
              </w:rPr>
              <w:t>$</w:t>
            </w:r>
          </w:p>
        </w:tc>
        <w:tc>
          <w:tcPr>
            <w:tcW w:w="1055" w:type="dxa"/>
            <w:tcBorders/>
            <w:shd w:fill="FFFFFF" w:val="clear"/>
            <w:vAlign w:val="bottom"/>
          </w:tcPr>
          <w:p>
            <w:pPr>
              <w:pStyle w:val="TableContents"/>
              <w:spacing w:before="0" w:after="283"/>
              <w:jc w:val="right"/>
              <w:rPr>
                <w:rFonts w:ascii="Arial" w:hAnsi="Arial"/>
              </w:rPr>
            </w:pPr>
            <w:r>
              <w:rPr>
                <w:rFonts w:ascii="Arial" w:hAnsi="Arial"/>
              </w:rPr>
              <w:t>427</w:t>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right"/>
              <w:rPr>
                <w:rFonts w:ascii="Arial" w:hAnsi="Arial"/>
              </w:rPr>
            </w:pPr>
            <w:r>
              <w:rPr>
                <w:rFonts w:ascii="Arial" w:hAnsi="Arial"/>
              </w:rPr>
              <w:t>$</w:t>
            </w:r>
          </w:p>
        </w:tc>
        <w:tc>
          <w:tcPr>
            <w:tcW w:w="1055" w:type="dxa"/>
            <w:tcBorders/>
            <w:shd w:fill="FFFFFF" w:val="clear"/>
            <w:vAlign w:val="bottom"/>
          </w:tcPr>
          <w:p>
            <w:pPr>
              <w:pStyle w:val="TableContents"/>
              <w:spacing w:before="0" w:after="283"/>
              <w:jc w:val="right"/>
              <w:rPr>
                <w:rFonts w:ascii="Arial" w:hAnsi="Arial"/>
              </w:rPr>
            </w:pPr>
            <w:r>
              <w:rPr>
                <w:rFonts w:ascii="Arial" w:hAnsi="Arial"/>
              </w:rPr>
              <w:t>148</w:t>
            </w:r>
          </w:p>
        </w:tc>
        <w:tc>
          <w:tcPr>
            <w:tcW w:w="123" w:type="dxa"/>
            <w:tcBorders/>
            <w:shd w:fill="FFFFFF" w:val="clear"/>
            <w:vAlign w:val="center"/>
          </w:tcPr>
          <w:p>
            <w:pPr>
              <w:pStyle w:val="TableContents"/>
              <w:spacing w:before="0" w:after="283"/>
              <w:rPr/>
            </w:pPr>
            <w:r>
              <w:rPr/>
              <w:t> </w:t>
            </w:r>
          </w:p>
        </w:tc>
      </w:tr>
      <w:tr>
        <w:trPr/>
        <w:tc>
          <w:tcPr>
            <w:tcW w:w="627" w:type="dxa"/>
            <w:tcBorders/>
            <w:shd w:fill="E5FFFF" w:val="clear"/>
            <w:vAlign w:val="bottom"/>
          </w:tcPr>
          <w:p>
            <w:pPr>
              <w:pStyle w:val="TableContents"/>
              <w:spacing w:before="0" w:after="283"/>
              <w:jc w:val="left"/>
              <w:rPr/>
            </w:pPr>
            <w:r>
              <w:rPr/>
              <w:t>      </w:t>
            </w:r>
          </w:p>
        </w:tc>
        <w:tc>
          <w:tcPr>
            <w:tcW w:w="4790" w:type="dxa"/>
            <w:tcBorders/>
            <w:shd w:fill="E5FFFF" w:val="clear"/>
            <w:vAlign w:val="bottom"/>
          </w:tcPr>
          <w:p>
            <w:pPr>
              <w:pStyle w:val="TableContents"/>
              <w:spacing w:before="0" w:after="283"/>
              <w:jc w:val="left"/>
              <w:rPr>
                <w:rFonts w:ascii="Arial" w:hAnsi="Arial"/>
              </w:rPr>
            </w:pPr>
            <w:r>
              <w:rPr>
                <w:rFonts w:ascii="Arial" w:hAnsi="Arial"/>
              </w:rPr>
              <w:t>Foreign</w:t>
            </w:r>
          </w:p>
        </w:tc>
        <w:tc>
          <w:tcPr>
            <w:tcW w:w="240"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1055" w:type="dxa"/>
            <w:tcBorders/>
            <w:shd w:fill="E5FFFF" w:val="clear"/>
            <w:vAlign w:val="bottom"/>
          </w:tcPr>
          <w:p>
            <w:pPr>
              <w:pStyle w:val="TableContents"/>
              <w:spacing w:before="0" w:after="283"/>
              <w:jc w:val="right"/>
              <w:rPr>
                <w:rFonts w:ascii="Arial" w:hAnsi="Arial"/>
              </w:rPr>
            </w:pPr>
            <w:r>
              <w:rPr>
                <w:rFonts w:ascii="Arial" w:hAnsi="Arial"/>
              </w:rPr>
              <w:t>308</w:t>
            </w:r>
          </w:p>
        </w:tc>
        <w:tc>
          <w:tcPr>
            <w:tcW w:w="11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1055" w:type="dxa"/>
            <w:tcBorders/>
            <w:shd w:fill="E5FFFF" w:val="clear"/>
            <w:vAlign w:val="bottom"/>
          </w:tcPr>
          <w:p>
            <w:pPr>
              <w:pStyle w:val="TableContents"/>
              <w:spacing w:before="0" w:after="283"/>
              <w:jc w:val="right"/>
              <w:rPr>
                <w:rFonts w:ascii="Arial" w:hAnsi="Arial"/>
              </w:rPr>
            </w:pPr>
            <w:r>
              <w:rPr>
                <w:rFonts w:ascii="Arial" w:hAnsi="Arial"/>
              </w:rPr>
              <w:t>305</w:t>
            </w:r>
          </w:p>
        </w:tc>
        <w:tc>
          <w:tcPr>
            <w:tcW w:w="11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1055" w:type="dxa"/>
            <w:tcBorders/>
            <w:shd w:fill="E5FFFF" w:val="clear"/>
            <w:vAlign w:val="bottom"/>
          </w:tcPr>
          <w:p>
            <w:pPr>
              <w:pStyle w:val="TableContents"/>
              <w:spacing w:before="0" w:after="283"/>
              <w:jc w:val="right"/>
              <w:rPr>
                <w:rFonts w:ascii="Arial" w:hAnsi="Arial"/>
              </w:rPr>
            </w:pPr>
            <w:r>
              <w:rPr>
                <w:rFonts w:ascii="Arial" w:hAnsi="Arial"/>
              </w:rPr>
              <w:t>229</w:t>
            </w:r>
          </w:p>
        </w:tc>
        <w:tc>
          <w:tcPr>
            <w:tcW w:w="123" w:type="dxa"/>
            <w:tcBorders/>
            <w:shd w:fill="E5FFFF" w:val="clear"/>
            <w:vAlign w:val="center"/>
          </w:tcPr>
          <w:p>
            <w:pPr>
              <w:pStyle w:val="TableContents"/>
              <w:spacing w:before="0" w:after="283"/>
              <w:rPr/>
            </w:pPr>
            <w:r>
              <w:rPr/>
              <w:t> </w:t>
            </w:r>
          </w:p>
        </w:tc>
      </w:tr>
      <w:tr>
        <w:trPr/>
        <w:tc>
          <w:tcPr>
            <w:tcW w:w="627" w:type="dxa"/>
            <w:tcBorders/>
            <w:shd w:fill="FFFFFF" w:val="clear"/>
            <w:vAlign w:val="center"/>
          </w:tcPr>
          <w:p>
            <w:pPr>
              <w:pStyle w:val="TableContents"/>
              <w:spacing w:before="0" w:after="283"/>
              <w:rPr/>
            </w:pPr>
            <w:r>
              <w:rPr/>
              <w:t> </w:t>
            </w:r>
          </w:p>
        </w:tc>
        <w:tc>
          <w:tcPr>
            <w:tcW w:w="479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bottom"/>
          </w:tcPr>
          <w:p>
            <w:pPr>
              <w:pStyle w:val="HorizontalLine"/>
              <w:pBdr>
                <w:bottom w:val="single" w:sz="6" w:space="0" w:color="000000"/>
              </w:pBdr>
              <w:spacing w:before="0" w:after="283"/>
              <w:rPr/>
            </w:pPr>
            <w:r>
              <w:rPr/>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bottom"/>
          </w:tcPr>
          <w:p>
            <w:pPr>
              <w:pStyle w:val="HorizontalLine"/>
              <w:pBdr>
                <w:bottom w:val="single" w:sz="6" w:space="0" w:color="000000"/>
              </w:pBdr>
              <w:spacing w:before="0" w:after="283"/>
              <w:rPr/>
            </w:pPr>
            <w:r>
              <w:rPr/>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bottom"/>
          </w:tcPr>
          <w:p>
            <w:pPr>
              <w:pStyle w:val="HorizontalLine"/>
              <w:pBdr>
                <w:bottom w:val="single" w:sz="6" w:space="0" w:color="000000"/>
              </w:pBdr>
              <w:spacing w:before="0" w:after="283"/>
              <w:rPr/>
            </w:pPr>
            <w:r>
              <w:rPr/>
            </w:r>
          </w:p>
        </w:tc>
        <w:tc>
          <w:tcPr>
            <w:tcW w:w="123" w:type="dxa"/>
            <w:tcBorders/>
            <w:shd w:fill="FFFFFF" w:val="clear"/>
            <w:vAlign w:val="center"/>
          </w:tcPr>
          <w:p>
            <w:pPr>
              <w:pStyle w:val="TableContents"/>
              <w:spacing w:before="0" w:after="283"/>
              <w:rPr/>
            </w:pPr>
            <w:r>
              <w:rPr/>
              <w:t> </w:t>
            </w:r>
          </w:p>
        </w:tc>
      </w:tr>
      <w:tr>
        <w:trPr/>
        <w:tc>
          <w:tcPr>
            <w:tcW w:w="627" w:type="dxa"/>
            <w:tcBorders/>
            <w:shd w:fill="E5FFFF" w:val="clear"/>
            <w:vAlign w:val="bottom"/>
          </w:tcPr>
          <w:p>
            <w:pPr>
              <w:pStyle w:val="TableContents"/>
              <w:spacing w:before="0" w:after="283"/>
              <w:jc w:val="left"/>
              <w:rPr/>
            </w:pPr>
            <w:r>
              <w:rPr/>
              <w:t>      </w:t>
            </w:r>
          </w:p>
        </w:tc>
        <w:tc>
          <w:tcPr>
            <w:tcW w:w="4790"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1055" w:type="dxa"/>
            <w:tcBorders/>
            <w:shd w:fill="E5FFFF" w:val="clear"/>
            <w:vAlign w:val="bottom"/>
          </w:tcPr>
          <w:p>
            <w:pPr>
              <w:pStyle w:val="TableContents"/>
              <w:spacing w:before="0" w:after="283"/>
              <w:jc w:val="right"/>
              <w:rPr>
                <w:rFonts w:ascii="Arial" w:hAnsi="Arial"/>
              </w:rPr>
            </w:pPr>
            <w:r>
              <w:rPr>
                <w:rFonts w:ascii="Arial" w:hAnsi="Arial"/>
              </w:rPr>
              <w:t>720</w:t>
            </w:r>
          </w:p>
        </w:tc>
        <w:tc>
          <w:tcPr>
            <w:tcW w:w="11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1055" w:type="dxa"/>
            <w:tcBorders/>
            <w:shd w:fill="E5FFFF" w:val="clear"/>
            <w:vAlign w:val="bottom"/>
          </w:tcPr>
          <w:p>
            <w:pPr>
              <w:pStyle w:val="TableContents"/>
              <w:spacing w:before="0" w:after="283"/>
              <w:jc w:val="right"/>
              <w:rPr>
                <w:rFonts w:ascii="Arial" w:hAnsi="Arial"/>
              </w:rPr>
            </w:pPr>
            <w:r>
              <w:rPr>
                <w:rFonts w:ascii="Arial" w:hAnsi="Arial"/>
              </w:rPr>
              <w:t>732</w:t>
            </w:r>
          </w:p>
        </w:tc>
        <w:tc>
          <w:tcPr>
            <w:tcW w:w="11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1055" w:type="dxa"/>
            <w:tcBorders/>
            <w:shd w:fill="E5FFFF" w:val="clear"/>
            <w:vAlign w:val="bottom"/>
          </w:tcPr>
          <w:p>
            <w:pPr>
              <w:pStyle w:val="TableContents"/>
              <w:spacing w:before="0" w:after="283"/>
              <w:jc w:val="right"/>
              <w:rPr>
                <w:rFonts w:ascii="Arial" w:hAnsi="Arial"/>
              </w:rPr>
            </w:pPr>
            <w:r>
              <w:rPr>
                <w:rFonts w:ascii="Arial" w:hAnsi="Arial"/>
              </w:rPr>
              <w:t>377</w:t>
            </w:r>
          </w:p>
        </w:tc>
        <w:tc>
          <w:tcPr>
            <w:tcW w:w="123" w:type="dxa"/>
            <w:tcBorders/>
            <w:shd w:fill="E5FFFF" w:val="clear"/>
            <w:vAlign w:val="center"/>
          </w:tcPr>
          <w:p>
            <w:pPr>
              <w:pStyle w:val="TableContents"/>
              <w:spacing w:before="0" w:after="283"/>
              <w:rPr/>
            </w:pPr>
            <w:r>
              <w:rPr/>
              <w:t> </w:t>
            </w:r>
          </w:p>
        </w:tc>
      </w:tr>
      <w:tr>
        <w:trPr/>
        <w:tc>
          <w:tcPr>
            <w:tcW w:w="627" w:type="dxa"/>
            <w:tcBorders/>
            <w:shd w:fill="FFFFFF" w:val="clear"/>
            <w:vAlign w:val="center"/>
          </w:tcPr>
          <w:p>
            <w:pPr>
              <w:pStyle w:val="TableContents"/>
              <w:spacing w:before="0" w:after="283"/>
              <w:rPr/>
            </w:pPr>
            <w:r>
              <w:rPr/>
              <w:t> </w:t>
            </w:r>
          </w:p>
        </w:tc>
        <w:tc>
          <w:tcPr>
            <w:tcW w:w="479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bottom"/>
          </w:tcPr>
          <w:p>
            <w:pPr>
              <w:pStyle w:val="HorizontalLine"/>
              <w:pBdr>
                <w:bottom w:val="single" w:sz="18" w:space="0" w:color="000000"/>
              </w:pBdr>
              <w:spacing w:before="0" w:after="283"/>
              <w:rPr/>
            </w:pPr>
            <w:r>
              <w:rPr/>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bottom"/>
          </w:tcPr>
          <w:p>
            <w:pPr>
              <w:pStyle w:val="HorizontalLine"/>
              <w:pBdr>
                <w:bottom w:val="single" w:sz="18" w:space="0" w:color="000000"/>
              </w:pBdr>
              <w:spacing w:before="0" w:after="283"/>
              <w:rPr/>
            </w:pPr>
            <w:r>
              <w:rPr/>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bottom"/>
          </w:tcPr>
          <w:p>
            <w:pPr>
              <w:pStyle w:val="HorizontalLine"/>
              <w:pBdr>
                <w:bottom w:val="single" w:sz="18" w:space="0" w:color="000000"/>
              </w:pBdr>
              <w:spacing w:before="0" w:after="283"/>
              <w:rPr/>
            </w:pPr>
            <w:r>
              <w:rPr/>
            </w:r>
          </w:p>
        </w:tc>
        <w:tc>
          <w:tcPr>
            <w:tcW w:w="123" w:type="dxa"/>
            <w:tcBorders/>
            <w:shd w:fill="FFFFFF" w:val="clear"/>
            <w:vAlign w:val="center"/>
          </w:tcPr>
          <w:p>
            <w:pPr>
              <w:pStyle w:val="TableContents"/>
              <w:spacing w:before="0" w:after="283"/>
              <w:rPr/>
            </w:pPr>
            <w:r>
              <w:rPr/>
              <w:t> </w:t>
            </w:r>
          </w:p>
        </w:tc>
      </w:tr>
      <w:tr>
        <w:trPr/>
        <w:tc>
          <w:tcPr>
            <w:tcW w:w="627" w:type="dxa"/>
            <w:tcBorders/>
            <w:shd w:fill="FFFFFF" w:val="clear"/>
            <w:vAlign w:val="bottom"/>
          </w:tcPr>
          <w:p>
            <w:pPr>
              <w:pStyle w:val="TableContents"/>
              <w:spacing w:before="0" w:after="283"/>
              <w:jc w:val="left"/>
              <w:rPr/>
            </w:pPr>
            <w:r>
              <w:rPr/>
              <w:t>      </w:t>
            </w:r>
          </w:p>
        </w:tc>
        <w:tc>
          <w:tcPr>
            <w:tcW w:w="4790"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rPr/>
            </w:pPr>
            <w:r>
              <w:rPr/>
              <w:t> </w:t>
            </w:r>
          </w:p>
        </w:tc>
        <w:tc>
          <w:tcPr>
            <w:tcW w:w="11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24"/>
        <w:gridCol w:w="4767"/>
        <w:gridCol w:w="243"/>
        <w:gridCol w:w="183"/>
        <w:gridCol w:w="1044"/>
        <w:gridCol w:w="141"/>
        <w:gridCol w:w="243"/>
        <w:gridCol w:w="183"/>
        <w:gridCol w:w="1044"/>
        <w:gridCol w:w="141"/>
        <w:gridCol w:w="243"/>
        <w:gridCol w:w="183"/>
        <w:gridCol w:w="1044"/>
        <w:gridCol w:w="122"/>
      </w:tblGrid>
      <w:tr>
        <w:trPr/>
        <w:tc>
          <w:tcPr>
            <w:tcW w:w="624" w:type="dxa"/>
            <w:tcBorders/>
            <w:shd w:fill="FFFFFF" w:val="clear"/>
            <w:vAlign w:val="center"/>
          </w:tcPr>
          <w:p>
            <w:pPr>
              <w:pStyle w:val="TableContents"/>
              <w:spacing w:before="0" w:after="283"/>
              <w:rPr/>
            </w:pPr>
            <w:r>
              <w:rPr/>
              <w:t> </w:t>
            </w:r>
          </w:p>
        </w:tc>
        <w:tc>
          <w:tcPr>
            <w:tcW w:w="4767"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4571"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24" w:type="dxa"/>
            <w:tcBorders/>
            <w:shd w:fill="FFFFFF" w:val="clear"/>
            <w:vAlign w:val="center"/>
          </w:tcPr>
          <w:p>
            <w:pPr>
              <w:pStyle w:val="TableContents"/>
              <w:spacing w:before="0" w:after="283"/>
              <w:rPr/>
            </w:pPr>
            <w:r>
              <w:rPr/>
              <w:t> </w:t>
            </w:r>
          </w:p>
        </w:tc>
        <w:tc>
          <w:tcPr>
            <w:tcW w:w="4767"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36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3" w:type="dxa"/>
            <w:tcBorders/>
            <w:shd w:fill="FFFFFF" w:val="clear"/>
            <w:vAlign w:val="center"/>
          </w:tcPr>
          <w:p>
            <w:pPr>
              <w:pStyle w:val="TableContents"/>
              <w:spacing w:before="0" w:after="283"/>
              <w:rPr/>
            </w:pPr>
            <w:r>
              <w:rPr/>
              <w:t> </w:t>
            </w:r>
          </w:p>
        </w:tc>
        <w:tc>
          <w:tcPr>
            <w:tcW w:w="1368"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3" w:type="dxa"/>
            <w:tcBorders/>
            <w:shd w:fill="FFFFFF" w:val="clear"/>
            <w:vAlign w:val="center"/>
          </w:tcPr>
          <w:p>
            <w:pPr>
              <w:pStyle w:val="TableContents"/>
              <w:spacing w:before="0" w:after="283"/>
              <w:rPr/>
            </w:pPr>
            <w:r>
              <w:rPr/>
              <w:t> </w:t>
            </w:r>
          </w:p>
        </w:tc>
        <w:tc>
          <w:tcPr>
            <w:tcW w:w="1349"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24" w:type="dxa"/>
            <w:tcBorders/>
            <w:shd w:fill="E5FFFF" w:val="clear"/>
            <w:vAlign w:val="bottom"/>
          </w:tcPr>
          <w:p>
            <w:pPr>
              <w:pStyle w:val="TableContents"/>
              <w:spacing w:before="0" w:after="283"/>
              <w:jc w:val="left"/>
              <w:rPr/>
            </w:pPr>
            <w:r>
              <w:rPr/>
              <w:t>      </w:t>
            </w:r>
          </w:p>
        </w:tc>
        <w:tc>
          <w:tcPr>
            <w:tcW w:w="4767" w:type="dxa"/>
            <w:tcBorders/>
            <w:shd w:fill="E5FFFF" w:val="clear"/>
            <w:vAlign w:val="bottom"/>
          </w:tcPr>
          <w:p>
            <w:pPr>
              <w:pStyle w:val="TableContents"/>
              <w:spacing w:before="0" w:after="283"/>
              <w:jc w:val="left"/>
              <w:rPr>
                <w:rFonts w:ascii="Arial" w:hAnsi="Arial"/>
              </w:rPr>
            </w:pPr>
            <w:r>
              <w:rPr>
                <w:rFonts w:ascii="Arial" w:hAnsi="Arial"/>
              </w:rPr>
              <w:t>Tax expense consist of:</w:t>
            </w:r>
          </w:p>
        </w:tc>
        <w:tc>
          <w:tcPr>
            <w:tcW w:w="243" w:type="dxa"/>
            <w:tcBorders/>
            <w:shd w:fill="E5FFFF" w:val="clear"/>
            <w:vAlign w:val="center"/>
          </w:tcPr>
          <w:p>
            <w:pPr>
              <w:pStyle w:val="TableContents"/>
              <w:spacing w:before="0" w:after="283"/>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center"/>
          </w:tcPr>
          <w:p>
            <w:pPr>
              <w:pStyle w:val="TableContents"/>
              <w:spacing w:before="0" w:after="283"/>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center"/>
          </w:tcPr>
          <w:p>
            <w:pPr>
              <w:pStyle w:val="TableContents"/>
              <w:spacing w:before="0" w:after="283"/>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center"/>
          </w:tcPr>
          <w:p>
            <w:pPr>
              <w:pStyle w:val="TableContents"/>
              <w:spacing w:before="0" w:after="283"/>
              <w:rPr/>
            </w:pPr>
            <w:r>
              <w:rPr/>
              <w:t> </w:t>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jc w:val="left"/>
              <w:rPr>
                <w:rFonts w:ascii="Arial" w:hAnsi="Arial"/>
              </w:rPr>
            </w:pPr>
            <w:r>
              <w:rPr>
                <w:rFonts w:ascii="Arial" w:hAnsi="Arial"/>
              </w:rPr>
              <w:t>Current:</w:t>
            </w:r>
          </w:p>
        </w:tc>
        <w:tc>
          <w:tcPr>
            <w:tcW w:w="243"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bottom"/>
          </w:tcPr>
          <w:p>
            <w:pPr>
              <w:pStyle w:val="TableContents"/>
              <w:spacing w:before="0" w:after="283"/>
              <w:jc w:val="left"/>
              <w:rPr/>
            </w:pPr>
            <w:r>
              <w:rPr/>
              <w:t>      </w:t>
            </w:r>
          </w:p>
        </w:tc>
        <w:tc>
          <w:tcPr>
            <w:tcW w:w="4767" w:type="dxa"/>
            <w:tcBorders/>
            <w:shd w:fill="E5FFFF" w:val="clear"/>
            <w:vAlign w:val="bottom"/>
          </w:tcPr>
          <w:p>
            <w:pPr>
              <w:pStyle w:val="TableContents"/>
              <w:spacing w:before="0" w:after="283"/>
              <w:jc w:val="left"/>
              <w:rPr>
                <w:rFonts w:ascii="Arial" w:hAnsi="Arial"/>
              </w:rPr>
            </w:pPr>
            <w:r>
              <w:rPr>
                <w:rFonts w:ascii="Arial" w:hAnsi="Arial"/>
              </w:rPr>
              <w:t>United States</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044" w:type="dxa"/>
            <w:tcBorders/>
            <w:shd w:fill="E5FFFF" w:val="clear"/>
            <w:vAlign w:val="bottom"/>
          </w:tcPr>
          <w:p>
            <w:pPr>
              <w:pStyle w:val="TableContents"/>
              <w:spacing w:before="0" w:after="283"/>
              <w:jc w:val="right"/>
              <w:rPr>
                <w:rFonts w:ascii="Arial" w:hAnsi="Arial"/>
              </w:rPr>
            </w:pPr>
            <w:r>
              <w:rPr>
                <w:rFonts w:ascii="Arial" w:hAnsi="Arial"/>
              </w:rPr>
              <w:t>(39</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044" w:type="dxa"/>
            <w:tcBorders/>
            <w:shd w:fill="E5FFFF" w:val="clear"/>
            <w:vAlign w:val="bottom"/>
          </w:tcPr>
          <w:p>
            <w:pPr>
              <w:pStyle w:val="TableContents"/>
              <w:spacing w:before="0" w:after="283"/>
              <w:jc w:val="right"/>
              <w:rPr>
                <w:rFonts w:ascii="Arial" w:hAnsi="Arial"/>
              </w:rPr>
            </w:pPr>
            <w:r>
              <w:rPr>
                <w:rFonts w:ascii="Arial" w:hAnsi="Arial"/>
              </w:rPr>
              <w:t>395</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044" w:type="dxa"/>
            <w:tcBorders/>
            <w:shd w:fill="E5FFFF" w:val="clear"/>
            <w:vAlign w:val="bottom"/>
          </w:tcPr>
          <w:p>
            <w:pPr>
              <w:pStyle w:val="TableContents"/>
              <w:spacing w:before="0" w:after="283"/>
              <w:jc w:val="right"/>
              <w:rPr>
                <w:rFonts w:ascii="Arial" w:hAnsi="Arial"/>
              </w:rPr>
            </w:pPr>
            <w:r>
              <w:rPr>
                <w:rFonts w:ascii="Arial" w:hAnsi="Arial"/>
              </w:rPr>
              <w:t>26</w:t>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jc w:val="left"/>
              <w:rPr>
                <w:rFonts w:ascii="Arial" w:hAnsi="Arial"/>
              </w:rPr>
            </w:pPr>
            <w:r>
              <w:rPr>
                <w:rFonts w:ascii="Arial" w:hAnsi="Arial"/>
              </w:rPr>
              <w:t>State</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26</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19</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16</w:t>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bottom"/>
          </w:tcPr>
          <w:p>
            <w:pPr>
              <w:pStyle w:val="TableContents"/>
              <w:spacing w:before="0" w:after="283"/>
              <w:jc w:val="left"/>
              <w:rPr/>
            </w:pPr>
            <w:r>
              <w:rPr/>
              <w:t>      </w:t>
            </w:r>
          </w:p>
        </w:tc>
        <w:tc>
          <w:tcPr>
            <w:tcW w:w="4767" w:type="dxa"/>
            <w:tcBorders/>
            <w:shd w:fill="E5FFFF" w:val="clear"/>
            <w:vAlign w:val="bottom"/>
          </w:tcPr>
          <w:p>
            <w:pPr>
              <w:pStyle w:val="TableContents"/>
              <w:spacing w:before="0" w:after="283"/>
              <w:jc w:val="left"/>
              <w:rPr>
                <w:rFonts w:ascii="Arial" w:hAnsi="Arial"/>
              </w:rPr>
            </w:pPr>
            <w:r>
              <w:rPr>
                <w:rFonts w:ascii="Arial" w:hAnsi="Arial"/>
              </w:rPr>
              <w:t>Foreign</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283</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276</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134</w:t>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center"/>
          </w:tcPr>
          <w:p>
            <w:pPr>
              <w:pStyle w:val="TableContents"/>
              <w:spacing w:before="0" w:after="283"/>
              <w:rPr/>
            </w:pPr>
            <w:r>
              <w:rPr/>
              <w:t> </w:t>
            </w:r>
          </w:p>
        </w:tc>
        <w:tc>
          <w:tcPr>
            <w:tcW w:w="476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HorizontalLine"/>
              <w:pBdr>
                <w:bottom w:val="single" w:sz="6" w:space="0" w:color="000000"/>
              </w:pBdr>
              <w:spacing w:before="0" w:after="283"/>
              <w:rPr/>
            </w:pPr>
            <w:r>
              <w:rPr/>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HorizontalLine"/>
              <w:pBdr>
                <w:bottom w:val="single" w:sz="6" w:space="0" w:color="000000"/>
              </w:pBdr>
              <w:spacing w:before="0" w:after="283"/>
              <w:rPr/>
            </w:pPr>
            <w:r>
              <w:rPr/>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HorizontalLine"/>
              <w:pBdr>
                <w:bottom w:val="single" w:sz="6" w:space="0" w:color="000000"/>
              </w:pBdr>
              <w:spacing w:before="0" w:after="283"/>
              <w:rPr/>
            </w:pPr>
            <w:r>
              <w:rPr/>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bottom"/>
          </w:tcPr>
          <w:p>
            <w:pPr>
              <w:pStyle w:val="TableContents"/>
              <w:spacing w:before="0" w:after="283"/>
              <w:jc w:val="left"/>
              <w:rPr/>
            </w:pPr>
            <w:r>
              <w:rPr/>
              <w:t>      </w:t>
            </w:r>
          </w:p>
        </w:tc>
        <w:tc>
          <w:tcPr>
            <w:tcW w:w="4767" w:type="dxa"/>
            <w:tcBorders/>
            <w:shd w:fill="E5FFFF" w:val="clear"/>
            <w:vAlign w:val="bottom"/>
          </w:tcPr>
          <w:p>
            <w:pPr>
              <w:pStyle w:val="TableContents"/>
              <w:spacing w:before="0" w:after="283"/>
              <w:rPr>
                <w:sz w:val="4"/>
                <w:szCs w:val="4"/>
              </w:rPr>
            </w:pPr>
            <w:r>
              <w:rPr>
                <w:sz w:val="4"/>
                <w:szCs w:val="4"/>
              </w:rPr>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270</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690</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176</w:t>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center"/>
          </w:tcPr>
          <w:p>
            <w:pPr>
              <w:pStyle w:val="TableContents"/>
              <w:spacing w:before="0" w:after="283"/>
              <w:rPr/>
            </w:pPr>
            <w:r>
              <w:rPr/>
              <w:t> </w:t>
            </w:r>
          </w:p>
        </w:tc>
        <w:tc>
          <w:tcPr>
            <w:tcW w:w="476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HorizontalLine"/>
              <w:pBdr>
                <w:bottom w:val="single" w:sz="6" w:space="0" w:color="000000"/>
              </w:pBdr>
              <w:spacing w:before="0" w:after="283"/>
              <w:rPr/>
            </w:pPr>
            <w:r>
              <w:rPr/>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HorizontalLine"/>
              <w:pBdr>
                <w:bottom w:val="single" w:sz="6" w:space="0" w:color="000000"/>
              </w:pBdr>
              <w:spacing w:before="0" w:after="283"/>
              <w:rPr/>
            </w:pPr>
            <w:r>
              <w:rPr/>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HorizontalLine"/>
              <w:pBdr>
                <w:bottom w:val="single" w:sz="6" w:space="0" w:color="000000"/>
              </w:pBdr>
              <w:spacing w:before="0" w:after="283"/>
              <w:rPr/>
            </w:pPr>
            <w:r>
              <w:rPr/>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bottom"/>
          </w:tcPr>
          <w:p>
            <w:pPr>
              <w:pStyle w:val="TableContents"/>
              <w:spacing w:before="0" w:after="283"/>
              <w:jc w:val="left"/>
              <w:rPr/>
            </w:pPr>
            <w:r>
              <w:rPr/>
              <w:t>      </w:t>
            </w:r>
          </w:p>
        </w:tc>
        <w:tc>
          <w:tcPr>
            <w:tcW w:w="4767" w:type="dxa"/>
            <w:tcBorders/>
            <w:shd w:fill="E5FFFF" w:val="clear"/>
            <w:vAlign w:val="bottom"/>
          </w:tcPr>
          <w:p>
            <w:pPr>
              <w:pStyle w:val="TableContents"/>
              <w:spacing w:before="0" w:after="283"/>
              <w:jc w:val="left"/>
              <w:rPr>
                <w:rFonts w:ascii="Arial" w:hAnsi="Arial"/>
              </w:rPr>
            </w:pPr>
            <w:r>
              <w:rPr>
                <w:rFonts w:ascii="Arial" w:hAnsi="Arial"/>
              </w:rPr>
              <w:t>Deferred:</w:t>
            </w:r>
          </w:p>
        </w:tc>
        <w:tc>
          <w:tcPr>
            <w:tcW w:w="243" w:type="dxa"/>
            <w:tcBorders/>
            <w:shd w:fill="E5FFFF" w:val="clear"/>
            <w:vAlign w:val="center"/>
          </w:tcPr>
          <w:p>
            <w:pPr>
              <w:pStyle w:val="TableContents"/>
              <w:spacing w:before="0" w:after="283"/>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center"/>
          </w:tcPr>
          <w:p>
            <w:pPr>
              <w:pStyle w:val="TableContents"/>
              <w:spacing w:before="0" w:after="283"/>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center"/>
          </w:tcPr>
          <w:p>
            <w:pPr>
              <w:pStyle w:val="TableContents"/>
              <w:spacing w:before="0" w:after="283"/>
              <w:rPr/>
            </w:pPr>
            <w:r>
              <w:rPr/>
              <w:t> </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center"/>
          </w:tcPr>
          <w:p>
            <w:pPr>
              <w:pStyle w:val="TableContents"/>
              <w:spacing w:before="0" w:after="283"/>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center"/>
          </w:tcPr>
          <w:p>
            <w:pPr>
              <w:pStyle w:val="TableContents"/>
              <w:spacing w:before="0" w:after="283"/>
              <w:rPr/>
            </w:pPr>
            <w:r>
              <w:rPr/>
              <w:t> </w:t>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jc w:val="left"/>
              <w:rPr>
                <w:rFonts w:ascii="Arial" w:hAnsi="Arial"/>
              </w:rPr>
            </w:pPr>
            <w:r>
              <w:rPr>
                <w:rFonts w:ascii="Arial" w:hAnsi="Arial"/>
              </w:rPr>
              <w:t>United States</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376</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19</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90</w:t>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bottom"/>
          </w:tcPr>
          <w:p>
            <w:pPr>
              <w:pStyle w:val="TableContents"/>
              <w:spacing w:before="0" w:after="283"/>
              <w:jc w:val="left"/>
              <w:rPr/>
            </w:pPr>
            <w:r>
              <w:rPr/>
              <w:t>      </w:t>
            </w:r>
          </w:p>
        </w:tc>
        <w:tc>
          <w:tcPr>
            <w:tcW w:w="4767" w:type="dxa"/>
            <w:tcBorders/>
            <w:shd w:fill="E5FFFF" w:val="clear"/>
            <w:vAlign w:val="bottom"/>
          </w:tcPr>
          <w:p>
            <w:pPr>
              <w:pStyle w:val="TableContents"/>
              <w:spacing w:before="0" w:after="283"/>
              <w:jc w:val="left"/>
              <w:rPr>
                <w:rFonts w:ascii="Arial" w:hAnsi="Arial"/>
              </w:rPr>
            </w:pPr>
            <w:r>
              <w:rPr>
                <w:rFonts w:ascii="Arial" w:hAnsi="Arial"/>
              </w:rPr>
              <w:t>State</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49</w:t>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(6</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TableContents"/>
              <w:spacing w:before="0" w:after="283"/>
              <w:jc w:val="right"/>
              <w:rPr>
                <w:rFonts w:ascii="Arial" w:hAnsi="Arial"/>
              </w:rPr>
            </w:pPr>
            <w:r>
              <w:rPr>
                <w:rFonts w:ascii="Arial" w:hAnsi="Arial"/>
              </w:rPr>
              <w:t>16</w:t>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jc w:val="left"/>
              <w:rPr>
                <w:rFonts w:ascii="Arial" w:hAnsi="Arial"/>
              </w:rPr>
            </w:pPr>
            <w:r>
              <w:rPr>
                <w:rFonts w:ascii="Arial" w:hAnsi="Arial"/>
              </w:rPr>
              <w:t>Foreign</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25</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29</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95</w:t>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center"/>
          </w:tcPr>
          <w:p>
            <w:pPr>
              <w:pStyle w:val="TableContents"/>
              <w:spacing w:before="0" w:after="283"/>
              <w:rPr/>
            </w:pPr>
            <w:r>
              <w:rPr/>
              <w:t> </w:t>
            </w:r>
          </w:p>
        </w:tc>
        <w:tc>
          <w:tcPr>
            <w:tcW w:w="476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6" w:space="0" w:color="000000"/>
              </w:pBdr>
              <w:spacing w:before="0" w:after="283"/>
              <w:rPr/>
            </w:pPr>
            <w:r>
              <w:rPr/>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rPr>
                <w:sz w:val="4"/>
                <w:szCs w:val="4"/>
              </w:rPr>
            </w:pPr>
            <w:r>
              <w:rPr>
                <w:sz w:val="4"/>
                <w:szCs w:val="4"/>
              </w:rPr>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450</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42</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bottom"/>
          </w:tcPr>
          <w:p>
            <w:pPr>
              <w:pStyle w:val="TableContents"/>
              <w:spacing w:before="0" w:after="283"/>
              <w:jc w:val="right"/>
              <w:rPr>
                <w:rFonts w:ascii="Arial" w:hAnsi="Arial"/>
              </w:rPr>
            </w:pPr>
            <w:r>
              <w:rPr>
                <w:rFonts w:ascii="Arial" w:hAnsi="Arial"/>
              </w:rPr>
              <w:t>201</w:t>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center"/>
          </w:tcPr>
          <w:p>
            <w:pPr>
              <w:pStyle w:val="TableContents"/>
              <w:spacing w:before="0" w:after="283"/>
              <w:rPr/>
            </w:pPr>
            <w:r>
              <w:rPr/>
              <w:t> </w:t>
            </w:r>
          </w:p>
        </w:tc>
        <w:tc>
          <w:tcPr>
            <w:tcW w:w="476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6" w:space="0" w:color="000000"/>
              </w:pBdr>
              <w:spacing w:before="0" w:after="283"/>
              <w:rPr/>
            </w:pPr>
            <w:r>
              <w:rPr/>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rPr>
                <w:sz w:val="4"/>
                <w:szCs w:val="4"/>
              </w:rPr>
            </w:pPr>
            <w:r>
              <w:rPr>
                <w:sz w:val="4"/>
                <w:szCs w:val="4"/>
              </w:rPr>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right"/>
              <w:rPr>
                <w:rFonts w:ascii="Arial" w:hAnsi="Arial"/>
              </w:rPr>
            </w:pPr>
            <w:r>
              <w:rPr>
                <w:rFonts w:ascii="Arial" w:hAnsi="Arial"/>
              </w:rPr>
              <w:t>$</w:t>
            </w:r>
          </w:p>
        </w:tc>
        <w:tc>
          <w:tcPr>
            <w:tcW w:w="1044" w:type="dxa"/>
            <w:tcBorders/>
            <w:shd w:fill="FFFFFF" w:val="clear"/>
            <w:vAlign w:val="bottom"/>
          </w:tcPr>
          <w:p>
            <w:pPr>
              <w:pStyle w:val="TableContents"/>
              <w:spacing w:before="0" w:after="283"/>
              <w:jc w:val="right"/>
              <w:rPr>
                <w:rFonts w:ascii="Arial" w:hAnsi="Arial"/>
              </w:rPr>
            </w:pPr>
            <w:r>
              <w:rPr>
                <w:rFonts w:ascii="Arial" w:hAnsi="Arial"/>
              </w:rPr>
              <w:t>720</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right"/>
              <w:rPr>
                <w:rFonts w:ascii="Arial" w:hAnsi="Arial"/>
              </w:rPr>
            </w:pPr>
            <w:r>
              <w:rPr>
                <w:rFonts w:ascii="Arial" w:hAnsi="Arial"/>
              </w:rPr>
              <w:t>$</w:t>
            </w:r>
          </w:p>
        </w:tc>
        <w:tc>
          <w:tcPr>
            <w:tcW w:w="1044" w:type="dxa"/>
            <w:tcBorders/>
            <w:shd w:fill="FFFFFF" w:val="clear"/>
            <w:vAlign w:val="bottom"/>
          </w:tcPr>
          <w:p>
            <w:pPr>
              <w:pStyle w:val="TableContents"/>
              <w:spacing w:before="0" w:after="283"/>
              <w:jc w:val="right"/>
              <w:rPr>
                <w:rFonts w:ascii="Arial" w:hAnsi="Arial"/>
              </w:rPr>
            </w:pPr>
            <w:r>
              <w:rPr>
                <w:rFonts w:ascii="Arial" w:hAnsi="Arial"/>
              </w:rPr>
              <w:t>732</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right"/>
              <w:rPr>
                <w:rFonts w:ascii="Arial" w:hAnsi="Arial"/>
              </w:rPr>
            </w:pPr>
            <w:r>
              <w:rPr>
                <w:rFonts w:ascii="Arial" w:hAnsi="Arial"/>
              </w:rPr>
              <w:t>$</w:t>
            </w:r>
          </w:p>
        </w:tc>
        <w:tc>
          <w:tcPr>
            <w:tcW w:w="1044" w:type="dxa"/>
            <w:tcBorders/>
            <w:shd w:fill="FFFFFF" w:val="clear"/>
            <w:vAlign w:val="bottom"/>
          </w:tcPr>
          <w:p>
            <w:pPr>
              <w:pStyle w:val="TableContents"/>
              <w:spacing w:before="0" w:after="283"/>
              <w:jc w:val="right"/>
              <w:rPr>
                <w:rFonts w:ascii="Arial" w:hAnsi="Arial"/>
              </w:rPr>
            </w:pPr>
            <w:r>
              <w:rPr>
                <w:rFonts w:ascii="Arial" w:hAnsi="Arial"/>
              </w:rPr>
              <w:t>377</w:t>
            </w:r>
          </w:p>
        </w:tc>
        <w:tc>
          <w:tcPr>
            <w:tcW w:w="122" w:type="dxa"/>
            <w:tcBorders/>
            <w:shd w:fill="FFFFFF" w:val="clear"/>
            <w:vAlign w:val="center"/>
          </w:tcPr>
          <w:p>
            <w:pPr>
              <w:pStyle w:val="TableContents"/>
              <w:spacing w:before="0" w:after="283"/>
              <w:rPr/>
            </w:pPr>
            <w:r>
              <w:rPr/>
              <w:t> </w:t>
            </w:r>
          </w:p>
        </w:tc>
      </w:tr>
      <w:tr>
        <w:trPr/>
        <w:tc>
          <w:tcPr>
            <w:tcW w:w="624" w:type="dxa"/>
            <w:tcBorders/>
            <w:shd w:fill="E5FFFF" w:val="clear"/>
            <w:vAlign w:val="center"/>
          </w:tcPr>
          <w:p>
            <w:pPr>
              <w:pStyle w:val="TableContents"/>
              <w:spacing w:before="0" w:after="283"/>
              <w:rPr/>
            </w:pPr>
            <w:r>
              <w:rPr/>
              <w:t> </w:t>
            </w:r>
          </w:p>
        </w:tc>
        <w:tc>
          <w:tcPr>
            <w:tcW w:w="476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18"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18"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044" w:type="dxa"/>
            <w:tcBorders/>
            <w:shd w:fill="E5FFFF" w:val="clear"/>
            <w:vAlign w:val="bottom"/>
          </w:tcPr>
          <w:p>
            <w:pPr>
              <w:pStyle w:val="HorizontalLine"/>
              <w:pBdr>
                <w:bottom w:val="single" w:sz="18" w:space="0" w:color="000000"/>
              </w:pBdr>
              <w:spacing w:before="0" w:after="283"/>
              <w:rPr/>
            </w:pPr>
            <w:r>
              <w:rPr/>
            </w:r>
          </w:p>
        </w:tc>
        <w:tc>
          <w:tcPr>
            <w:tcW w:w="122" w:type="dxa"/>
            <w:tcBorders/>
            <w:shd w:fill="E5FFFF" w:val="clear"/>
            <w:vAlign w:val="center"/>
          </w:tcPr>
          <w:p>
            <w:pPr>
              <w:pStyle w:val="TableContents"/>
              <w:spacing w:before="0" w:after="283"/>
              <w:rPr/>
            </w:pPr>
            <w:r>
              <w:rPr/>
              <w:t> </w:t>
            </w:r>
          </w:p>
        </w:tc>
      </w:tr>
      <w:tr>
        <w:trPr/>
        <w:tc>
          <w:tcPr>
            <w:tcW w:w="624" w:type="dxa"/>
            <w:tcBorders/>
            <w:shd w:fill="FFFFFF" w:val="clear"/>
            <w:vAlign w:val="bottom"/>
          </w:tcPr>
          <w:p>
            <w:pPr>
              <w:pStyle w:val="TableContents"/>
              <w:spacing w:before="0" w:after="283"/>
              <w:jc w:val="left"/>
              <w:rPr/>
            </w:pPr>
            <w:r>
              <w:rPr/>
              <w:t>      </w:t>
            </w:r>
          </w:p>
        </w:tc>
        <w:tc>
          <w:tcPr>
            <w:tcW w:w="4767" w:type="dxa"/>
            <w:tcBorders/>
            <w:shd w:fill="FFFFFF" w:val="clear"/>
            <w:vAlign w:val="bottom"/>
          </w:tcPr>
          <w:p>
            <w:pPr>
              <w:pStyle w:val="TableContents"/>
              <w:spacing w:before="0" w:after="283"/>
              <w:rPr>
                <w:sz w:val="4"/>
                <w:szCs w:val="4"/>
              </w:rPr>
            </w:pPr>
            <w:r>
              <w:rPr>
                <w:sz w:val="4"/>
                <w:szCs w:val="4"/>
              </w:rPr>
            </w:r>
          </w:p>
        </w:tc>
        <w:tc>
          <w:tcPr>
            <w:tcW w:w="243"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3"/>
        <w:gridCol w:w="4795"/>
        <w:gridCol w:w="242"/>
        <w:gridCol w:w="110"/>
        <w:gridCol w:w="1017"/>
        <w:gridCol w:w="235"/>
        <w:gridCol w:w="242"/>
        <w:gridCol w:w="110"/>
        <w:gridCol w:w="1017"/>
        <w:gridCol w:w="235"/>
        <w:gridCol w:w="242"/>
        <w:gridCol w:w="110"/>
        <w:gridCol w:w="1017"/>
        <w:gridCol w:w="240"/>
      </w:tblGrid>
      <w:tr>
        <w:trPr/>
        <w:tc>
          <w:tcPr>
            <w:tcW w:w="593" w:type="dxa"/>
            <w:tcBorders/>
            <w:shd w:fill="FFFFFF" w:val="clear"/>
            <w:vAlign w:val="center"/>
          </w:tcPr>
          <w:p>
            <w:pPr>
              <w:pStyle w:val="TableContents"/>
              <w:spacing w:before="0" w:after="283"/>
              <w:rPr/>
            </w:pPr>
            <w:r>
              <w:rPr/>
              <w:t> </w:t>
            </w:r>
          </w:p>
        </w:tc>
        <w:tc>
          <w:tcPr>
            <w:tcW w:w="4795"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4575"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593" w:type="dxa"/>
            <w:tcBorders/>
            <w:shd w:fill="FFFFFF" w:val="clear"/>
            <w:vAlign w:val="center"/>
          </w:tcPr>
          <w:p>
            <w:pPr>
              <w:pStyle w:val="TableContents"/>
              <w:spacing w:before="0" w:after="283"/>
              <w:rPr/>
            </w:pPr>
            <w:r>
              <w:rPr/>
              <w:t> </w:t>
            </w:r>
          </w:p>
        </w:tc>
        <w:tc>
          <w:tcPr>
            <w:tcW w:w="4795"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36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36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367"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The U.S. statutory federal income tax rate is reconciled to our effective income tax rate as follows:</w:t>
            </w:r>
          </w:p>
        </w:tc>
        <w:tc>
          <w:tcPr>
            <w:tcW w:w="242"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r>
      <w:tr>
        <w:trPr/>
        <w:tc>
          <w:tcPr>
            <w:tcW w:w="593" w:type="dxa"/>
            <w:tcBorders/>
            <w:shd w:fill="E5FFFF" w:val="clear"/>
            <w:vAlign w:val="bottom"/>
          </w:tcPr>
          <w:p>
            <w:pPr>
              <w:pStyle w:val="TableContents"/>
              <w:spacing w:before="0" w:after="283"/>
              <w:jc w:val="left"/>
              <w:rPr/>
            </w:pPr>
            <w:r>
              <w:rPr/>
              <w:t>      </w:t>
            </w:r>
          </w:p>
        </w:tc>
        <w:tc>
          <w:tcPr>
            <w:tcW w:w="4795" w:type="dxa"/>
            <w:tcBorders/>
            <w:shd w:fill="E5FFFF" w:val="clear"/>
            <w:vAlign w:val="bottom"/>
          </w:tcPr>
          <w:p>
            <w:pPr>
              <w:pStyle w:val="TableContents"/>
              <w:spacing w:before="0" w:after="283"/>
              <w:jc w:val="left"/>
              <w:rPr>
                <w:rFonts w:ascii="Arial" w:hAnsi="Arial"/>
              </w:rPr>
            </w:pPr>
            <w:r>
              <w:rPr>
                <w:rFonts w:ascii="Arial" w:hAnsi="Arial"/>
              </w:rPr>
              <w:t>Statutory U.S. federal income tax rate</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35.0</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35.0</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35.0</w:t>
            </w:r>
          </w:p>
        </w:tc>
        <w:tc>
          <w:tcPr>
            <w:tcW w:w="24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Taxes on foreign earnings below U.S. tax rate (1)</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(4.0</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(1.4</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(7.4</w:t>
            </w:r>
          </w:p>
        </w:tc>
        <w:tc>
          <w:tcPr>
            <w:tcW w:w="24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E5FFFF" w:val="clear"/>
            <w:vAlign w:val="bottom"/>
          </w:tcPr>
          <w:p>
            <w:pPr>
              <w:pStyle w:val="TableContents"/>
              <w:spacing w:before="0" w:after="283"/>
              <w:jc w:val="left"/>
              <w:rPr/>
            </w:pPr>
            <w:r>
              <w:rPr/>
              <w:t>      </w:t>
            </w:r>
          </w:p>
        </w:tc>
        <w:tc>
          <w:tcPr>
            <w:tcW w:w="4795" w:type="dxa"/>
            <w:tcBorders/>
            <w:shd w:fill="E5FFFF" w:val="clear"/>
            <w:vAlign w:val="bottom"/>
          </w:tcPr>
          <w:p>
            <w:pPr>
              <w:pStyle w:val="TableContents"/>
              <w:spacing w:before="0" w:after="283"/>
              <w:jc w:val="left"/>
              <w:rPr>
                <w:rFonts w:ascii="Arial" w:hAnsi="Arial"/>
              </w:rPr>
            </w:pPr>
            <w:r>
              <w:rPr>
                <w:rFonts w:ascii="Arial" w:hAnsi="Arial"/>
              </w:rPr>
              <w:t>Asset basis differences</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pPr>
            <w:r>
              <w:rPr/>
              <w:t>—</w:t>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(3.6</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(.6</w:t>
            </w:r>
          </w:p>
        </w:tc>
        <w:tc>
          <w:tcPr>
            <w:tcW w:w="24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Nondeductible amortization</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pPr>
            <w:r>
              <w:rPr/>
              <w:t>—</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.6</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1.1</w:t>
            </w:r>
          </w:p>
        </w:tc>
        <w:tc>
          <w:tcPr>
            <w:tcW w:w="240" w:type="dxa"/>
            <w:tcBorders/>
            <w:shd w:fill="FFFFFF" w:val="clear"/>
            <w:vAlign w:val="center"/>
          </w:tcPr>
          <w:p>
            <w:pPr>
              <w:pStyle w:val="TableContents"/>
              <w:spacing w:before="0" w:after="283"/>
              <w:rPr/>
            </w:pPr>
            <w:r>
              <w:rPr/>
              <w:t> </w:t>
            </w:r>
          </w:p>
        </w:tc>
      </w:tr>
      <w:tr>
        <w:trPr/>
        <w:tc>
          <w:tcPr>
            <w:tcW w:w="593" w:type="dxa"/>
            <w:tcBorders/>
            <w:shd w:fill="E5FFFF" w:val="clear"/>
            <w:vAlign w:val="bottom"/>
          </w:tcPr>
          <w:p>
            <w:pPr>
              <w:pStyle w:val="TableContents"/>
              <w:spacing w:before="0" w:after="283"/>
              <w:jc w:val="left"/>
              <w:rPr/>
            </w:pPr>
            <w:r>
              <w:rPr/>
              <w:t>      </w:t>
            </w:r>
          </w:p>
        </w:tc>
        <w:tc>
          <w:tcPr>
            <w:tcW w:w="4795" w:type="dxa"/>
            <w:tcBorders/>
            <w:shd w:fill="E5FFFF" w:val="clear"/>
            <w:vAlign w:val="bottom"/>
          </w:tcPr>
          <w:p>
            <w:pPr>
              <w:pStyle w:val="TableContents"/>
              <w:spacing w:before="0" w:after="283"/>
              <w:jc w:val="left"/>
              <w:rPr>
                <w:rFonts w:ascii="Arial" w:hAnsi="Arial"/>
              </w:rPr>
            </w:pPr>
            <w:r>
              <w:rPr>
                <w:rFonts w:ascii="Arial" w:hAnsi="Arial"/>
              </w:rPr>
              <w:t>State income taxes (1)</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1.7</w:t>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.7</w:t>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1.3</w:t>
            </w:r>
          </w:p>
        </w:tc>
        <w:tc>
          <w:tcPr>
            <w:tcW w:w="240" w:type="dxa"/>
            <w:tcBorders/>
            <w:shd w:fill="E5FFFF" w:val="clear"/>
            <w:vAlign w:val="center"/>
          </w:tcPr>
          <w:p>
            <w:pPr>
              <w:pStyle w:val="TableContents"/>
              <w:spacing w:before="0" w:after="283"/>
              <w:rPr/>
            </w:pPr>
            <w:r>
              <w:rPr/>
              <w:t> </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Tax benefits on export sales</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(1.9</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(3.3</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(4.6</w:t>
            </w:r>
          </w:p>
        </w:tc>
        <w:tc>
          <w:tcPr>
            <w:tcW w:w="24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E5FFFF" w:val="clear"/>
            <w:vAlign w:val="bottom"/>
          </w:tcPr>
          <w:p>
            <w:pPr>
              <w:pStyle w:val="TableContents"/>
              <w:spacing w:before="0" w:after="283"/>
              <w:jc w:val="left"/>
              <w:rPr/>
            </w:pPr>
            <w:r>
              <w:rPr/>
              <w:t>      </w:t>
            </w:r>
          </w:p>
        </w:tc>
        <w:tc>
          <w:tcPr>
            <w:tcW w:w="4795" w:type="dxa"/>
            <w:tcBorders/>
            <w:shd w:fill="E5FFFF" w:val="clear"/>
            <w:vAlign w:val="bottom"/>
          </w:tcPr>
          <w:p>
            <w:pPr>
              <w:pStyle w:val="TableContents"/>
              <w:spacing w:before="0" w:after="283"/>
              <w:jc w:val="left"/>
              <w:rPr>
                <w:rFonts w:ascii="Arial" w:hAnsi="Arial"/>
              </w:rPr>
            </w:pPr>
            <w:r>
              <w:rPr>
                <w:rFonts w:ascii="Arial" w:hAnsi="Arial"/>
              </w:rPr>
              <w:t>ESOP dividend tax benefit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(.7</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(.9</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(1.2</w:t>
            </w:r>
          </w:p>
        </w:tc>
        <w:tc>
          <w:tcPr>
            <w:tcW w:w="24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Tax credits</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(.7</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(.5</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(.6</w:t>
            </w:r>
          </w:p>
        </w:tc>
        <w:tc>
          <w:tcPr>
            <w:tcW w:w="24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E5FFFF" w:val="clear"/>
            <w:vAlign w:val="bottom"/>
          </w:tcPr>
          <w:p>
            <w:pPr>
              <w:pStyle w:val="TableContents"/>
              <w:spacing w:before="0" w:after="283"/>
              <w:jc w:val="left"/>
              <w:rPr/>
            </w:pPr>
            <w:r>
              <w:rPr/>
              <w:t>      </w:t>
            </w:r>
          </w:p>
        </w:tc>
        <w:tc>
          <w:tcPr>
            <w:tcW w:w="4795" w:type="dxa"/>
            <w:tcBorders/>
            <w:shd w:fill="E5FFFF" w:val="clear"/>
            <w:vAlign w:val="bottom"/>
          </w:tcPr>
          <w:p>
            <w:pPr>
              <w:pStyle w:val="TableContents"/>
              <w:spacing w:before="0" w:after="283"/>
              <w:jc w:val="left"/>
              <w:rPr>
                <w:rFonts w:ascii="Arial" w:hAnsi="Arial"/>
              </w:rPr>
            </w:pPr>
            <w:r>
              <w:rPr>
                <w:rFonts w:ascii="Arial" w:hAnsi="Arial"/>
              </w:rPr>
              <w:t>Equity income</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pPr>
            <w:r>
              <w:rPr/>
              <w:t>—</w:t>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(.5</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(.6</w:t>
            </w:r>
          </w:p>
        </w:tc>
        <w:tc>
          <w:tcPr>
            <w:tcW w:w="24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Repatriation expense related to American Jobs Creation Act of 2004</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pPr>
            <w:r>
              <w:rPr/>
              <w:t>—</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6.8</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pPr>
            <w:r>
              <w:rPr/>
              <w:t>—</w:t>
            </w:r>
          </w:p>
        </w:tc>
        <w:tc>
          <w:tcPr>
            <w:tcW w:w="240" w:type="dxa"/>
            <w:tcBorders/>
            <w:shd w:fill="FFFFFF" w:val="clear"/>
            <w:vAlign w:val="center"/>
          </w:tcPr>
          <w:p>
            <w:pPr>
              <w:pStyle w:val="TableContents"/>
              <w:spacing w:before="0" w:after="283"/>
              <w:rPr/>
            </w:pPr>
            <w:r>
              <w:rPr/>
              <w:t> </w:t>
            </w:r>
          </w:p>
        </w:tc>
      </w:tr>
      <w:tr>
        <w:trPr/>
        <w:tc>
          <w:tcPr>
            <w:tcW w:w="593" w:type="dxa"/>
            <w:tcBorders/>
            <w:shd w:fill="E5FFFF" w:val="clear"/>
            <w:vAlign w:val="bottom"/>
          </w:tcPr>
          <w:p>
            <w:pPr>
              <w:pStyle w:val="TableContents"/>
              <w:spacing w:before="0" w:after="283"/>
              <w:jc w:val="left"/>
              <w:rPr/>
            </w:pPr>
            <w:r>
              <w:rPr/>
              <w:t>      </w:t>
            </w:r>
          </w:p>
        </w:tc>
        <w:tc>
          <w:tcPr>
            <w:tcW w:w="4795" w:type="dxa"/>
            <w:tcBorders/>
            <w:shd w:fill="E5FFFF" w:val="clear"/>
            <w:vAlign w:val="bottom"/>
          </w:tcPr>
          <w:p>
            <w:pPr>
              <w:pStyle w:val="TableContents"/>
              <w:spacing w:before="0" w:after="283"/>
              <w:jc w:val="left"/>
              <w:rPr>
                <w:rFonts w:ascii="Arial" w:hAnsi="Arial"/>
              </w:rPr>
            </w:pPr>
            <w:r>
              <w:rPr>
                <w:rFonts w:ascii="Arial" w:hAnsi="Arial"/>
              </w:rPr>
              <w:t>Audit Settlements</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(2.9</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rFonts w:ascii="Arial" w:hAnsi="Arial"/>
              </w:rPr>
            </w:pPr>
            <w:r>
              <w:rPr>
                <w:rFonts w:ascii="Arial" w:hAnsi="Arial"/>
              </w:rPr>
              <w:t>(.6</w:t>
            </w:r>
          </w:p>
        </w:tc>
        <w:tc>
          <w:tcPr>
            <w:tcW w:w="235"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TableContents"/>
              <w:spacing w:before="0" w:after="283"/>
              <w:jc w:val="right"/>
              <w:rPr/>
            </w:pPr>
            <w:r>
              <w:rPr/>
              <w:t>—</w:t>
            </w:r>
          </w:p>
        </w:tc>
        <w:tc>
          <w:tcPr>
            <w:tcW w:w="240" w:type="dxa"/>
            <w:tcBorders/>
            <w:shd w:fill="E5FFFF" w:val="clear"/>
            <w:vAlign w:val="center"/>
          </w:tcPr>
          <w:p>
            <w:pPr>
              <w:pStyle w:val="TableContents"/>
              <w:spacing w:before="0" w:after="283"/>
              <w:rPr/>
            </w:pPr>
            <w:r>
              <w:rPr/>
              <w:t> </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jc w:val="left"/>
              <w:rPr>
                <w:rFonts w:ascii="Arial" w:hAnsi="Arial"/>
              </w:rPr>
            </w:pPr>
            <w:r>
              <w:rPr>
                <w:rFonts w:ascii="Arial" w:hAnsi="Arial"/>
              </w:rPr>
              <w:t>All other items—net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(.8</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(.4</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.8</w:t>
            </w:r>
          </w:p>
        </w:tc>
        <w:tc>
          <w:tcPr>
            <w:tcW w:w="240" w:type="dxa"/>
            <w:tcBorders/>
            <w:shd w:fill="FFFFFF" w:val="clear"/>
            <w:vAlign w:val="center"/>
          </w:tcPr>
          <w:p>
            <w:pPr>
              <w:pStyle w:val="TableContents"/>
              <w:spacing w:before="0" w:after="283"/>
              <w:rPr/>
            </w:pPr>
            <w:r>
              <w:rPr/>
              <w:t> </w:t>
            </w:r>
          </w:p>
        </w:tc>
      </w:tr>
      <w:tr>
        <w:trPr/>
        <w:tc>
          <w:tcPr>
            <w:tcW w:w="593" w:type="dxa"/>
            <w:tcBorders/>
            <w:shd w:fill="E5FFFF" w:val="clear"/>
            <w:vAlign w:val="center"/>
          </w:tcPr>
          <w:p>
            <w:pPr>
              <w:pStyle w:val="TableContents"/>
              <w:spacing w:before="0" w:after="283"/>
              <w:rPr/>
            </w:pPr>
            <w:r>
              <w:rPr/>
              <w:t> </w:t>
            </w:r>
          </w:p>
        </w:tc>
        <w:tc>
          <w:tcPr>
            <w:tcW w:w="479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HorizontalLine"/>
              <w:pBdr>
                <w:bottom w:val="single" w:sz="6" w:space="0" w:color="000000"/>
              </w:pBdr>
              <w:spacing w:before="0" w:after="283"/>
              <w:rPr/>
            </w:pPr>
            <w:r>
              <w:rPr/>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HorizontalLine"/>
              <w:pBdr>
                <w:bottom w:val="single" w:sz="6" w:space="0" w:color="000000"/>
              </w:pBdr>
              <w:spacing w:before="0" w:after="283"/>
              <w:rPr/>
            </w:pPr>
            <w:r>
              <w:rPr/>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HorizontalLine"/>
              <w:pBdr>
                <w:bottom w:val="single" w:sz="6" w:space="0" w:color="000000"/>
              </w:pBdr>
              <w:spacing w:before="0" w:after="283"/>
              <w:rPr/>
            </w:pPr>
            <w:r>
              <w:rPr/>
            </w:r>
          </w:p>
        </w:tc>
        <w:tc>
          <w:tcPr>
            <w:tcW w:w="240" w:type="dxa"/>
            <w:tcBorders/>
            <w:shd w:fill="E5FFFF" w:val="clear"/>
            <w:vAlign w:val="center"/>
          </w:tcPr>
          <w:p>
            <w:pPr>
              <w:pStyle w:val="TableContents"/>
              <w:spacing w:before="0" w:after="283"/>
              <w:rPr/>
            </w:pPr>
            <w:r>
              <w:rPr/>
              <w:t> </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25.7</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31.9</w:t>
            </w:r>
          </w:p>
        </w:tc>
        <w:tc>
          <w:tcPr>
            <w:tcW w:w="235"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bottom"/>
          </w:tcPr>
          <w:p>
            <w:pPr>
              <w:pStyle w:val="TableContents"/>
              <w:spacing w:before="0" w:after="283"/>
              <w:jc w:val="right"/>
              <w:rPr>
                <w:rFonts w:ascii="Arial" w:hAnsi="Arial"/>
              </w:rPr>
            </w:pPr>
            <w:r>
              <w:rPr>
                <w:rFonts w:ascii="Arial" w:hAnsi="Arial"/>
              </w:rPr>
              <w:t>23.2</w:t>
            </w:r>
          </w:p>
        </w:tc>
        <w:tc>
          <w:tcPr>
            <w:tcW w:w="24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3" w:type="dxa"/>
            <w:tcBorders/>
            <w:shd w:fill="E5FFFF" w:val="clear"/>
            <w:vAlign w:val="center"/>
          </w:tcPr>
          <w:p>
            <w:pPr>
              <w:pStyle w:val="TableContents"/>
              <w:spacing w:before="0" w:after="283"/>
              <w:rPr/>
            </w:pPr>
            <w:r>
              <w:rPr/>
              <w:t> </w:t>
            </w:r>
          </w:p>
        </w:tc>
        <w:tc>
          <w:tcPr>
            <w:tcW w:w="479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HorizontalLine"/>
              <w:pBdr>
                <w:bottom w:val="single" w:sz="18" w:space="0" w:color="000000"/>
              </w:pBdr>
              <w:spacing w:before="0" w:after="283"/>
              <w:rPr/>
            </w:pPr>
            <w:r>
              <w:rPr/>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HorizontalLine"/>
              <w:pBdr>
                <w:bottom w:val="single" w:sz="18" w:space="0" w:color="000000"/>
              </w:pBdr>
              <w:spacing w:before="0" w:after="283"/>
              <w:rPr/>
            </w:pPr>
            <w:r>
              <w:rPr/>
            </w:r>
          </w:p>
        </w:tc>
        <w:tc>
          <w:tcPr>
            <w:tcW w:w="235"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10" w:type="dxa"/>
            <w:tcBorders/>
            <w:shd w:fill="E5FFFF" w:val="clear"/>
            <w:vAlign w:val="center"/>
          </w:tcPr>
          <w:p>
            <w:pPr>
              <w:pStyle w:val="TableContents"/>
              <w:spacing w:before="0" w:after="283"/>
              <w:rPr/>
            </w:pPr>
            <w:r>
              <w:rPr/>
              <w:t> </w:t>
            </w:r>
          </w:p>
        </w:tc>
        <w:tc>
          <w:tcPr>
            <w:tcW w:w="1017" w:type="dxa"/>
            <w:tcBorders/>
            <w:shd w:fill="E5FFFF" w:val="clear"/>
            <w:vAlign w:val="bottom"/>
          </w:tcPr>
          <w:p>
            <w:pPr>
              <w:pStyle w:val="HorizontalLine"/>
              <w:pBdr>
                <w:bottom w:val="single" w:sz="18" w:space="0" w:color="000000"/>
              </w:pBdr>
              <w:spacing w:before="0" w:after="283"/>
              <w:rPr/>
            </w:pPr>
            <w:r>
              <w:rPr/>
            </w:r>
          </w:p>
        </w:tc>
        <w:tc>
          <w:tcPr>
            <w:tcW w:w="240" w:type="dxa"/>
            <w:tcBorders/>
            <w:shd w:fill="E5FFFF" w:val="clear"/>
            <w:vAlign w:val="center"/>
          </w:tcPr>
          <w:p>
            <w:pPr>
              <w:pStyle w:val="TableContents"/>
              <w:spacing w:before="0" w:after="283"/>
              <w:rPr/>
            </w:pPr>
            <w:r>
              <w:rPr/>
              <w:t> </w:t>
            </w:r>
          </w:p>
        </w:tc>
      </w:tr>
      <w:tr>
        <w:trPr/>
        <w:tc>
          <w:tcPr>
            <w:tcW w:w="593" w:type="dxa"/>
            <w:tcBorders/>
            <w:shd w:fill="FFFFFF" w:val="clear"/>
            <w:vAlign w:val="bottom"/>
          </w:tcPr>
          <w:p>
            <w:pPr>
              <w:pStyle w:val="TableContents"/>
              <w:spacing w:before="0" w:after="283"/>
              <w:jc w:val="left"/>
              <w:rPr/>
            </w:pPr>
            <w:r>
              <w:rPr/>
              <w:t>      </w:t>
            </w:r>
          </w:p>
        </w:tc>
        <w:tc>
          <w:tcPr>
            <w:tcW w:w="4795"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01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5000" w:type="pct"/>
        <w:jc w:val="left"/>
        <w:tblInd w:w="0" w:type="dxa"/>
        <w:tblCellMar>
          <w:top w:w="0" w:type="dxa"/>
          <w:left w:w="0" w:type="dxa"/>
          <w:bottom w:w="0" w:type="dxa"/>
          <w:right w:w="0" w:type="dxa"/>
        </w:tblCellMar>
      </w:tblPr>
      <w:tblGrid>
        <w:gridCol w:w="692"/>
        <w:gridCol w:w="136"/>
        <w:gridCol w:w="9377"/>
      </w:tblGrid>
      <w:tr>
        <w:trPr/>
        <w:tc>
          <w:tcPr>
            <w:tcW w:w="692" w:type="dxa"/>
            <w:tcBorders/>
            <w:shd w:fill="auto" w:val="clear"/>
          </w:tcPr>
          <w:p>
            <w:pPr>
              <w:pStyle w:val="TableContents"/>
              <w:spacing w:before="0" w:after="283"/>
              <w:jc w:val="left"/>
              <w:rPr>
                <w:rFonts w:ascii="Arial" w:hAnsi="Arial"/>
              </w:rPr>
            </w:pPr>
            <w:r>
              <w:rPr>
                <w:rFonts w:ascii="Arial" w:hAnsi="Arial"/>
              </w:rPr>
              <w:t>(1)</w:t>
            </w:r>
          </w:p>
        </w:tc>
        <w:tc>
          <w:tcPr>
            <w:tcW w:w="136" w:type="dxa"/>
            <w:tcBorders/>
            <w:shd w:fill="auto" w:val="clear"/>
          </w:tcPr>
          <w:p>
            <w:pPr>
              <w:pStyle w:val="TableContents"/>
              <w:spacing w:before="0" w:after="283"/>
              <w:jc w:val="left"/>
              <w:rPr/>
            </w:pPr>
            <w:r>
              <w:rPr/>
              <w:t> </w:t>
            </w:r>
          </w:p>
        </w:tc>
        <w:tc>
          <w:tcPr>
            <w:tcW w:w="9377" w:type="dxa"/>
            <w:tcBorders/>
            <w:shd w:fill="auto" w:val="clear"/>
          </w:tcPr>
          <w:p>
            <w:pPr>
              <w:pStyle w:val="TableContents"/>
              <w:spacing w:before="0" w:after="283"/>
              <w:jc w:val="left"/>
              <w:rPr>
                <w:rFonts w:ascii="Arial" w:hAnsi="Arial"/>
              </w:rPr>
            </w:pPr>
            <w:r>
              <w:rPr>
                <w:rFonts w:ascii="Arial" w:hAnsi="Arial"/>
              </w:rPr>
              <w:t>Net of changes in valuation allowance.</w:t>
            </w:r>
          </w:p>
        </w:tc>
      </w:tr>
    </w:tbl>
    <w:p>
      <w:pPr>
        <w:pStyle w:val="TextBody"/>
        <w:jc w:val="center"/>
        <w:rPr>
          <w:rFonts w:ascii="Arial" w:hAnsi="Arial"/>
        </w:rPr>
      </w:pPr>
      <w:r>
        <w:rPr>
          <w:rFonts w:ascii="Arial" w:hAnsi="Arial"/>
        </w:rPr>
        <w:t>60</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Deferred tax assets (liabilities)</w:t>
      </w:r>
    </w:p>
    <w:p>
      <w:pPr>
        <w:pStyle w:val="TextBody"/>
        <w:jc w:val="left"/>
        <w:rPr/>
      </w:pPr>
      <w:r>
        <w:rPr/>
        <w:t>      </w:t>
      </w:r>
      <w:r>
        <w:rPr>
          <w:rFonts w:ascii="Arial" w:hAnsi="Arial"/>
        </w:rPr>
        <w:t>Deferred income taxes represent the future tax effects of transactions which are reported in different periods for tax and financial reporting purposes. The tax effects of temporary differences and tax carryforwards which give rise to future income tax benefits and payables are as follows:</w:t>
      </w:r>
    </w:p>
    <w:tbl>
      <w:tblPr>
        <w:tblW w:w="5000" w:type="pct"/>
        <w:jc w:val="left"/>
        <w:tblInd w:w="0" w:type="dxa"/>
        <w:tblCellMar>
          <w:top w:w="0" w:type="dxa"/>
          <w:left w:w="0" w:type="dxa"/>
          <w:bottom w:w="0" w:type="dxa"/>
          <w:right w:w="0" w:type="dxa"/>
        </w:tblCellMar>
      </w:tblPr>
      <w:tblGrid>
        <w:gridCol w:w="359"/>
        <w:gridCol w:w="7625"/>
        <w:gridCol w:w="240"/>
        <w:gridCol w:w="155"/>
        <w:gridCol w:w="620"/>
        <w:gridCol w:w="95"/>
        <w:gridCol w:w="240"/>
        <w:gridCol w:w="155"/>
        <w:gridCol w:w="620"/>
        <w:gridCol w:w="96"/>
      </w:tblGrid>
      <w:tr>
        <w:trPr/>
        <w:tc>
          <w:tcPr>
            <w:tcW w:w="359" w:type="dxa"/>
            <w:tcBorders/>
            <w:shd w:fill="FFFFFF" w:val="clear"/>
            <w:vAlign w:val="center"/>
          </w:tcPr>
          <w:p>
            <w:pPr>
              <w:pStyle w:val="TableContents"/>
              <w:spacing w:before="0" w:after="283"/>
              <w:rPr/>
            </w:pPr>
            <w:r>
              <w:rPr/>
              <w:t> </w:t>
            </w:r>
          </w:p>
        </w:tc>
        <w:tc>
          <w:tcPr>
            <w:tcW w:w="762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981"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359" w:type="dxa"/>
            <w:tcBorders/>
            <w:shd w:fill="FFFFFF" w:val="clear"/>
            <w:vAlign w:val="center"/>
          </w:tcPr>
          <w:p>
            <w:pPr>
              <w:pStyle w:val="TableContents"/>
              <w:spacing w:before="0" w:after="283"/>
              <w:rPr/>
            </w:pPr>
            <w:r>
              <w:rPr/>
              <w:t> </w:t>
            </w:r>
          </w:p>
        </w:tc>
        <w:tc>
          <w:tcPr>
            <w:tcW w:w="762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87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71"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359" w:type="dxa"/>
            <w:tcBorders/>
            <w:shd w:fill="E5FFFF" w:val="clear"/>
            <w:vAlign w:val="bottom"/>
          </w:tcPr>
          <w:p>
            <w:pPr>
              <w:pStyle w:val="TableContents"/>
              <w:spacing w:before="0" w:after="283"/>
              <w:jc w:val="left"/>
              <w:rPr/>
            </w:pPr>
            <w:r>
              <w:rPr/>
              <w:t>      </w:t>
            </w:r>
          </w:p>
        </w:tc>
        <w:tc>
          <w:tcPr>
            <w:tcW w:w="7625" w:type="dxa"/>
            <w:tcBorders/>
            <w:shd w:fill="E5FFFF" w:val="clear"/>
            <w:vAlign w:val="bottom"/>
          </w:tcPr>
          <w:p>
            <w:pPr>
              <w:pStyle w:val="TableContents"/>
              <w:spacing w:before="0" w:after="283"/>
              <w:jc w:val="left"/>
              <w:rPr>
                <w:rFonts w:ascii="Arial" w:hAnsi="Arial"/>
              </w:rPr>
            </w:pPr>
            <w:r>
              <w:rPr>
                <w:rFonts w:ascii="Arial" w:hAnsi="Arial"/>
              </w:rPr>
              <w:t>Property, plant and equipment basis differences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(608</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(582</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FFFFFF" w:val="clear"/>
            <w:vAlign w:val="bottom"/>
          </w:tcPr>
          <w:p>
            <w:pPr>
              <w:pStyle w:val="TableContents"/>
              <w:spacing w:before="0" w:after="283"/>
              <w:jc w:val="left"/>
              <w:rPr/>
            </w:pPr>
            <w:r>
              <w:rPr/>
              <w:t>      </w:t>
            </w:r>
          </w:p>
        </w:tc>
        <w:tc>
          <w:tcPr>
            <w:tcW w:w="7625" w:type="dxa"/>
            <w:tcBorders/>
            <w:shd w:fill="FFFFFF" w:val="clear"/>
            <w:vAlign w:val="bottom"/>
          </w:tcPr>
          <w:p>
            <w:pPr>
              <w:pStyle w:val="TableContents"/>
              <w:spacing w:before="0" w:after="283"/>
              <w:jc w:val="left"/>
              <w:rPr>
                <w:rFonts w:ascii="Arial" w:hAnsi="Arial"/>
              </w:rPr>
            </w:pPr>
            <w:r>
              <w:rPr>
                <w:rFonts w:ascii="Arial" w:hAnsi="Arial"/>
              </w:rPr>
              <w:t>Postretirement benefits other than pensions and postemployment benefits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747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771</w:t>
            </w:r>
          </w:p>
        </w:tc>
        <w:tc>
          <w:tcPr>
            <w:tcW w:w="9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7625" w:type="dxa"/>
            <w:tcBorders/>
            <w:shd w:fill="E5FFFF" w:val="clear"/>
            <w:vAlign w:val="bottom"/>
          </w:tcPr>
          <w:p>
            <w:pPr>
              <w:pStyle w:val="TableContents"/>
              <w:spacing w:before="0" w:after="283"/>
              <w:jc w:val="left"/>
              <w:rPr>
                <w:rFonts w:ascii="Arial" w:hAnsi="Arial"/>
              </w:rPr>
            </w:pPr>
            <w:r>
              <w:rPr>
                <w:rFonts w:ascii="Arial" w:hAnsi="Arial"/>
              </w:rPr>
              <w:t>Investment and other asset basis differences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(396</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(31</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FFFFFF" w:val="clear"/>
            <w:vAlign w:val="bottom"/>
          </w:tcPr>
          <w:p>
            <w:pPr>
              <w:pStyle w:val="TableContents"/>
              <w:spacing w:before="0" w:after="283"/>
              <w:jc w:val="left"/>
              <w:rPr/>
            </w:pPr>
            <w:r>
              <w:rPr/>
              <w:t>      </w:t>
            </w:r>
          </w:p>
        </w:tc>
        <w:tc>
          <w:tcPr>
            <w:tcW w:w="7625" w:type="dxa"/>
            <w:tcBorders/>
            <w:shd w:fill="FFFFFF" w:val="clear"/>
            <w:vAlign w:val="bottom"/>
          </w:tcPr>
          <w:p>
            <w:pPr>
              <w:pStyle w:val="TableContents"/>
              <w:spacing w:before="0" w:after="283"/>
              <w:jc w:val="left"/>
              <w:rPr>
                <w:rFonts w:ascii="Arial" w:hAnsi="Arial"/>
              </w:rPr>
            </w:pPr>
            <w:r>
              <w:rPr>
                <w:rFonts w:ascii="Arial" w:hAnsi="Arial"/>
              </w:rPr>
              <w:t>Other accrued items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1,567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642</w:t>
            </w:r>
          </w:p>
        </w:tc>
        <w:tc>
          <w:tcPr>
            <w:tcW w:w="9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7625" w:type="dxa"/>
            <w:tcBorders/>
            <w:shd w:fill="E5FFFF" w:val="clear"/>
            <w:vAlign w:val="bottom"/>
          </w:tcPr>
          <w:p>
            <w:pPr>
              <w:pStyle w:val="TableContents"/>
              <w:spacing w:before="0" w:after="283"/>
              <w:jc w:val="left"/>
              <w:rPr>
                <w:rFonts w:ascii="Arial" w:hAnsi="Arial"/>
              </w:rPr>
            </w:pPr>
            <w:r>
              <w:rPr>
                <w:rFonts w:ascii="Arial" w:hAnsi="Arial"/>
              </w:rPr>
              <w:t>Net operating and capital losses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786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841</w:t>
            </w:r>
          </w:p>
        </w:tc>
        <w:tc>
          <w:tcPr>
            <w:tcW w:w="9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7625" w:type="dxa"/>
            <w:tcBorders/>
            <w:shd w:fill="FFFFFF" w:val="clear"/>
            <w:vAlign w:val="bottom"/>
          </w:tcPr>
          <w:p>
            <w:pPr>
              <w:pStyle w:val="TableContents"/>
              <w:spacing w:before="0" w:after="283"/>
              <w:jc w:val="left"/>
              <w:rPr>
                <w:rFonts w:ascii="Arial" w:hAnsi="Arial"/>
              </w:rPr>
            </w:pPr>
            <w:r>
              <w:rPr>
                <w:rFonts w:ascii="Arial" w:hAnsi="Arial"/>
              </w:rPr>
              <w:t>Tax credits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315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408</w:t>
            </w:r>
          </w:p>
        </w:tc>
        <w:tc>
          <w:tcPr>
            <w:tcW w:w="9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7625" w:type="dxa"/>
            <w:tcBorders/>
            <w:shd w:fill="E5FFFF" w:val="clear"/>
            <w:vAlign w:val="bottom"/>
          </w:tcPr>
          <w:p>
            <w:pPr>
              <w:pStyle w:val="TableContents"/>
              <w:spacing w:before="0" w:after="283"/>
              <w:jc w:val="left"/>
              <w:rPr>
                <w:rFonts w:ascii="Arial" w:hAnsi="Arial"/>
              </w:rPr>
            </w:pPr>
            <w:r>
              <w:rPr>
                <w:rFonts w:ascii="Arial" w:hAnsi="Arial"/>
              </w:rPr>
              <w:t>Undistributed earnings of subsidiaries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(40</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(40</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FFFFFF" w:val="clear"/>
            <w:vAlign w:val="bottom"/>
          </w:tcPr>
          <w:p>
            <w:pPr>
              <w:pStyle w:val="TableContents"/>
              <w:spacing w:before="0" w:after="283"/>
              <w:jc w:val="left"/>
              <w:rPr/>
            </w:pPr>
            <w:r>
              <w:rPr/>
              <w:t>      </w:t>
            </w:r>
          </w:p>
        </w:tc>
        <w:tc>
          <w:tcPr>
            <w:tcW w:w="7625" w:type="dxa"/>
            <w:tcBorders/>
            <w:shd w:fill="FFFFFF" w:val="clear"/>
            <w:vAlign w:val="bottom"/>
          </w:tcPr>
          <w:p>
            <w:pPr>
              <w:pStyle w:val="TableContents"/>
              <w:spacing w:before="0" w:after="283"/>
              <w:jc w:val="left"/>
              <w:rPr>
                <w:rFonts w:ascii="Arial" w:hAnsi="Arial"/>
              </w:rPr>
            </w:pPr>
            <w:r>
              <w:rPr>
                <w:rFonts w:ascii="Arial" w:hAnsi="Arial"/>
              </w:rPr>
              <w:t>All other items—net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8</w:t>
            </w:r>
          </w:p>
        </w:tc>
        <w:tc>
          <w:tcPr>
            <w:tcW w:w="96" w:type="dxa"/>
            <w:tcBorders/>
            <w:shd w:fill="FFFFFF" w:val="clear"/>
            <w:vAlign w:val="center"/>
          </w:tcPr>
          <w:p>
            <w:pPr>
              <w:pStyle w:val="TableContents"/>
              <w:spacing w:before="0" w:after="283"/>
              <w:rPr/>
            </w:pPr>
            <w:r>
              <w:rPr/>
              <w:t> </w:t>
            </w:r>
          </w:p>
        </w:tc>
      </w:tr>
      <w:tr>
        <w:trPr/>
        <w:tc>
          <w:tcPr>
            <w:tcW w:w="359" w:type="dxa"/>
            <w:tcBorders/>
            <w:shd w:fill="E5FFFF" w:val="clear"/>
            <w:vAlign w:val="center"/>
          </w:tcPr>
          <w:p>
            <w:pPr>
              <w:pStyle w:val="TableContents"/>
              <w:spacing w:before="0" w:after="283"/>
              <w:rPr/>
            </w:pPr>
            <w:r>
              <w:rPr/>
              <w:t> </w:t>
            </w:r>
          </w:p>
        </w:tc>
        <w:tc>
          <w:tcPr>
            <w:tcW w:w="762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7625"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2,414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2,017</w:t>
            </w:r>
          </w:p>
        </w:tc>
        <w:tc>
          <w:tcPr>
            <w:tcW w:w="9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7625" w:type="dxa"/>
            <w:tcBorders/>
            <w:shd w:fill="E5FFFF" w:val="clear"/>
            <w:vAlign w:val="bottom"/>
          </w:tcPr>
          <w:p>
            <w:pPr>
              <w:pStyle w:val="TableContents"/>
              <w:spacing w:before="0" w:after="283"/>
              <w:jc w:val="left"/>
              <w:rPr>
                <w:rFonts w:ascii="Arial" w:hAnsi="Arial"/>
              </w:rPr>
            </w:pPr>
            <w:r>
              <w:rPr>
                <w:rFonts w:ascii="Arial" w:hAnsi="Arial"/>
              </w:rPr>
              <w:t>Valuation allowance</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(516</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(477</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59" w:type="dxa"/>
            <w:tcBorders/>
            <w:shd w:fill="FFFFFF" w:val="clear"/>
            <w:vAlign w:val="center"/>
          </w:tcPr>
          <w:p>
            <w:pPr>
              <w:pStyle w:val="TableContents"/>
              <w:spacing w:before="0" w:after="283"/>
              <w:rPr/>
            </w:pPr>
            <w:r>
              <w:rPr/>
              <w:t> </w:t>
            </w:r>
          </w:p>
        </w:tc>
        <w:tc>
          <w:tcPr>
            <w:tcW w:w="762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359" w:type="dxa"/>
            <w:tcBorders/>
            <w:shd w:fill="E5FFFF" w:val="clear"/>
            <w:vAlign w:val="bottom"/>
          </w:tcPr>
          <w:p>
            <w:pPr>
              <w:pStyle w:val="TableContents"/>
              <w:spacing w:before="0" w:after="283"/>
              <w:jc w:val="left"/>
              <w:rPr/>
            </w:pPr>
            <w:r>
              <w:rPr/>
              <w:t>      </w:t>
            </w:r>
          </w:p>
        </w:tc>
        <w:tc>
          <w:tcPr>
            <w:tcW w:w="7625"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1,898</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1,540</w:t>
            </w:r>
          </w:p>
        </w:tc>
        <w:tc>
          <w:tcPr>
            <w:tcW w:w="96" w:type="dxa"/>
            <w:tcBorders/>
            <w:shd w:fill="E5FFFF" w:val="clear"/>
            <w:vAlign w:val="center"/>
          </w:tcPr>
          <w:p>
            <w:pPr>
              <w:pStyle w:val="TableContents"/>
              <w:spacing w:before="0" w:after="283"/>
              <w:rPr/>
            </w:pPr>
            <w:r>
              <w:rPr/>
              <w:t> </w:t>
            </w:r>
          </w:p>
        </w:tc>
      </w:tr>
      <w:tr>
        <w:trPr/>
        <w:tc>
          <w:tcPr>
            <w:tcW w:w="359" w:type="dxa"/>
            <w:tcBorders/>
            <w:shd w:fill="FFFFFF" w:val="clear"/>
            <w:vAlign w:val="center"/>
          </w:tcPr>
          <w:p>
            <w:pPr>
              <w:pStyle w:val="TableContents"/>
              <w:spacing w:before="0" w:after="283"/>
              <w:rPr/>
            </w:pPr>
            <w:r>
              <w:rPr/>
              <w:t> </w:t>
            </w:r>
          </w:p>
        </w:tc>
        <w:tc>
          <w:tcPr>
            <w:tcW w:w="762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359" w:type="dxa"/>
            <w:tcBorders/>
            <w:shd w:fill="FFFFFF" w:val="clear"/>
            <w:vAlign w:val="bottom"/>
          </w:tcPr>
          <w:p>
            <w:pPr>
              <w:pStyle w:val="TableContents"/>
              <w:spacing w:before="0" w:after="283"/>
              <w:jc w:val="left"/>
              <w:rPr/>
            </w:pPr>
            <w:r>
              <w:rPr/>
              <w:t>      </w:t>
            </w:r>
          </w:p>
        </w:tc>
        <w:tc>
          <w:tcPr>
            <w:tcW w:w="7625"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Company's effective tax rate decreased by 6.2 percentage points in 2006 compared with 2005, due principally to the absence of the 2005 one-time tax charge of $155 million for the repatriation of foreign earnings under the American Jobs Creation Act of 2004 (the “Act”), offset, in part, by $64 million of tax benefits associated with the 2005 sale of our Industrial Wax business which had a higher tax basis than book basis. In addition, in 2006, there were benefits recognized from the favorable resolution of certain tax audits offset by a tax charge for an up-front licensing of certain in-process research and development.</w:t>
      </w:r>
    </w:p>
    <w:p>
      <w:pPr>
        <w:pStyle w:val="TextBody"/>
        <w:jc w:val="left"/>
        <w:rPr/>
      </w:pPr>
      <w:r>
        <w:rPr/>
        <w:t>      </w:t>
      </w:r>
      <w:r>
        <w:rPr>
          <w:rFonts w:ascii="Arial" w:hAnsi="Arial"/>
        </w:rPr>
        <w:t>The amount of U.S. federal tax net operating losses available for carryforward at December 31, 2006 was $35 million that were generated by certain subsidiaries prior to their acquisition and have expiration dates through 2024. The use of pre-acquisition operating losses is subject to limitations imposed by the Internal Revenue Code. We do not anticipate that these limitations will affect utilization of the carryforwards prior to their expiration. Various subsidiaries have state tax net operating loss carryforwards of $3.2 billion at December 31, 2006 with varying expiration dates through 2025. We also have foreign net operating and capital losses of $2.4 billion which are available to reduce future income tax payments in several countries, subject to varying expiration rules. Included in these losses is $32 million of loss carryforwards related to businesses purchased by Honeywell in 2006.</w:t>
      </w:r>
    </w:p>
    <w:p>
      <w:pPr>
        <w:pStyle w:val="TextBody"/>
        <w:jc w:val="left"/>
        <w:rPr/>
      </w:pPr>
      <w:r>
        <w:rPr/>
        <w:t>      </w:t>
      </w:r>
      <w:r>
        <w:rPr>
          <w:rFonts w:ascii="Arial" w:hAnsi="Arial"/>
        </w:rPr>
        <w:t>We have U.S. tax credit carryforwards of $94 million at December 31, 2006, including carryforwards of $41 million with various expiration dates through 2026 and tax credits of $53 million which are not subject to expiration. In addition, we have $221 million of foreign tax credits available for carryback or carryforward on the U.S. federal tax return at December 31, 2006 with varying expiration dates through 2015.</w:t>
      </w:r>
    </w:p>
    <w:p>
      <w:pPr>
        <w:pStyle w:val="TextBody"/>
        <w:jc w:val="left"/>
        <w:rPr/>
      </w:pPr>
      <w:r>
        <w:rPr/>
        <w:t>      </w:t>
      </w:r>
      <w:r>
        <w:rPr>
          <w:rFonts w:ascii="Arial" w:hAnsi="Arial"/>
        </w:rPr>
        <w:t>The valuation allowance against deferred tax assets was increased by $39, $139 and $39 million in 2006, 2005 and 2004, respectively. The 2006 increase in the valuation allowance was primarily due to an increase in foreign net operating losses attributable to acquired businesses not expected to be realized and a partial valuation allowance against a deferred tax asset established in connection with the adoption of SFAS No. 158 partially offset by a decrease in state tax net operating loss carryforwards (net of federal impact). The 2005 increase in the valuation allowance was primarily due to an increase in foreign net operating and capital losses and net deferred tax assets attributable to</w:t>
      </w:r>
    </w:p>
    <w:p>
      <w:pPr>
        <w:pStyle w:val="TextBody"/>
        <w:jc w:val="center"/>
        <w:rPr>
          <w:rFonts w:ascii="Arial" w:hAnsi="Arial"/>
        </w:rPr>
      </w:pPr>
      <w:r>
        <w:rPr>
          <w:rFonts w:ascii="Arial" w:hAnsi="Arial"/>
        </w:rPr>
        <w:t>61</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acquired businesses not expected to be realized, that was partially offset by a decrease in state tax net operating loss carryforwards (net of federal impact) and the disallowance of foreign net operating losses for which a valuation allowance had previously been provided. The 2004 increase in the valuation allowance was primarily due to an increase in state tax net operating loss carryforwards (net of federal impact) and foreign net operating and capital losses that are not expected to be realized, partially offset by a decrease for foreign tax credits which we now believe will be utilized due to the extension of the foreign tax credit carryforward period from five to 10 years under the Act.</w:t>
      </w:r>
    </w:p>
    <w:p>
      <w:pPr>
        <w:pStyle w:val="TextBody"/>
        <w:jc w:val="left"/>
        <w:rPr/>
      </w:pPr>
      <w:r>
        <w:rPr/>
        <w:t>      </w:t>
      </w:r>
      <w:r>
        <w:rPr>
          <w:rFonts w:ascii="Arial" w:hAnsi="Arial"/>
        </w:rPr>
        <w:t>Federal income taxes have not been provided on undistributed earnings of the majority of our international subsidiaries as it is our intention to reinvest these earnings into the respective businesses. At December 31, 2006 Honeywell has not provided for U.S. federal income and foreign withholding taxes on approximately $2.9 billion of such earnings of our non-U.S. operations. It is not practicable to estimate the amount of tax that might be payable if some or all of such earnings were to be remitted, and foreign tax credits would be available to reduce or eliminate the resulting U.S. income tax liability.</w:t>
      </w:r>
    </w:p>
    <w:p>
      <w:pPr>
        <w:pStyle w:val="TextBody"/>
        <w:jc w:val="left"/>
        <w:rPr/>
      </w:pPr>
      <w:r>
        <w:rPr/>
        <w:t>      </w:t>
      </w:r>
      <w:r>
        <w:rPr>
          <w:rFonts w:ascii="Arial" w:hAnsi="Arial"/>
        </w:rPr>
        <w:t>In 2005, the Company was effected by actions taken relating to certain provisions in the Act which was signed into law in October 2004 and provides for a variety of changes in the tax law including incentives to repatriate undistributed earnings of foreign subsidiaries, a phased elimination of the extra-territorial income exclusion, and a domestic manufacturing benefit. More specifically, the Act created a temporary incentive for U.S. corporations to repatriate accumulated income earned outside the U.S. by providing an 85 percent dividends received deduction for certain dividends from controlled foreign corporations. In 2005, we repatriated approximately $2.7 billion of foreign earnings, of which $2.2 billion received the benefit under the Act, with an income tax provision of $155 million. No additional amounts were repatriated under the Act in 2006.</w:t>
      </w:r>
    </w:p>
    <w:p>
      <w:pPr>
        <w:pStyle w:val="TextBody"/>
        <w:jc w:val="left"/>
        <w:rPr>
          <w:rFonts w:ascii="Arial" w:hAnsi="Arial"/>
          <w:b/>
        </w:rPr>
      </w:pPr>
      <w:r>
        <w:rPr>
          <w:rFonts w:ascii="Arial" w:hAnsi="Arial"/>
          <w:b/>
        </w:rPr>
        <w:t>Note 7—Earnings (Loss) Per Share</w:t>
      </w:r>
    </w:p>
    <w:p>
      <w:pPr>
        <w:pStyle w:val="TextBody"/>
        <w:jc w:val="left"/>
        <w:rPr/>
      </w:pPr>
      <w:r>
        <w:rPr/>
        <w:t>      </w:t>
      </w:r>
      <w:r>
        <w:rPr>
          <w:rFonts w:ascii="Arial" w:hAnsi="Arial"/>
        </w:rPr>
        <w:t>The following table sets forth the computations of basic and diluted earnings (loss) per share:</w:t>
      </w:r>
    </w:p>
    <w:tbl>
      <w:tblPr>
        <w:tblW w:w="5000" w:type="pct"/>
        <w:jc w:val="left"/>
        <w:tblInd w:w="0" w:type="dxa"/>
        <w:tblCellMar>
          <w:top w:w="0" w:type="dxa"/>
          <w:left w:w="0" w:type="dxa"/>
          <w:bottom w:w="0" w:type="dxa"/>
          <w:right w:w="0" w:type="dxa"/>
        </w:tblCellMar>
      </w:tblPr>
      <w:tblGrid>
        <w:gridCol w:w="2369"/>
        <w:gridCol w:w="240"/>
        <w:gridCol w:w="95"/>
        <w:gridCol w:w="785"/>
        <w:gridCol w:w="60"/>
        <w:gridCol w:w="240"/>
        <w:gridCol w:w="120"/>
        <w:gridCol w:w="993"/>
        <w:gridCol w:w="77"/>
        <w:gridCol w:w="240"/>
        <w:gridCol w:w="95"/>
        <w:gridCol w:w="785"/>
        <w:gridCol w:w="65"/>
        <w:gridCol w:w="240"/>
        <w:gridCol w:w="119"/>
        <w:gridCol w:w="988"/>
        <w:gridCol w:w="83"/>
        <w:gridCol w:w="240"/>
        <w:gridCol w:w="95"/>
        <w:gridCol w:w="784"/>
        <w:gridCol w:w="60"/>
        <w:gridCol w:w="240"/>
        <w:gridCol w:w="120"/>
        <w:gridCol w:w="993"/>
        <w:gridCol w:w="79"/>
      </w:tblGrid>
      <w:tr>
        <w:trPr/>
        <w:tc>
          <w:tcPr>
            <w:tcW w:w="236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370" w:type="dxa"/>
            <w:gridSpan w:val="7"/>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375" w:type="dxa"/>
            <w:gridSpan w:val="7"/>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371" w:type="dxa"/>
            <w:gridSpan w:val="7"/>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236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40" w:type="dxa"/>
            <w:gridSpan w:val="3"/>
            <w:tcBorders/>
            <w:shd w:fill="FFFFFF" w:val="clear"/>
            <w:vAlign w:val="bottom"/>
          </w:tcPr>
          <w:p>
            <w:pPr>
              <w:pStyle w:val="TableContents"/>
              <w:spacing w:before="0" w:after="0"/>
              <w:jc w:val="center"/>
              <w:rPr>
                <w:rFonts w:ascii="Arial" w:hAnsi="Arial"/>
                <w:b/>
              </w:rPr>
            </w:pPr>
            <w:r>
              <w:rPr>
                <w:rFonts w:ascii="Arial" w:hAnsi="Arial"/>
                <w:b/>
              </w:rPr>
              <w:t>Basic</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190" w:type="dxa"/>
            <w:gridSpan w:val="3"/>
            <w:tcBorders/>
            <w:shd w:fill="FFFFFF" w:val="clear"/>
            <w:vAlign w:val="bottom"/>
          </w:tcPr>
          <w:p>
            <w:pPr>
              <w:pStyle w:val="TableContents"/>
              <w:spacing w:before="0" w:after="0"/>
              <w:jc w:val="center"/>
              <w:rPr>
                <w:rFonts w:ascii="Arial" w:hAnsi="Arial"/>
                <w:b/>
              </w:rPr>
            </w:pPr>
            <w:r>
              <w:rPr>
                <w:rFonts w:ascii="Arial" w:hAnsi="Arial"/>
                <w:b/>
              </w:rPr>
              <w:t>Assuming</w:t>
              <w:br/>
              <w:t>Dilution</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45" w:type="dxa"/>
            <w:gridSpan w:val="3"/>
            <w:tcBorders/>
            <w:shd w:fill="FFFFFF" w:val="clear"/>
            <w:vAlign w:val="bottom"/>
          </w:tcPr>
          <w:p>
            <w:pPr>
              <w:pStyle w:val="TableContents"/>
              <w:spacing w:before="0" w:after="0"/>
              <w:jc w:val="center"/>
              <w:rPr>
                <w:rFonts w:ascii="Arial" w:hAnsi="Arial"/>
                <w:b/>
              </w:rPr>
            </w:pPr>
            <w:r>
              <w:rPr>
                <w:rFonts w:ascii="Arial" w:hAnsi="Arial"/>
                <w:b/>
              </w:rPr>
              <w:t>Basic</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190" w:type="dxa"/>
            <w:gridSpan w:val="3"/>
            <w:tcBorders/>
            <w:shd w:fill="FFFFFF" w:val="clear"/>
            <w:vAlign w:val="bottom"/>
          </w:tcPr>
          <w:p>
            <w:pPr>
              <w:pStyle w:val="TableContents"/>
              <w:spacing w:before="0" w:after="0"/>
              <w:jc w:val="center"/>
              <w:rPr>
                <w:rFonts w:ascii="Arial" w:hAnsi="Arial"/>
                <w:b/>
              </w:rPr>
            </w:pPr>
            <w:r>
              <w:rPr>
                <w:rFonts w:ascii="Arial" w:hAnsi="Arial"/>
                <w:b/>
              </w:rPr>
              <w:t>Assuming</w:t>
              <w:br/>
              <w:t>Dilution</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39" w:type="dxa"/>
            <w:gridSpan w:val="3"/>
            <w:tcBorders/>
            <w:shd w:fill="FFFFFF" w:val="clear"/>
            <w:vAlign w:val="bottom"/>
          </w:tcPr>
          <w:p>
            <w:pPr>
              <w:pStyle w:val="TableContents"/>
              <w:spacing w:before="0" w:after="0"/>
              <w:jc w:val="center"/>
              <w:rPr>
                <w:rFonts w:ascii="Arial" w:hAnsi="Arial"/>
                <w:b/>
              </w:rPr>
            </w:pPr>
            <w:r>
              <w:rPr>
                <w:rFonts w:ascii="Arial" w:hAnsi="Arial"/>
                <w:b/>
              </w:rPr>
              <w:t>Basic</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192" w:type="dxa"/>
            <w:gridSpan w:val="3"/>
            <w:tcBorders/>
            <w:shd w:fill="FFFFFF" w:val="clear"/>
            <w:vAlign w:val="bottom"/>
          </w:tcPr>
          <w:p>
            <w:pPr>
              <w:pStyle w:val="TableContents"/>
              <w:spacing w:before="0" w:after="0"/>
              <w:jc w:val="center"/>
              <w:rPr>
                <w:rFonts w:ascii="Arial" w:hAnsi="Arial"/>
                <w:b/>
              </w:rPr>
            </w:pPr>
            <w:r>
              <w:rPr>
                <w:rFonts w:ascii="Arial" w:hAnsi="Arial"/>
                <w:b/>
              </w:rPr>
              <w:t>Assuming</w:t>
              <w:br/>
              <w:t>Dilution</w:t>
            </w:r>
          </w:p>
          <w:p>
            <w:pPr>
              <w:pStyle w:val="HorizontalLine"/>
              <w:pBdr>
                <w:bottom w:val="single" w:sz="6" w:space="0" w:color="000000"/>
              </w:pBdr>
              <w:spacing w:before="0" w:after="283"/>
              <w:rPr/>
            </w:pPr>
            <w:r>
              <w:rPr/>
            </w:r>
          </w:p>
        </w:tc>
      </w:tr>
      <w:tr>
        <w:trPr/>
        <w:tc>
          <w:tcPr>
            <w:tcW w:w="2369" w:type="dxa"/>
            <w:tcBorders/>
            <w:shd w:fill="E5FFFF" w:val="clear"/>
            <w:vAlign w:val="bottom"/>
          </w:tcPr>
          <w:p>
            <w:pPr>
              <w:pStyle w:val="TableContents"/>
              <w:spacing w:before="0" w:after="283"/>
              <w:jc w:val="left"/>
              <w:rPr>
                <w:rFonts w:ascii="Arial" w:hAnsi="Arial"/>
                <w:b/>
                <w:sz w:val="14"/>
                <w:u w:val="single"/>
              </w:rPr>
            </w:pPr>
            <w:r>
              <w:rPr>
                <w:rFonts w:ascii="Arial" w:hAnsi="Arial"/>
                <w:b/>
                <w:sz w:val="14"/>
                <w:u w:val="single"/>
              </w:rPr>
              <w:t>Income</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center"/>
          </w:tcPr>
          <w:p>
            <w:pPr>
              <w:pStyle w:val="TableContents"/>
              <w:spacing w:before="0" w:after="283"/>
              <w:rPr/>
            </w:pPr>
            <w:r>
              <w:rPr/>
              <w:t> </w:t>
            </w:r>
          </w:p>
        </w:tc>
        <w:tc>
          <w:tcPr>
            <w:tcW w:w="77"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center"/>
          </w:tcPr>
          <w:p>
            <w:pPr>
              <w:pStyle w:val="TableContents"/>
              <w:spacing w:before="0" w:after="283"/>
              <w:rPr/>
            </w:pPr>
            <w:r>
              <w:rPr/>
              <w:t> </w:t>
            </w:r>
          </w:p>
        </w:tc>
        <w:tc>
          <w:tcPr>
            <w:tcW w:w="83"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center"/>
          </w:tcPr>
          <w:p>
            <w:pPr>
              <w:pStyle w:val="TableContents"/>
              <w:spacing w:before="0" w:after="283"/>
              <w:rPr/>
            </w:pPr>
            <w:r>
              <w:rPr/>
              <w:t> </w:t>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sz w:val="14"/>
              </w:rPr>
            </w:pPr>
            <w:r>
              <w:rPr>
                <w:rFonts w:ascii="Arial" w:hAnsi="Arial"/>
                <w:sz w:val="14"/>
              </w:rPr>
              <w:t>Income from continuing operations</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2,078</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2,078</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1,564</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988" w:type="dxa"/>
            <w:tcBorders/>
            <w:shd w:fill="FFFFFF" w:val="clear"/>
            <w:vAlign w:val="bottom"/>
          </w:tcPr>
          <w:p>
            <w:pPr>
              <w:pStyle w:val="TableContents"/>
              <w:spacing w:before="0" w:after="283"/>
              <w:jc w:val="right"/>
              <w:rPr>
                <w:rFonts w:ascii="Arial" w:hAnsi="Arial"/>
                <w:sz w:val="14"/>
              </w:rPr>
            </w:pPr>
            <w:r>
              <w:rPr>
                <w:rFonts w:ascii="Arial" w:hAnsi="Arial"/>
                <w:sz w:val="14"/>
              </w:rPr>
              <w:t>1,564</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84" w:type="dxa"/>
            <w:tcBorders/>
            <w:shd w:fill="FFFFFF" w:val="clear"/>
            <w:vAlign w:val="bottom"/>
          </w:tcPr>
          <w:p>
            <w:pPr>
              <w:pStyle w:val="TableContents"/>
              <w:spacing w:before="0" w:after="283"/>
              <w:jc w:val="right"/>
              <w:rPr>
                <w:rFonts w:ascii="Arial" w:hAnsi="Arial"/>
                <w:sz w:val="14"/>
              </w:rPr>
            </w:pPr>
            <w:r>
              <w:rPr>
                <w:rFonts w:ascii="Arial" w:hAnsi="Arial"/>
                <w:sz w:val="14"/>
              </w:rPr>
              <w:t>1,246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1,246</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bottom"/>
          </w:tcPr>
          <w:p>
            <w:pPr>
              <w:pStyle w:val="TableContents"/>
              <w:spacing w:before="0" w:after="283"/>
              <w:jc w:val="left"/>
              <w:rPr>
                <w:rFonts w:ascii="Arial" w:hAnsi="Arial"/>
                <w:sz w:val="14"/>
              </w:rPr>
            </w:pPr>
            <w:r>
              <w:rPr>
                <w:rFonts w:ascii="Arial" w:hAnsi="Arial"/>
                <w:sz w:val="14"/>
              </w:rPr>
              <w:t>Income from discontinued operations, net of taxes</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5</w:t>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95</w:t>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TableContents"/>
              <w:spacing w:before="0" w:after="283"/>
              <w:jc w:val="right"/>
              <w:rPr>
                <w:rFonts w:ascii="Arial" w:hAnsi="Arial"/>
                <w:sz w:val="14"/>
              </w:rPr>
            </w:pPr>
            <w:r>
              <w:rPr>
                <w:rFonts w:ascii="Arial" w:hAnsi="Arial"/>
                <w:sz w:val="14"/>
              </w:rPr>
              <w:t>95</w:t>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TableContents"/>
              <w:spacing w:before="0" w:after="283"/>
              <w:jc w:val="right"/>
              <w:rPr/>
            </w:pPr>
            <w:r>
              <w:rPr/>
              <w:t>—</w:t>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sz w:val="14"/>
              </w:rPr>
            </w:pPr>
            <w:r>
              <w:rPr>
                <w:rFonts w:ascii="Arial" w:hAnsi="Arial"/>
                <w:sz w:val="14"/>
              </w:rPr>
              <w:t>Cumulative effect of accounting change, net of taxes</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pPr>
            <w:r>
              <w:rPr/>
              <w:t>—</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(21</w:t>
            </w:r>
          </w:p>
        </w:tc>
        <w:tc>
          <w:tcPr>
            <w:tcW w:w="65"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Arial" w:hAnsi="Arial"/>
                <w:sz w:val="14"/>
              </w:rPr>
            </w:pPr>
            <w:r>
              <w:rPr>
                <w:rFonts w:ascii="Arial" w:hAnsi="Arial"/>
                <w:sz w:val="14"/>
              </w:rPr>
              <w:t>(21</w:t>
            </w:r>
          </w:p>
        </w:tc>
        <w:tc>
          <w:tcPr>
            <w:tcW w:w="83"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pPr>
            <w:r>
              <w:rPr/>
              <w:t>—</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6"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6" w:space="0" w:color="000000"/>
              </w:pBdr>
              <w:spacing w:before="0" w:after="283"/>
              <w:rPr/>
            </w:pPr>
            <w:r>
              <w:rPr/>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6" w:space="0" w:color="000000"/>
              </w:pBdr>
              <w:spacing w:before="0" w:after="283"/>
              <w:rPr/>
            </w:pPr>
            <w:r>
              <w:rPr/>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HorizontalLine"/>
              <w:pBdr>
                <w:bottom w:val="single" w:sz="6" w:space="0" w:color="000000"/>
              </w:pBdr>
              <w:spacing w:before="0" w:after="283"/>
              <w:rPr/>
            </w:pPr>
            <w:r>
              <w:rPr/>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HorizontalLine"/>
              <w:pBdr>
                <w:bottom w:val="single" w:sz="6"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6" w:space="0" w:color="000000"/>
              </w:pBdr>
              <w:spacing w:before="0" w:after="283"/>
              <w:rPr/>
            </w:pPr>
            <w:r>
              <w:rPr/>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sz w:val="14"/>
              </w:rPr>
            </w:pPr>
            <w:r>
              <w:rPr>
                <w:rFonts w:ascii="Arial" w:hAnsi="Arial"/>
                <w:sz w:val="14"/>
              </w:rPr>
              <w:t>Net income</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2,083</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2,083</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1,638</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988" w:type="dxa"/>
            <w:tcBorders/>
            <w:shd w:fill="FFFFFF" w:val="clear"/>
            <w:vAlign w:val="bottom"/>
          </w:tcPr>
          <w:p>
            <w:pPr>
              <w:pStyle w:val="TableContents"/>
              <w:spacing w:before="0" w:after="283"/>
              <w:jc w:val="right"/>
              <w:rPr>
                <w:rFonts w:ascii="Arial" w:hAnsi="Arial"/>
                <w:sz w:val="14"/>
              </w:rPr>
            </w:pPr>
            <w:r>
              <w:rPr>
                <w:rFonts w:ascii="Arial" w:hAnsi="Arial"/>
                <w:sz w:val="14"/>
              </w:rPr>
              <w:t>1,638</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84" w:type="dxa"/>
            <w:tcBorders/>
            <w:shd w:fill="FFFFFF" w:val="clear"/>
            <w:vAlign w:val="bottom"/>
          </w:tcPr>
          <w:p>
            <w:pPr>
              <w:pStyle w:val="TableContents"/>
              <w:spacing w:before="0" w:after="283"/>
              <w:jc w:val="right"/>
              <w:rPr>
                <w:rFonts w:ascii="Arial" w:hAnsi="Arial"/>
                <w:sz w:val="14"/>
              </w:rPr>
            </w:pPr>
            <w:r>
              <w:rPr>
                <w:rFonts w:ascii="Arial" w:hAnsi="Arial"/>
                <w:sz w:val="14"/>
              </w:rPr>
              <w:t>1,246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1,246</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18"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18" w:space="0" w:color="000000"/>
              </w:pBdr>
              <w:spacing w:before="0" w:after="283"/>
              <w:rPr/>
            </w:pPr>
            <w:r>
              <w:rPr/>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18" w:space="0" w:color="000000"/>
              </w:pBdr>
              <w:spacing w:before="0" w:after="283"/>
              <w:rPr/>
            </w:pPr>
            <w:r>
              <w:rPr/>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HorizontalLine"/>
              <w:pBdr>
                <w:bottom w:val="single" w:sz="18" w:space="0" w:color="000000"/>
              </w:pBdr>
              <w:spacing w:before="0" w:after="283"/>
              <w:rPr/>
            </w:pPr>
            <w:r>
              <w:rPr/>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HorizontalLine"/>
              <w:pBdr>
                <w:bottom w:val="single" w:sz="18"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18" w:space="0" w:color="000000"/>
              </w:pBdr>
              <w:spacing w:before="0" w:after="283"/>
              <w:rPr/>
            </w:pPr>
            <w:r>
              <w:rPr/>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b/>
                <w:sz w:val="14"/>
                <w:u w:val="single"/>
              </w:rPr>
            </w:pPr>
            <w:r>
              <w:rPr>
                <w:rFonts w:ascii="Arial" w:hAnsi="Arial"/>
                <w:b/>
                <w:sz w:val="14"/>
                <w:u w:val="single"/>
              </w:rPr>
              <w:t>Average shares</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bottom"/>
          </w:tcPr>
          <w:p>
            <w:pPr>
              <w:pStyle w:val="TableContents"/>
              <w:spacing w:before="0" w:after="283"/>
              <w:jc w:val="left"/>
              <w:rPr>
                <w:rFonts w:ascii="Arial" w:hAnsi="Arial"/>
                <w:sz w:val="14"/>
              </w:rPr>
            </w:pPr>
            <w:r>
              <w:rPr>
                <w:rFonts w:ascii="Arial" w:hAnsi="Arial"/>
                <w:sz w:val="14"/>
              </w:rPr>
              <w:t>Average shares outstanding</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820,845,838</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820,845,838</w:t>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848,740,395</w:t>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TableContents"/>
              <w:spacing w:before="0" w:after="283"/>
              <w:jc w:val="right"/>
              <w:rPr>
                <w:rFonts w:ascii="Arial" w:hAnsi="Arial"/>
                <w:sz w:val="14"/>
              </w:rPr>
            </w:pPr>
            <w:r>
              <w:rPr>
                <w:rFonts w:ascii="Arial" w:hAnsi="Arial"/>
                <w:sz w:val="14"/>
              </w:rPr>
              <w:t>848,740,395</w:t>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TableContents"/>
              <w:spacing w:before="0" w:after="283"/>
              <w:jc w:val="right"/>
              <w:rPr>
                <w:rFonts w:ascii="Arial" w:hAnsi="Arial"/>
                <w:sz w:val="14"/>
              </w:rPr>
            </w:pPr>
            <w:r>
              <w:rPr>
                <w:rFonts w:ascii="Arial" w:hAnsi="Arial"/>
                <w:sz w:val="14"/>
              </w:rPr>
              <w:t>858,857,721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858,857,721</w:t>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sz w:val="14"/>
              </w:rPr>
            </w:pPr>
            <w:r>
              <w:rPr>
                <w:rFonts w:ascii="Arial" w:hAnsi="Arial"/>
                <w:sz w:val="14"/>
              </w:rPr>
              <w:t>Dilutive securities issuable in connection with stock plans</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5,432,435</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pPr>
            <w:r>
              <w:rPr/>
              <w:t>—</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Arial" w:hAnsi="Arial"/>
                <w:sz w:val="14"/>
              </w:rPr>
            </w:pPr>
            <w:r>
              <w:rPr>
                <w:rFonts w:ascii="Arial" w:hAnsi="Arial"/>
                <w:sz w:val="14"/>
              </w:rPr>
              <w:t>3,594,592</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3,475,613</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6"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6" w:space="0" w:color="000000"/>
              </w:pBdr>
              <w:spacing w:before="0" w:after="283"/>
              <w:rPr/>
            </w:pPr>
            <w:r>
              <w:rPr/>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6" w:space="0" w:color="000000"/>
              </w:pBdr>
              <w:spacing w:before="0" w:after="283"/>
              <w:rPr/>
            </w:pPr>
            <w:r>
              <w:rPr/>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HorizontalLine"/>
              <w:pBdr>
                <w:bottom w:val="single" w:sz="6" w:space="0" w:color="000000"/>
              </w:pBdr>
              <w:spacing w:before="0" w:after="283"/>
              <w:rPr/>
            </w:pPr>
            <w:r>
              <w:rPr/>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HorizontalLine"/>
              <w:pBdr>
                <w:bottom w:val="single" w:sz="6"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6" w:space="0" w:color="000000"/>
              </w:pBdr>
              <w:spacing w:before="0" w:after="283"/>
              <w:rPr/>
            </w:pPr>
            <w:r>
              <w:rPr/>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sz w:val="14"/>
              </w:rPr>
            </w:pPr>
            <w:r>
              <w:rPr>
                <w:rFonts w:ascii="Arial" w:hAnsi="Arial"/>
                <w:sz w:val="14"/>
              </w:rPr>
              <w:t>Total average shares</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820,845,838</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826,278,273</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848,740,395</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Arial" w:hAnsi="Arial"/>
                <w:sz w:val="14"/>
              </w:rPr>
            </w:pPr>
            <w:r>
              <w:rPr>
                <w:rFonts w:ascii="Arial" w:hAnsi="Arial"/>
                <w:sz w:val="14"/>
              </w:rPr>
              <w:t>852,334,987</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bottom"/>
          </w:tcPr>
          <w:p>
            <w:pPr>
              <w:pStyle w:val="TableContents"/>
              <w:spacing w:before="0" w:after="283"/>
              <w:jc w:val="right"/>
              <w:rPr>
                <w:rFonts w:ascii="Arial" w:hAnsi="Arial"/>
                <w:sz w:val="14"/>
              </w:rPr>
            </w:pPr>
            <w:r>
              <w:rPr>
                <w:rFonts w:ascii="Arial" w:hAnsi="Arial"/>
                <w:sz w:val="14"/>
              </w:rPr>
              <w:t>858,857,721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862,333,334</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18"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18" w:space="0" w:color="000000"/>
              </w:pBdr>
              <w:spacing w:before="0" w:after="283"/>
              <w:rPr/>
            </w:pPr>
            <w:r>
              <w:rPr/>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HorizontalLine"/>
              <w:pBdr>
                <w:bottom w:val="single" w:sz="18" w:space="0" w:color="000000"/>
              </w:pBdr>
              <w:spacing w:before="0" w:after="283"/>
              <w:rPr/>
            </w:pPr>
            <w:r>
              <w:rPr/>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HorizontalLine"/>
              <w:pBdr>
                <w:bottom w:val="single" w:sz="18" w:space="0" w:color="000000"/>
              </w:pBdr>
              <w:spacing w:before="0" w:after="283"/>
              <w:rPr/>
            </w:pPr>
            <w:r>
              <w:rPr/>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HorizontalLine"/>
              <w:pBdr>
                <w:bottom w:val="single" w:sz="18" w:space="0" w:color="000000"/>
              </w:pBdr>
              <w:spacing w:before="0" w:after="283"/>
              <w:rPr/>
            </w:pPr>
            <w:r>
              <w:rPr/>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HorizontalLine"/>
              <w:pBdr>
                <w:bottom w:val="single" w:sz="18" w:space="0" w:color="000000"/>
              </w:pBdr>
              <w:spacing w:before="0" w:after="283"/>
              <w:rPr/>
            </w:pPr>
            <w:r>
              <w:rPr/>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b/>
                <w:sz w:val="14"/>
                <w:u w:val="single"/>
              </w:rPr>
            </w:pPr>
            <w:r>
              <w:rPr>
                <w:rFonts w:ascii="Arial" w:hAnsi="Arial"/>
                <w:b/>
                <w:sz w:val="14"/>
                <w:u w:val="single"/>
              </w:rPr>
              <w:t>Earnings (loss) per share of common stock</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bottom"/>
          </w:tcPr>
          <w:p>
            <w:pPr>
              <w:pStyle w:val="TableContents"/>
              <w:spacing w:before="0" w:after="283"/>
              <w:jc w:val="left"/>
              <w:rPr>
                <w:rFonts w:ascii="Arial" w:hAnsi="Arial"/>
                <w:sz w:val="14"/>
              </w:rPr>
            </w:pPr>
            <w:r>
              <w:rPr>
                <w:rFonts w:ascii="Arial" w:hAnsi="Arial"/>
                <w:sz w:val="14"/>
              </w:rPr>
              <w:t>Income from continuing operations</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2.53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2.51</w:t>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1.85</w:t>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988" w:type="dxa"/>
            <w:tcBorders/>
            <w:shd w:fill="E5FFFF" w:val="clear"/>
            <w:vAlign w:val="bottom"/>
          </w:tcPr>
          <w:p>
            <w:pPr>
              <w:pStyle w:val="TableContents"/>
              <w:spacing w:before="0" w:after="283"/>
              <w:jc w:val="right"/>
              <w:rPr>
                <w:rFonts w:ascii="Arial" w:hAnsi="Arial"/>
                <w:sz w:val="14"/>
              </w:rPr>
            </w:pPr>
            <w:r>
              <w:rPr>
                <w:rFonts w:ascii="Arial" w:hAnsi="Arial"/>
                <w:sz w:val="14"/>
              </w:rPr>
              <w:t>1.84</w:t>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84" w:type="dxa"/>
            <w:tcBorders/>
            <w:shd w:fill="E5FFFF" w:val="clear"/>
            <w:vAlign w:val="bottom"/>
          </w:tcPr>
          <w:p>
            <w:pPr>
              <w:pStyle w:val="TableContents"/>
              <w:spacing w:before="0" w:after="283"/>
              <w:jc w:val="right"/>
              <w:rPr>
                <w:rFonts w:ascii="Arial" w:hAnsi="Arial"/>
                <w:sz w:val="14"/>
              </w:rPr>
            </w:pPr>
            <w:r>
              <w:rPr>
                <w:rFonts w:ascii="Arial" w:hAnsi="Arial"/>
                <w:sz w:val="14"/>
              </w:rPr>
              <w:t>1.45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1.45</w:t>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jc w:val="left"/>
              <w:rPr>
                <w:rFonts w:ascii="Arial" w:hAnsi="Arial"/>
                <w:sz w:val="14"/>
              </w:rPr>
            </w:pPr>
            <w:r>
              <w:rPr>
                <w:rFonts w:ascii="Arial" w:hAnsi="Arial"/>
                <w:sz w:val="14"/>
              </w:rPr>
              <w:t>Income from discontinued operations, net of taxes</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0.01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rFonts w:ascii="Arial" w:hAnsi="Arial"/>
                <w:sz w:val="14"/>
              </w:rPr>
            </w:pPr>
            <w:r>
              <w:rPr>
                <w:rFonts w:ascii="Arial" w:hAnsi="Arial"/>
                <w:sz w:val="14"/>
              </w:rPr>
              <w:t>0.01</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TableContents"/>
              <w:spacing w:before="0" w:after="283"/>
              <w:jc w:val="right"/>
              <w:rPr>
                <w:rFonts w:ascii="Arial" w:hAnsi="Arial"/>
                <w:sz w:val="14"/>
              </w:rPr>
            </w:pPr>
            <w:r>
              <w:rPr>
                <w:rFonts w:ascii="Arial" w:hAnsi="Arial"/>
                <w:sz w:val="14"/>
              </w:rPr>
              <w:t>0.11</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bottom"/>
          </w:tcPr>
          <w:p>
            <w:pPr>
              <w:pStyle w:val="TableContents"/>
              <w:spacing w:before="0" w:after="283"/>
              <w:jc w:val="right"/>
              <w:rPr>
                <w:rFonts w:ascii="Arial" w:hAnsi="Arial"/>
                <w:sz w:val="14"/>
              </w:rPr>
            </w:pPr>
            <w:r>
              <w:rPr>
                <w:rFonts w:ascii="Arial" w:hAnsi="Arial"/>
                <w:sz w:val="14"/>
              </w:rPr>
              <w:t>0.11</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TableContents"/>
              <w:spacing w:before="0" w:after="283"/>
              <w:jc w:val="right"/>
              <w:rPr/>
            </w:pPr>
            <w:r>
              <w:rPr/>
              <w:t>—</w:t>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bottom"/>
          </w:tcPr>
          <w:p>
            <w:pPr>
              <w:pStyle w:val="TableContents"/>
              <w:spacing w:before="0" w:after="283"/>
              <w:jc w:val="left"/>
              <w:rPr>
                <w:rFonts w:ascii="Arial" w:hAnsi="Arial"/>
                <w:sz w:val="14"/>
              </w:rPr>
            </w:pPr>
            <w:r>
              <w:rPr>
                <w:rFonts w:ascii="Arial" w:hAnsi="Arial"/>
                <w:sz w:val="14"/>
              </w:rPr>
              <w:t>Cumulative effect of accounting change, net of taxes</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TableContents"/>
              <w:spacing w:before="0" w:after="283"/>
              <w:jc w:val="right"/>
              <w:rPr/>
            </w:pPr>
            <w:r>
              <w:rPr/>
              <w:t>—</w:t>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(0.03</w:t>
            </w:r>
          </w:p>
        </w:tc>
        <w:tc>
          <w:tcPr>
            <w:tcW w:w="65"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center"/>
          </w:tcPr>
          <w:p>
            <w:pPr>
              <w:pStyle w:val="TableContents"/>
              <w:spacing w:before="0" w:after="283"/>
              <w:rPr/>
            </w:pPr>
            <w:r>
              <w:rPr/>
              <w:t> </w:t>
            </w:r>
          </w:p>
        </w:tc>
        <w:tc>
          <w:tcPr>
            <w:tcW w:w="988" w:type="dxa"/>
            <w:tcBorders/>
            <w:shd w:fill="E5FFFF" w:val="clear"/>
            <w:vAlign w:val="bottom"/>
          </w:tcPr>
          <w:p>
            <w:pPr>
              <w:pStyle w:val="TableContents"/>
              <w:spacing w:before="0" w:after="283"/>
              <w:jc w:val="right"/>
              <w:rPr>
                <w:rFonts w:ascii="Arial" w:hAnsi="Arial"/>
                <w:sz w:val="14"/>
              </w:rPr>
            </w:pPr>
            <w:r>
              <w:rPr>
                <w:rFonts w:ascii="Arial" w:hAnsi="Arial"/>
                <w:sz w:val="14"/>
              </w:rPr>
              <w:t>(0.03</w:t>
            </w:r>
          </w:p>
        </w:tc>
        <w:tc>
          <w:tcPr>
            <w:tcW w:w="83"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84"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center"/>
          </w:tcPr>
          <w:p>
            <w:pPr>
              <w:pStyle w:val="TableContents"/>
              <w:spacing w:before="0" w:after="283"/>
              <w:rPr/>
            </w:pPr>
            <w:r>
              <w:rPr/>
              <w:t> </w:t>
            </w:r>
          </w:p>
        </w:tc>
        <w:tc>
          <w:tcPr>
            <w:tcW w:w="993" w:type="dxa"/>
            <w:tcBorders/>
            <w:shd w:fill="E5FFFF" w:val="clear"/>
            <w:vAlign w:val="bottom"/>
          </w:tcPr>
          <w:p>
            <w:pPr>
              <w:pStyle w:val="TableContents"/>
              <w:spacing w:before="0" w:after="283"/>
              <w:jc w:val="right"/>
              <w:rPr/>
            </w:pPr>
            <w:r>
              <w:rPr/>
              <w:t>—</w:t>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HorizontalLine"/>
              <w:pBdr>
                <w:bottom w:val="single" w:sz="6" w:space="0" w:color="000000"/>
              </w:pBdr>
              <w:spacing w:before="0" w:after="283"/>
              <w:rPr/>
            </w:pPr>
            <w:r>
              <w:rPr/>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HorizontalLine"/>
              <w:pBdr>
                <w:bottom w:val="single" w:sz="6" w:space="0" w:color="000000"/>
              </w:pBdr>
              <w:spacing w:before="0" w:after="283"/>
              <w:rPr/>
            </w:pPr>
            <w:r>
              <w:rPr/>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HorizontalLine"/>
              <w:pBdr>
                <w:bottom w:val="single" w:sz="6" w:space="0" w:color="000000"/>
              </w:pBdr>
              <w:spacing w:before="0" w:after="283"/>
              <w:rPr/>
            </w:pPr>
            <w:r>
              <w:rPr/>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bottom"/>
          </w:tcPr>
          <w:p>
            <w:pPr>
              <w:pStyle w:val="HorizontalLine"/>
              <w:pBdr>
                <w:bottom w:val="single" w:sz="6" w:space="0" w:color="000000"/>
              </w:pBdr>
              <w:spacing w:before="0" w:after="283"/>
              <w:rPr/>
            </w:pPr>
            <w:r>
              <w:rPr/>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bottom"/>
          </w:tcPr>
          <w:p>
            <w:pPr>
              <w:pStyle w:val="HorizontalLine"/>
              <w:pBdr>
                <w:bottom w:val="single" w:sz="6" w:space="0" w:color="000000"/>
              </w:pBdr>
              <w:spacing w:before="0" w:after="283"/>
              <w:rPr/>
            </w:pPr>
            <w:r>
              <w:rPr/>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HorizontalLine"/>
              <w:pBdr>
                <w:bottom w:val="single" w:sz="6" w:space="0" w:color="000000"/>
              </w:pBdr>
              <w:spacing w:before="0" w:after="283"/>
              <w:rPr/>
            </w:pPr>
            <w:r>
              <w:rPr/>
            </w:r>
          </w:p>
        </w:tc>
        <w:tc>
          <w:tcPr>
            <w:tcW w:w="79" w:type="dxa"/>
            <w:tcBorders/>
            <w:shd w:fill="FFFFFF" w:val="clear"/>
            <w:vAlign w:val="center"/>
          </w:tcPr>
          <w:p>
            <w:pPr>
              <w:pStyle w:val="TableContents"/>
              <w:spacing w:before="0" w:after="283"/>
              <w:rPr/>
            </w:pPr>
            <w:r>
              <w:rPr/>
              <w:t> </w:t>
            </w:r>
          </w:p>
        </w:tc>
      </w:tr>
      <w:tr>
        <w:trPr/>
        <w:tc>
          <w:tcPr>
            <w:tcW w:w="2369" w:type="dxa"/>
            <w:tcBorders/>
            <w:shd w:fill="E5FFFF" w:val="clear"/>
            <w:vAlign w:val="bottom"/>
          </w:tcPr>
          <w:p>
            <w:pPr>
              <w:pStyle w:val="TableContents"/>
              <w:spacing w:before="0" w:after="283"/>
              <w:jc w:val="left"/>
              <w:rPr>
                <w:rFonts w:ascii="Arial" w:hAnsi="Arial"/>
                <w:sz w:val="14"/>
              </w:rPr>
            </w:pPr>
            <w:r>
              <w:rPr>
                <w:rFonts w:ascii="Arial" w:hAnsi="Arial"/>
                <w:sz w:val="14"/>
              </w:rPr>
              <w:t>Net income</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2.54</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2.52</w:t>
            </w:r>
          </w:p>
        </w:tc>
        <w:tc>
          <w:tcPr>
            <w:tcW w:w="7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85" w:type="dxa"/>
            <w:tcBorders/>
            <w:shd w:fill="E5FFFF" w:val="clear"/>
            <w:vAlign w:val="bottom"/>
          </w:tcPr>
          <w:p>
            <w:pPr>
              <w:pStyle w:val="TableContents"/>
              <w:spacing w:before="0" w:after="283"/>
              <w:jc w:val="right"/>
              <w:rPr>
                <w:rFonts w:ascii="Arial" w:hAnsi="Arial"/>
                <w:sz w:val="14"/>
              </w:rPr>
            </w:pPr>
            <w:r>
              <w:rPr>
                <w:rFonts w:ascii="Arial" w:hAnsi="Arial"/>
                <w:sz w:val="14"/>
              </w:rPr>
              <w:t>1.93</w:t>
            </w:r>
          </w:p>
        </w:tc>
        <w:tc>
          <w:tcPr>
            <w:tcW w:w="6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9"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988" w:type="dxa"/>
            <w:tcBorders/>
            <w:shd w:fill="E5FFFF" w:val="clear"/>
            <w:vAlign w:val="bottom"/>
          </w:tcPr>
          <w:p>
            <w:pPr>
              <w:pStyle w:val="TableContents"/>
              <w:spacing w:before="0" w:after="283"/>
              <w:jc w:val="right"/>
              <w:rPr>
                <w:rFonts w:ascii="Arial" w:hAnsi="Arial"/>
                <w:sz w:val="14"/>
              </w:rPr>
            </w:pPr>
            <w:r>
              <w:rPr>
                <w:rFonts w:ascii="Arial" w:hAnsi="Arial"/>
                <w:sz w:val="14"/>
              </w:rPr>
              <w:t>1.92</w:t>
            </w:r>
          </w:p>
        </w:tc>
        <w:tc>
          <w:tcPr>
            <w:tcW w:w="8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784" w:type="dxa"/>
            <w:tcBorders/>
            <w:shd w:fill="E5FFFF" w:val="clear"/>
            <w:vAlign w:val="bottom"/>
          </w:tcPr>
          <w:p>
            <w:pPr>
              <w:pStyle w:val="TableContents"/>
              <w:spacing w:before="0" w:after="283"/>
              <w:jc w:val="right"/>
              <w:rPr>
                <w:rFonts w:ascii="Arial" w:hAnsi="Arial"/>
                <w:sz w:val="14"/>
              </w:rPr>
            </w:pPr>
            <w:r>
              <w:rPr>
                <w:rFonts w:ascii="Arial" w:hAnsi="Arial"/>
                <w:sz w:val="14"/>
              </w:rPr>
              <w:t>1.45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2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993" w:type="dxa"/>
            <w:tcBorders/>
            <w:shd w:fill="E5FFFF" w:val="clear"/>
            <w:vAlign w:val="bottom"/>
          </w:tcPr>
          <w:p>
            <w:pPr>
              <w:pStyle w:val="TableContents"/>
              <w:spacing w:before="0" w:after="283"/>
              <w:jc w:val="right"/>
              <w:rPr>
                <w:rFonts w:ascii="Arial" w:hAnsi="Arial"/>
                <w:sz w:val="14"/>
              </w:rPr>
            </w:pPr>
            <w:r>
              <w:rPr>
                <w:rFonts w:ascii="Arial" w:hAnsi="Arial"/>
                <w:sz w:val="14"/>
              </w:rPr>
              <w:t>1.45</w:t>
            </w:r>
          </w:p>
        </w:tc>
        <w:tc>
          <w:tcPr>
            <w:tcW w:w="79" w:type="dxa"/>
            <w:tcBorders/>
            <w:shd w:fill="E5FFFF" w:val="clear"/>
            <w:vAlign w:val="center"/>
          </w:tcPr>
          <w:p>
            <w:pPr>
              <w:pStyle w:val="TableContents"/>
              <w:spacing w:before="0" w:after="283"/>
              <w:rPr/>
            </w:pPr>
            <w:r>
              <w:rPr/>
              <w:t> </w:t>
            </w:r>
          </w:p>
        </w:tc>
      </w:tr>
      <w:tr>
        <w:trPr/>
        <w:tc>
          <w:tcPr>
            <w:tcW w:w="236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HorizontalLine"/>
              <w:pBdr>
                <w:bottom w:val="single" w:sz="18" w:space="0" w:color="000000"/>
              </w:pBdr>
              <w:spacing w:before="0" w:after="283"/>
              <w:rPr/>
            </w:pPr>
            <w:r>
              <w:rPr/>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HorizontalLine"/>
              <w:pBdr>
                <w:bottom w:val="single" w:sz="18" w:space="0" w:color="000000"/>
              </w:pBdr>
              <w:spacing w:before="0" w:after="283"/>
              <w:rPr/>
            </w:pPr>
            <w:r>
              <w:rPr/>
            </w:r>
          </w:p>
        </w:tc>
        <w:tc>
          <w:tcPr>
            <w:tcW w:w="7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bottom"/>
          </w:tcPr>
          <w:p>
            <w:pPr>
              <w:pStyle w:val="HorizontalLine"/>
              <w:pBdr>
                <w:bottom w:val="single" w:sz="18" w:space="0" w:color="000000"/>
              </w:pBdr>
              <w:spacing w:before="0" w:after="283"/>
              <w:rPr/>
            </w:pPr>
            <w:r>
              <w:rPr/>
            </w:r>
          </w:p>
        </w:tc>
        <w:tc>
          <w:tcPr>
            <w:tcW w:w="6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bottom"/>
          </w:tcPr>
          <w:p>
            <w:pPr>
              <w:pStyle w:val="HorizontalLine"/>
              <w:pBdr>
                <w:bottom w:val="single" w:sz="18" w:space="0" w:color="000000"/>
              </w:pBdr>
              <w:spacing w:before="0" w:after="283"/>
              <w:rPr/>
            </w:pPr>
            <w:r>
              <w:rPr/>
            </w:r>
          </w:p>
        </w:tc>
        <w:tc>
          <w:tcPr>
            <w:tcW w:w="8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bottom"/>
          </w:tcPr>
          <w:p>
            <w:pPr>
              <w:pStyle w:val="HorizontalLine"/>
              <w:pBdr>
                <w:bottom w:val="single" w:sz="18" w:space="0" w:color="000000"/>
              </w:pBdr>
              <w:spacing w:before="0" w:after="283"/>
              <w:rPr/>
            </w:pPr>
            <w:r>
              <w:rPr/>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bottom"/>
          </w:tcPr>
          <w:p>
            <w:pPr>
              <w:pStyle w:val="HorizontalLine"/>
              <w:pBdr>
                <w:bottom w:val="single" w:sz="18" w:space="0" w:color="000000"/>
              </w:pBdr>
              <w:spacing w:before="0" w:after="283"/>
              <w:rPr/>
            </w:pPr>
            <w:r>
              <w:rPr/>
            </w:r>
          </w:p>
        </w:tc>
        <w:tc>
          <w:tcPr>
            <w:tcW w:w="79" w:type="dxa"/>
            <w:tcBorders/>
            <w:shd w:fill="FFFFFF" w:val="clear"/>
            <w:vAlign w:val="center"/>
          </w:tcPr>
          <w:p>
            <w:pPr>
              <w:pStyle w:val="TableContents"/>
              <w:spacing w:before="0" w:after="283"/>
              <w:rPr/>
            </w:pPr>
            <w:r>
              <w:rPr/>
              <w:t> </w:t>
            </w:r>
          </w:p>
        </w:tc>
      </w:tr>
      <w:tr>
        <w:trPr/>
        <w:tc>
          <w:tcPr>
            <w:tcW w:w="236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c>
          <w:tcPr>
            <w:tcW w:w="988"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8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93"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62</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In 2006, 2005 and 2004, the diluted earnings per share calculation excludes the effect of stock options when the options' exercise prices exceed the average market price of the common shares during the period. In 2006, 2005 and 2004, the number of stock options not included in the computation were 22,749,056, 17,793,385 and 41,656,606, respectively. These stock options were outstanding at the end of each of the respective years.</w:t>
      </w:r>
    </w:p>
    <w:p>
      <w:pPr>
        <w:pStyle w:val="TextBody"/>
        <w:jc w:val="left"/>
        <w:rPr>
          <w:rFonts w:ascii="Arial" w:hAnsi="Arial"/>
          <w:b/>
        </w:rPr>
      </w:pPr>
      <w:r>
        <w:rPr>
          <w:rFonts w:ascii="Arial" w:hAnsi="Arial"/>
          <w:b/>
        </w:rPr>
        <w:t>Note 8—Accounts, Notes and Other Receivables</w:t>
      </w:r>
    </w:p>
    <w:tbl>
      <w:tblPr>
        <w:tblW w:w="5000" w:type="pct"/>
        <w:jc w:val="left"/>
        <w:tblInd w:w="0" w:type="dxa"/>
        <w:tblCellMar>
          <w:top w:w="0" w:type="dxa"/>
          <w:left w:w="0" w:type="dxa"/>
          <w:bottom w:w="0" w:type="dxa"/>
          <w:right w:w="0" w:type="dxa"/>
        </w:tblCellMar>
      </w:tblPr>
      <w:tblGrid>
        <w:gridCol w:w="629"/>
        <w:gridCol w:w="5749"/>
        <w:gridCol w:w="242"/>
        <w:gridCol w:w="183"/>
        <w:gridCol w:w="1344"/>
        <w:gridCol w:w="141"/>
        <w:gridCol w:w="242"/>
        <w:gridCol w:w="183"/>
        <w:gridCol w:w="1344"/>
        <w:gridCol w:w="148"/>
      </w:tblGrid>
      <w:tr>
        <w:trPr/>
        <w:tc>
          <w:tcPr>
            <w:tcW w:w="629" w:type="dxa"/>
            <w:tcBorders/>
            <w:shd w:fill="FFFFFF" w:val="clear"/>
            <w:vAlign w:val="center"/>
          </w:tcPr>
          <w:p>
            <w:pPr>
              <w:pStyle w:val="TableContents"/>
              <w:spacing w:before="0" w:after="283"/>
              <w:rPr/>
            </w:pPr>
            <w:r>
              <w:rPr/>
              <w:t> </w:t>
            </w:r>
          </w:p>
        </w:tc>
        <w:tc>
          <w:tcPr>
            <w:tcW w:w="5749"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3585"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29" w:type="dxa"/>
            <w:tcBorders/>
            <w:shd w:fill="FFFFFF" w:val="clear"/>
            <w:vAlign w:val="center"/>
          </w:tcPr>
          <w:p>
            <w:pPr>
              <w:pStyle w:val="TableContents"/>
              <w:spacing w:before="0" w:after="283"/>
              <w:rPr/>
            </w:pPr>
            <w:r>
              <w:rPr/>
              <w:t> </w:t>
            </w:r>
          </w:p>
        </w:tc>
        <w:tc>
          <w:tcPr>
            <w:tcW w:w="5749"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66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67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29" w:type="dxa"/>
            <w:tcBorders/>
            <w:shd w:fill="E5FFFF" w:val="clear"/>
            <w:vAlign w:val="bottom"/>
          </w:tcPr>
          <w:p>
            <w:pPr>
              <w:pStyle w:val="TableContents"/>
              <w:spacing w:before="0" w:after="283"/>
              <w:jc w:val="left"/>
              <w:rPr/>
            </w:pPr>
            <w:r>
              <w:rPr/>
              <w:t>      </w:t>
            </w:r>
          </w:p>
        </w:tc>
        <w:tc>
          <w:tcPr>
            <w:tcW w:w="5749" w:type="dxa"/>
            <w:tcBorders/>
            <w:shd w:fill="E5FFFF" w:val="clear"/>
            <w:vAlign w:val="bottom"/>
          </w:tcPr>
          <w:p>
            <w:pPr>
              <w:pStyle w:val="TableContents"/>
              <w:spacing w:before="0" w:after="283"/>
              <w:jc w:val="left"/>
              <w:rPr>
                <w:rFonts w:ascii="Arial" w:hAnsi="Arial"/>
              </w:rPr>
            </w:pPr>
            <w:r>
              <w:rPr>
                <w:rFonts w:ascii="Arial" w:hAnsi="Arial"/>
              </w:rPr>
              <w:t>Trade</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344" w:type="dxa"/>
            <w:tcBorders/>
            <w:shd w:fill="E5FFFF" w:val="clear"/>
            <w:vAlign w:val="bottom"/>
          </w:tcPr>
          <w:p>
            <w:pPr>
              <w:pStyle w:val="TableContents"/>
              <w:spacing w:before="0" w:after="283"/>
              <w:jc w:val="right"/>
              <w:rPr>
                <w:rFonts w:ascii="Arial" w:hAnsi="Arial"/>
              </w:rPr>
            </w:pPr>
            <w:r>
              <w:rPr>
                <w:rFonts w:ascii="Arial" w:hAnsi="Arial"/>
              </w:rPr>
              <w:t>5,373</w:t>
            </w:r>
          </w:p>
        </w:tc>
        <w:tc>
          <w:tcPr>
            <w:tcW w:w="141"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344" w:type="dxa"/>
            <w:tcBorders/>
            <w:shd w:fill="E5FFFF" w:val="clear"/>
            <w:vAlign w:val="bottom"/>
          </w:tcPr>
          <w:p>
            <w:pPr>
              <w:pStyle w:val="TableContents"/>
              <w:spacing w:before="0" w:after="283"/>
              <w:jc w:val="right"/>
              <w:rPr>
                <w:rFonts w:ascii="Arial" w:hAnsi="Arial"/>
              </w:rPr>
            </w:pPr>
            <w:r>
              <w:rPr>
                <w:rFonts w:ascii="Arial" w:hAnsi="Arial"/>
              </w:rPr>
              <w:t>4,623</w:t>
            </w:r>
          </w:p>
        </w:tc>
        <w:tc>
          <w:tcPr>
            <w:tcW w:w="148" w:type="dxa"/>
            <w:tcBorders/>
            <w:shd w:fill="E5FFFF" w:val="clear"/>
            <w:vAlign w:val="center"/>
          </w:tcPr>
          <w:p>
            <w:pPr>
              <w:pStyle w:val="TableContents"/>
              <w:spacing w:before="0" w:after="283"/>
              <w:rPr/>
            </w:pPr>
            <w:r>
              <w:rPr/>
              <w:t> </w:t>
            </w:r>
          </w:p>
        </w:tc>
      </w:tr>
      <w:tr>
        <w:trPr/>
        <w:tc>
          <w:tcPr>
            <w:tcW w:w="629" w:type="dxa"/>
            <w:tcBorders/>
            <w:shd w:fill="FFFFFF" w:val="clear"/>
            <w:vAlign w:val="bottom"/>
          </w:tcPr>
          <w:p>
            <w:pPr>
              <w:pStyle w:val="TableContents"/>
              <w:spacing w:before="0" w:after="283"/>
              <w:jc w:val="left"/>
              <w:rPr/>
            </w:pPr>
            <w:r>
              <w:rPr/>
              <w:t>      </w:t>
            </w:r>
          </w:p>
        </w:tc>
        <w:tc>
          <w:tcPr>
            <w:tcW w:w="5749" w:type="dxa"/>
            <w:tcBorders/>
            <w:shd w:fill="FFFFFF" w:val="clear"/>
            <w:vAlign w:val="bottom"/>
          </w:tcPr>
          <w:p>
            <w:pPr>
              <w:pStyle w:val="TableContents"/>
              <w:spacing w:before="0" w:after="283"/>
              <w:jc w:val="left"/>
              <w:rPr>
                <w:rFonts w:ascii="Arial" w:hAnsi="Arial"/>
              </w:rPr>
            </w:pPr>
            <w:r>
              <w:rPr>
                <w:rFonts w:ascii="Arial" w:hAnsi="Arial"/>
              </w:rPr>
              <w:t>Other</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TableContents"/>
              <w:spacing w:before="0" w:after="283"/>
              <w:jc w:val="right"/>
              <w:rPr>
                <w:rFonts w:ascii="Arial" w:hAnsi="Arial"/>
              </w:rPr>
            </w:pPr>
            <w:r>
              <w:rPr>
                <w:rFonts w:ascii="Arial" w:hAnsi="Arial"/>
              </w:rPr>
              <w:t>584</w:t>
            </w:r>
          </w:p>
        </w:tc>
        <w:tc>
          <w:tcPr>
            <w:tcW w:w="141"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TableContents"/>
              <w:spacing w:before="0" w:after="283"/>
              <w:jc w:val="right"/>
              <w:rPr>
                <w:rFonts w:ascii="Arial" w:hAnsi="Arial"/>
              </w:rPr>
            </w:pPr>
            <w:r>
              <w:rPr>
                <w:rFonts w:ascii="Arial" w:hAnsi="Arial"/>
              </w:rPr>
              <w:t>573</w:t>
            </w:r>
          </w:p>
        </w:tc>
        <w:tc>
          <w:tcPr>
            <w:tcW w:w="148" w:type="dxa"/>
            <w:tcBorders/>
            <w:shd w:fill="FFFFFF" w:val="clear"/>
            <w:vAlign w:val="center"/>
          </w:tcPr>
          <w:p>
            <w:pPr>
              <w:pStyle w:val="TableContents"/>
              <w:spacing w:before="0" w:after="283"/>
              <w:rPr/>
            </w:pPr>
            <w:r>
              <w:rPr/>
              <w:t> </w:t>
            </w:r>
          </w:p>
        </w:tc>
      </w:tr>
      <w:tr>
        <w:trPr/>
        <w:tc>
          <w:tcPr>
            <w:tcW w:w="629" w:type="dxa"/>
            <w:tcBorders/>
            <w:shd w:fill="E5FFFF" w:val="clear"/>
            <w:vAlign w:val="center"/>
          </w:tcPr>
          <w:p>
            <w:pPr>
              <w:pStyle w:val="TableContents"/>
              <w:spacing w:before="0" w:after="283"/>
              <w:rPr/>
            </w:pPr>
            <w:r>
              <w:rPr/>
              <w:t> </w:t>
            </w:r>
          </w:p>
        </w:tc>
        <w:tc>
          <w:tcPr>
            <w:tcW w:w="5749"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344" w:type="dxa"/>
            <w:tcBorders/>
            <w:shd w:fill="E5FFFF" w:val="clear"/>
            <w:vAlign w:val="bottom"/>
          </w:tcPr>
          <w:p>
            <w:pPr>
              <w:pStyle w:val="HorizontalLine"/>
              <w:pBdr>
                <w:bottom w:val="single" w:sz="6" w:space="0" w:color="000000"/>
              </w:pBdr>
              <w:spacing w:before="0" w:after="283"/>
              <w:rPr/>
            </w:pPr>
            <w:r>
              <w:rPr/>
            </w:r>
          </w:p>
        </w:tc>
        <w:tc>
          <w:tcPr>
            <w:tcW w:w="141"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344" w:type="dxa"/>
            <w:tcBorders/>
            <w:shd w:fill="E5FFFF" w:val="clear"/>
            <w:vAlign w:val="bottom"/>
          </w:tcPr>
          <w:p>
            <w:pPr>
              <w:pStyle w:val="HorizontalLine"/>
              <w:pBdr>
                <w:bottom w:val="single" w:sz="6" w:space="0" w:color="000000"/>
              </w:pBdr>
              <w:spacing w:before="0" w:after="283"/>
              <w:rPr/>
            </w:pPr>
            <w:r>
              <w:rPr/>
            </w:r>
          </w:p>
        </w:tc>
        <w:tc>
          <w:tcPr>
            <w:tcW w:w="148" w:type="dxa"/>
            <w:tcBorders/>
            <w:shd w:fill="E5FFFF" w:val="clear"/>
            <w:vAlign w:val="center"/>
          </w:tcPr>
          <w:p>
            <w:pPr>
              <w:pStyle w:val="TableContents"/>
              <w:spacing w:before="0" w:after="283"/>
              <w:rPr/>
            </w:pPr>
            <w:r>
              <w:rPr/>
              <w:t> </w:t>
            </w:r>
          </w:p>
        </w:tc>
      </w:tr>
      <w:tr>
        <w:trPr/>
        <w:tc>
          <w:tcPr>
            <w:tcW w:w="629" w:type="dxa"/>
            <w:tcBorders/>
            <w:shd w:fill="FFFFFF" w:val="clear"/>
            <w:vAlign w:val="bottom"/>
          </w:tcPr>
          <w:p>
            <w:pPr>
              <w:pStyle w:val="TableContents"/>
              <w:spacing w:before="0" w:after="283"/>
              <w:jc w:val="left"/>
              <w:rPr/>
            </w:pPr>
            <w:r>
              <w:rPr/>
              <w:t>      </w:t>
            </w:r>
          </w:p>
        </w:tc>
        <w:tc>
          <w:tcPr>
            <w:tcW w:w="5749"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TableContents"/>
              <w:spacing w:before="0" w:after="283"/>
              <w:jc w:val="right"/>
              <w:rPr>
                <w:rFonts w:ascii="Arial" w:hAnsi="Arial"/>
              </w:rPr>
            </w:pPr>
            <w:r>
              <w:rPr>
                <w:rFonts w:ascii="Arial" w:hAnsi="Arial"/>
              </w:rPr>
              <w:t>5,957</w:t>
            </w:r>
          </w:p>
        </w:tc>
        <w:tc>
          <w:tcPr>
            <w:tcW w:w="141"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TableContents"/>
              <w:spacing w:before="0" w:after="283"/>
              <w:jc w:val="right"/>
              <w:rPr>
                <w:rFonts w:ascii="Arial" w:hAnsi="Arial"/>
              </w:rPr>
            </w:pPr>
            <w:r>
              <w:rPr>
                <w:rFonts w:ascii="Arial" w:hAnsi="Arial"/>
              </w:rPr>
              <w:t>5,196</w:t>
            </w:r>
          </w:p>
        </w:tc>
        <w:tc>
          <w:tcPr>
            <w:tcW w:w="148" w:type="dxa"/>
            <w:tcBorders/>
            <w:shd w:fill="FFFFFF" w:val="clear"/>
            <w:vAlign w:val="center"/>
          </w:tcPr>
          <w:p>
            <w:pPr>
              <w:pStyle w:val="TableContents"/>
              <w:spacing w:before="0" w:after="283"/>
              <w:rPr/>
            </w:pPr>
            <w:r>
              <w:rPr/>
              <w:t> </w:t>
            </w:r>
          </w:p>
        </w:tc>
      </w:tr>
      <w:tr>
        <w:trPr/>
        <w:tc>
          <w:tcPr>
            <w:tcW w:w="629" w:type="dxa"/>
            <w:tcBorders/>
            <w:shd w:fill="E5FFFF" w:val="clear"/>
            <w:vAlign w:val="bottom"/>
          </w:tcPr>
          <w:p>
            <w:pPr>
              <w:pStyle w:val="TableContents"/>
              <w:spacing w:before="0" w:after="283"/>
              <w:jc w:val="left"/>
              <w:rPr/>
            </w:pPr>
            <w:r>
              <w:rPr/>
              <w:t>      </w:t>
            </w:r>
          </w:p>
        </w:tc>
        <w:tc>
          <w:tcPr>
            <w:tcW w:w="5749" w:type="dxa"/>
            <w:tcBorders/>
            <w:shd w:fill="E5FFFF" w:val="clear"/>
            <w:vAlign w:val="bottom"/>
          </w:tcPr>
          <w:p>
            <w:pPr>
              <w:pStyle w:val="TableContents"/>
              <w:spacing w:before="0" w:after="283"/>
              <w:jc w:val="left"/>
              <w:rPr>
                <w:rFonts w:ascii="Arial" w:hAnsi="Arial"/>
              </w:rPr>
            </w:pPr>
            <w:r>
              <w:rPr>
                <w:rFonts w:ascii="Arial" w:hAnsi="Arial"/>
              </w:rPr>
              <w:t>Less—Allowance for doubtful accounts</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344" w:type="dxa"/>
            <w:tcBorders/>
            <w:shd w:fill="E5FFFF" w:val="clear"/>
            <w:vAlign w:val="bottom"/>
          </w:tcPr>
          <w:p>
            <w:pPr>
              <w:pStyle w:val="TableContents"/>
              <w:spacing w:before="0" w:after="283"/>
              <w:jc w:val="right"/>
              <w:rPr>
                <w:rFonts w:ascii="Arial" w:hAnsi="Arial"/>
              </w:rPr>
            </w:pPr>
            <w:r>
              <w:rPr>
                <w:rFonts w:ascii="Arial" w:hAnsi="Arial"/>
              </w:rPr>
              <w:t>(217</w:t>
            </w:r>
          </w:p>
        </w:tc>
        <w:tc>
          <w:tcPr>
            <w:tcW w:w="141"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center"/>
          </w:tcPr>
          <w:p>
            <w:pPr>
              <w:pStyle w:val="TableContents"/>
              <w:spacing w:before="0" w:after="283"/>
              <w:rPr/>
            </w:pPr>
            <w:r>
              <w:rPr/>
              <w:t> </w:t>
            </w:r>
          </w:p>
        </w:tc>
        <w:tc>
          <w:tcPr>
            <w:tcW w:w="1344" w:type="dxa"/>
            <w:tcBorders/>
            <w:shd w:fill="E5FFFF" w:val="clear"/>
            <w:vAlign w:val="bottom"/>
          </w:tcPr>
          <w:p>
            <w:pPr>
              <w:pStyle w:val="TableContents"/>
              <w:spacing w:before="0" w:after="283"/>
              <w:jc w:val="right"/>
              <w:rPr>
                <w:rFonts w:ascii="Arial" w:hAnsi="Arial"/>
              </w:rPr>
            </w:pPr>
            <w:r>
              <w:rPr>
                <w:rFonts w:ascii="Arial" w:hAnsi="Arial"/>
              </w:rPr>
              <w:t>(179</w:t>
            </w:r>
          </w:p>
        </w:tc>
        <w:tc>
          <w:tcPr>
            <w:tcW w:w="148"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29" w:type="dxa"/>
            <w:tcBorders/>
            <w:shd w:fill="FFFFFF" w:val="clear"/>
            <w:vAlign w:val="center"/>
          </w:tcPr>
          <w:p>
            <w:pPr>
              <w:pStyle w:val="TableContents"/>
              <w:spacing w:before="0" w:after="283"/>
              <w:rPr/>
            </w:pPr>
            <w:r>
              <w:rPr/>
              <w:t> </w:t>
            </w:r>
          </w:p>
        </w:tc>
        <w:tc>
          <w:tcPr>
            <w:tcW w:w="5749"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HorizontalLine"/>
              <w:pBdr>
                <w:bottom w:val="single" w:sz="6" w:space="0" w:color="000000"/>
              </w:pBdr>
              <w:spacing w:before="0" w:after="283"/>
              <w:rPr/>
            </w:pPr>
            <w:r>
              <w:rPr/>
            </w:r>
          </w:p>
        </w:tc>
        <w:tc>
          <w:tcPr>
            <w:tcW w:w="141"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HorizontalLine"/>
              <w:pBdr>
                <w:bottom w:val="single" w:sz="6" w:space="0" w:color="000000"/>
              </w:pBdr>
              <w:spacing w:before="0" w:after="283"/>
              <w:rPr/>
            </w:pPr>
            <w:r>
              <w:rPr/>
            </w:r>
          </w:p>
        </w:tc>
        <w:tc>
          <w:tcPr>
            <w:tcW w:w="148" w:type="dxa"/>
            <w:tcBorders/>
            <w:shd w:fill="FFFFFF" w:val="clear"/>
            <w:vAlign w:val="center"/>
          </w:tcPr>
          <w:p>
            <w:pPr>
              <w:pStyle w:val="TableContents"/>
              <w:spacing w:before="0" w:after="283"/>
              <w:rPr/>
            </w:pPr>
            <w:r>
              <w:rPr/>
              <w:t> </w:t>
            </w:r>
          </w:p>
        </w:tc>
      </w:tr>
      <w:tr>
        <w:trPr/>
        <w:tc>
          <w:tcPr>
            <w:tcW w:w="629" w:type="dxa"/>
            <w:tcBorders/>
            <w:shd w:fill="E5FFFF" w:val="clear"/>
            <w:vAlign w:val="bottom"/>
          </w:tcPr>
          <w:p>
            <w:pPr>
              <w:pStyle w:val="TableContents"/>
              <w:spacing w:before="0" w:after="283"/>
              <w:jc w:val="left"/>
              <w:rPr/>
            </w:pPr>
            <w:r>
              <w:rPr/>
              <w:t>      </w:t>
            </w:r>
          </w:p>
        </w:tc>
        <w:tc>
          <w:tcPr>
            <w:tcW w:w="5749" w:type="dxa"/>
            <w:tcBorders/>
            <w:shd w:fill="E5FFFF" w:val="clear"/>
            <w:vAlign w:val="bottom"/>
          </w:tcPr>
          <w:p>
            <w:pPr>
              <w:pStyle w:val="TableContents"/>
              <w:spacing w:before="0" w:after="283"/>
              <w:rPr>
                <w:sz w:val="4"/>
                <w:szCs w:val="4"/>
              </w:rPr>
            </w:pPr>
            <w:r>
              <w:rPr>
                <w:sz w:val="4"/>
                <w:szCs w:val="4"/>
              </w:rPr>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344" w:type="dxa"/>
            <w:tcBorders/>
            <w:shd w:fill="E5FFFF" w:val="clear"/>
            <w:vAlign w:val="bottom"/>
          </w:tcPr>
          <w:p>
            <w:pPr>
              <w:pStyle w:val="TableContents"/>
              <w:spacing w:before="0" w:after="283"/>
              <w:jc w:val="right"/>
              <w:rPr>
                <w:rFonts w:ascii="Arial" w:hAnsi="Arial"/>
              </w:rPr>
            </w:pPr>
            <w:r>
              <w:rPr>
                <w:rFonts w:ascii="Arial" w:hAnsi="Arial"/>
              </w:rPr>
              <w:t>5,740</w:t>
            </w:r>
          </w:p>
        </w:tc>
        <w:tc>
          <w:tcPr>
            <w:tcW w:w="141"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3" w:type="dxa"/>
            <w:tcBorders/>
            <w:shd w:fill="E5FFFF" w:val="clear"/>
            <w:vAlign w:val="bottom"/>
          </w:tcPr>
          <w:p>
            <w:pPr>
              <w:pStyle w:val="TableContents"/>
              <w:spacing w:before="0" w:after="283"/>
              <w:jc w:val="right"/>
              <w:rPr>
                <w:rFonts w:ascii="Arial" w:hAnsi="Arial"/>
              </w:rPr>
            </w:pPr>
            <w:r>
              <w:rPr>
                <w:rFonts w:ascii="Arial" w:hAnsi="Arial"/>
              </w:rPr>
              <w:t>$</w:t>
            </w:r>
          </w:p>
        </w:tc>
        <w:tc>
          <w:tcPr>
            <w:tcW w:w="1344" w:type="dxa"/>
            <w:tcBorders/>
            <w:shd w:fill="E5FFFF" w:val="clear"/>
            <w:vAlign w:val="bottom"/>
          </w:tcPr>
          <w:p>
            <w:pPr>
              <w:pStyle w:val="TableContents"/>
              <w:spacing w:before="0" w:after="283"/>
              <w:jc w:val="right"/>
              <w:rPr>
                <w:rFonts w:ascii="Arial" w:hAnsi="Arial"/>
              </w:rPr>
            </w:pPr>
            <w:r>
              <w:rPr>
                <w:rFonts w:ascii="Arial" w:hAnsi="Arial"/>
              </w:rPr>
              <w:t>5,017</w:t>
            </w:r>
          </w:p>
        </w:tc>
        <w:tc>
          <w:tcPr>
            <w:tcW w:w="148" w:type="dxa"/>
            <w:tcBorders/>
            <w:shd w:fill="E5FFFF" w:val="clear"/>
            <w:vAlign w:val="center"/>
          </w:tcPr>
          <w:p>
            <w:pPr>
              <w:pStyle w:val="TableContents"/>
              <w:spacing w:before="0" w:after="283"/>
              <w:rPr/>
            </w:pPr>
            <w:r>
              <w:rPr/>
              <w:t> </w:t>
            </w:r>
          </w:p>
        </w:tc>
      </w:tr>
      <w:tr>
        <w:trPr/>
        <w:tc>
          <w:tcPr>
            <w:tcW w:w="629" w:type="dxa"/>
            <w:tcBorders/>
            <w:shd w:fill="FFFFFF" w:val="clear"/>
            <w:vAlign w:val="center"/>
          </w:tcPr>
          <w:p>
            <w:pPr>
              <w:pStyle w:val="TableContents"/>
              <w:spacing w:before="0" w:after="283"/>
              <w:rPr/>
            </w:pPr>
            <w:r>
              <w:rPr/>
              <w:t> </w:t>
            </w:r>
          </w:p>
        </w:tc>
        <w:tc>
          <w:tcPr>
            <w:tcW w:w="5749"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HorizontalLine"/>
              <w:pBdr>
                <w:bottom w:val="single" w:sz="18" w:space="0" w:color="000000"/>
              </w:pBdr>
              <w:spacing w:before="0" w:after="283"/>
              <w:rPr/>
            </w:pPr>
            <w:r>
              <w:rPr/>
            </w:r>
          </w:p>
        </w:tc>
        <w:tc>
          <w:tcPr>
            <w:tcW w:w="141"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bottom"/>
          </w:tcPr>
          <w:p>
            <w:pPr>
              <w:pStyle w:val="HorizontalLine"/>
              <w:pBdr>
                <w:bottom w:val="single" w:sz="18" w:space="0" w:color="000000"/>
              </w:pBdr>
              <w:spacing w:before="0" w:after="283"/>
              <w:rPr/>
            </w:pPr>
            <w:r>
              <w:rPr/>
            </w:r>
          </w:p>
        </w:tc>
        <w:tc>
          <w:tcPr>
            <w:tcW w:w="148" w:type="dxa"/>
            <w:tcBorders/>
            <w:shd w:fill="FFFFFF" w:val="clear"/>
            <w:vAlign w:val="center"/>
          </w:tcPr>
          <w:p>
            <w:pPr>
              <w:pStyle w:val="TableContents"/>
              <w:spacing w:before="0" w:after="283"/>
              <w:rPr/>
            </w:pPr>
            <w:r>
              <w:rPr/>
              <w:t> </w:t>
            </w:r>
          </w:p>
        </w:tc>
      </w:tr>
      <w:tr>
        <w:trPr/>
        <w:tc>
          <w:tcPr>
            <w:tcW w:w="629" w:type="dxa"/>
            <w:tcBorders/>
            <w:shd w:fill="FFFFFF" w:val="clear"/>
            <w:vAlign w:val="bottom"/>
          </w:tcPr>
          <w:p>
            <w:pPr>
              <w:pStyle w:val="TableContents"/>
              <w:spacing w:before="0" w:after="283"/>
              <w:jc w:val="left"/>
              <w:rPr/>
            </w:pPr>
            <w:r>
              <w:rPr/>
              <w:t>      </w:t>
            </w:r>
          </w:p>
        </w:tc>
        <w:tc>
          <w:tcPr>
            <w:tcW w:w="5749"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83" w:type="dxa"/>
            <w:tcBorders/>
            <w:shd w:fill="FFFFFF" w:val="clear"/>
            <w:vAlign w:val="center"/>
          </w:tcPr>
          <w:p>
            <w:pPr>
              <w:pStyle w:val="TableContents"/>
              <w:spacing w:before="0" w:after="283"/>
              <w:rPr/>
            </w:pPr>
            <w:r>
              <w:rPr/>
              <w:t> </w:t>
            </w:r>
          </w:p>
        </w:tc>
        <w:tc>
          <w:tcPr>
            <w:tcW w:w="1344"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Trade Accounts Receivable includes $808 and $565 million of unbilled balances under long-term contracts as of December 31, 2006 and 2005, respectively. These amounts are billed in accordance with the terms of the customer contracts to which they relate.</w:t>
      </w:r>
    </w:p>
    <w:p>
      <w:pPr>
        <w:pStyle w:val="TextBody"/>
        <w:jc w:val="left"/>
        <w:rPr/>
      </w:pPr>
      <w:r>
        <w:rPr/>
        <w:t>      </w:t>
      </w:r>
      <w:r>
        <w:rPr>
          <w:rFonts w:ascii="Arial" w:hAnsi="Arial"/>
        </w:rPr>
        <w:t>We sell interests in designated pools of trade accounts receivables to third parties. The sold receivables are over-collateralized by $171 million at December 31, 2006 and we retain a subordinated interest in the pool of receivables representing that over-collateralization as well as an undivided interest in the balance of the receivables pools. New receivables are sold under the agreement as previously sold receivables are collected. Losses are recognized when our interest in the receivables are sold. The retained interests in the receivables are shown at the amounts expected to be collected by us, and such carrying value approximates the fair value of our retained interests. We are compensated for our services in the collection and administration of the receivables.</w:t>
      </w:r>
    </w:p>
    <w:tbl>
      <w:tblPr>
        <w:tblW w:w="5000" w:type="pct"/>
        <w:jc w:val="left"/>
        <w:tblInd w:w="0" w:type="dxa"/>
        <w:tblCellMar>
          <w:top w:w="0" w:type="dxa"/>
          <w:left w:w="0" w:type="dxa"/>
          <w:bottom w:w="0" w:type="dxa"/>
          <w:right w:w="0" w:type="dxa"/>
        </w:tblCellMar>
      </w:tblPr>
      <w:tblGrid>
        <w:gridCol w:w="628"/>
        <w:gridCol w:w="5758"/>
        <w:gridCol w:w="244"/>
        <w:gridCol w:w="184"/>
        <w:gridCol w:w="1337"/>
        <w:gridCol w:w="142"/>
        <w:gridCol w:w="244"/>
        <w:gridCol w:w="184"/>
        <w:gridCol w:w="1337"/>
        <w:gridCol w:w="147"/>
      </w:tblGrid>
      <w:tr>
        <w:trPr/>
        <w:tc>
          <w:tcPr>
            <w:tcW w:w="628" w:type="dxa"/>
            <w:tcBorders/>
            <w:shd w:fill="FFFFFF" w:val="clear"/>
            <w:vAlign w:val="center"/>
          </w:tcPr>
          <w:p>
            <w:pPr>
              <w:pStyle w:val="TableContents"/>
              <w:spacing w:before="0" w:after="283"/>
              <w:rPr/>
            </w:pPr>
            <w:r>
              <w:rPr/>
              <w:t> </w:t>
            </w:r>
          </w:p>
        </w:tc>
        <w:tc>
          <w:tcPr>
            <w:tcW w:w="5758"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3575"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28" w:type="dxa"/>
            <w:tcBorders/>
            <w:shd w:fill="FFFFFF" w:val="clear"/>
            <w:vAlign w:val="center"/>
          </w:tcPr>
          <w:p>
            <w:pPr>
              <w:pStyle w:val="TableContents"/>
              <w:spacing w:before="0" w:after="283"/>
              <w:rPr/>
            </w:pPr>
            <w:r>
              <w:rPr/>
              <w:t> </w:t>
            </w:r>
          </w:p>
        </w:tc>
        <w:tc>
          <w:tcPr>
            <w:tcW w:w="5758"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663"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4" w:type="dxa"/>
            <w:tcBorders/>
            <w:shd w:fill="FFFFFF" w:val="clear"/>
            <w:vAlign w:val="center"/>
          </w:tcPr>
          <w:p>
            <w:pPr>
              <w:pStyle w:val="TableContents"/>
              <w:spacing w:before="0" w:after="283"/>
              <w:rPr/>
            </w:pPr>
            <w:r>
              <w:rPr/>
              <w:t> </w:t>
            </w:r>
          </w:p>
        </w:tc>
        <w:tc>
          <w:tcPr>
            <w:tcW w:w="1668"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28" w:type="dxa"/>
            <w:tcBorders/>
            <w:shd w:fill="E5FFFF" w:val="clear"/>
            <w:vAlign w:val="bottom"/>
          </w:tcPr>
          <w:p>
            <w:pPr>
              <w:pStyle w:val="TableContents"/>
              <w:spacing w:before="0" w:after="283"/>
              <w:jc w:val="left"/>
              <w:rPr/>
            </w:pPr>
            <w:r>
              <w:rPr/>
              <w:t>      </w:t>
            </w:r>
          </w:p>
        </w:tc>
        <w:tc>
          <w:tcPr>
            <w:tcW w:w="5758" w:type="dxa"/>
            <w:tcBorders/>
            <w:shd w:fill="E5FFFF" w:val="clear"/>
            <w:vAlign w:val="bottom"/>
          </w:tcPr>
          <w:p>
            <w:pPr>
              <w:pStyle w:val="TableContents"/>
              <w:spacing w:before="0" w:after="283"/>
              <w:jc w:val="left"/>
              <w:rPr>
                <w:rFonts w:ascii="Arial" w:hAnsi="Arial"/>
              </w:rPr>
            </w:pPr>
            <w:r>
              <w:rPr>
                <w:rFonts w:ascii="Arial" w:hAnsi="Arial"/>
              </w:rPr>
              <w:t>Designated pools of trade receivables</w:t>
            </w:r>
          </w:p>
        </w:tc>
        <w:tc>
          <w:tcPr>
            <w:tcW w:w="244" w:type="dxa"/>
            <w:tcBorders/>
            <w:shd w:fill="E5FFFF" w:val="clear"/>
            <w:vAlign w:val="bottom"/>
          </w:tcPr>
          <w:p>
            <w:pPr>
              <w:pStyle w:val="TableContents"/>
              <w:spacing w:before="0" w:after="283"/>
              <w:jc w:val="right"/>
              <w:rPr/>
            </w:pPr>
            <w:r>
              <w:rPr/>
              <w:t>    </w:t>
            </w:r>
          </w:p>
        </w:tc>
        <w:tc>
          <w:tcPr>
            <w:tcW w:w="184" w:type="dxa"/>
            <w:tcBorders/>
            <w:shd w:fill="E5FFFF" w:val="clear"/>
            <w:vAlign w:val="bottom"/>
          </w:tcPr>
          <w:p>
            <w:pPr>
              <w:pStyle w:val="TableContents"/>
              <w:spacing w:before="0" w:after="283"/>
              <w:jc w:val="right"/>
              <w:rPr>
                <w:rFonts w:ascii="Arial" w:hAnsi="Arial"/>
              </w:rPr>
            </w:pPr>
            <w:r>
              <w:rPr>
                <w:rFonts w:ascii="Arial" w:hAnsi="Arial"/>
              </w:rPr>
              <w:t>$</w:t>
            </w:r>
          </w:p>
        </w:tc>
        <w:tc>
          <w:tcPr>
            <w:tcW w:w="1337" w:type="dxa"/>
            <w:tcBorders/>
            <w:shd w:fill="E5FFFF" w:val="clear"/>
            <w:vAlign w:val="bottom"/>
          </w:tcPr>
          <w:p>
            <w:pPr>
              <w:pStyle w:val="TableContents"/>
              <w:spacing w:before="0" w:after="283"/>
              <w:jc w:val="right"/>
              <w:rPr>
                <w:rFonts w:ascii="Arial" w:hAnsi="Arial"/>
              </w:rPr>
            </w:pPr>
            <w:r>
              <w:rPr>
                <w:rFonts w:ascii="Arial" w:hAnsi="Arial"/>
              </w:rPr>
              <w:t>1,250</w:t>
            </w:r>
          </w:p>
        </w:tc>
        <w:tc>
          <w:tcPr>
            <w:tcW w:w="142"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84" w:type="dxa"/>
            <w:tcBorders/>
            <w:shd w:fill="E5FFFF" w:val="clear"/>
            <w:vAlign w:val="bottom"/>
          </w:tcPr>
          <w:p>
            <w:pPr>
              <w:pStyle w:val="TableContents"/>
              <w:spacing w:before="0" w:after="283"/>
              <w:jc w:val="right"/>
              <w:rPr>
                <w:rFonts w:ascii="Arial" w:hAnsi="Arial"/>
              </w:rPr>
            </w:pPr>
            <w:r>
              <w:rPr>
                <w:rFonts w:ascii="Arial" w:hAnsi="Arial"/>
              </w:rPr>
              <w:t>$</w:t>
            </w:r>
          </w:p>
        </w:tc>
        <w:tc>
          <w:tcPr>
            <w:tcW w:w="1337" w:type="dxa"/>
            <w:tcBorders/>
            <w:shd w:fill="E5FFFF" w:val="clear"/>
            <w:vAlign w:val="bottom"/>
          </w:tcPr>
          <w:p>
            <w:pPr>
              <w:pStyle w:val="TableContents"/>
              <w:spacing w:before="0" w:after="283"/>
              <w:jc w:val="right"/>
              <w:rPr>
                <w:rFonts w:ascii="Arial" w:hAnsi="Arial"/>
              </w:rPr>
            </w:pPr>
            <w:r>
              <w:rPr>
                <w:rFonts w:ascii="Arial" w:hAnsi="Arial"/>
              </w:rPr>
              <w:t>1,251</w:t>
            </w:r>
          </w:p>
        </w:tc>
        <w:tc>
          <w:tcPr>
            <w:tcW w:w="147" w:type="dxa"/>
            <w:tcBorders/>
            <w:shd w:fill="E5FFFF" w:val="clear"/>
            <w:vAlign w:val="center"/>
          </w:tcPr>
          <w:p>
            <w:pPr>
              <w:pStyle w:val="TableContents"/>
              <w:spacing w:before="0" w:after="283"/>
              <w:rPr/>
            </w:pPr>
            <w:r>
              <w:rPr/>
              <w:t> </w:t>
            </w:r>
          </w:p>
        </w:tc>
      </w:tr>
      <w:tr>
        <w:trPr/>
        <w:tc>
          <w:tcPr>
            <w:tcW w:w="628" w:type="dxa"/>
            <w:tcBorders/>
            <w:shd w:fill="FFFFFF" w:val="clear"/>
            <w:vAlign w:val="bottom"/>
          </w:tcPr>
          <w:p>
            <w:pPr>
              <w:pStyle w:val="TableContents"/>
              <w:spacing w:before="0" w:after="283"/>
              <w:jc w:val="left"/>
              <w:rPr/>
            </w:pPr>
            <w:r>
              <w:rPr/>
              <w:t>      </w:t>
            </w:r>
          </w:p>
        </w:tc>
        <w:tc>
          <w:tcPr>
            <w:tcW w:w="5758" w:type="dxa"/>
            <w:tcBorders/>
            <w:shd w:fill="FFFFFF" w:val="clear"/>
            <w:vAlign w:val="bottom"/>
          </w:tcPr>
          <w:p>
            <w:pPr>
              <w:pStyle w:val="TableContents"/>
              <w:spacing w:before="0" w:after="283"/>
              <w:jc w:val="left"/>
              <w:rPr>
                <w:rFonts w:ascii="Arial" w:hAnsi="Arial"/>
              </w:rPr>
            </w:pPr>
            <w:r>
              <w:rPr>
                <w:rFonts w:ascii="Arial" w:hAnsi="Arial"/>
              </w:rPr>
              <w:t>Interest sold to third parties</w:t>
            </w:r>
          </w:p>
        </w:tc>
        <w:tc>
          <w:tcPr>
            <w:tcW w:w="244" w:type="dxa"/>
            <w:tcBorders/>
            <w:shd w:fill="FFFFFF" w:val="clear"/>
            <w:vAlign w:val="bottom"/>
          </w:tcPr>
          <w:p>
            <w:pPr>
              <w:pStyle w:val="TableContents"/>
              <w:spacing w:before="0" w:after="283"/>
              <w:jc w:val="right"/>
              <w:rPr/>
            </w:pPr>
            <w:r>
              <w:rPr/>
              <w:t>    </w:t>
            </w:r>
          </w:p>
        </w:tc>
        <w:tc>
          <w:tcPr>
            <w:tcW w:w="184" w:type="dxa"/>
            <w:tcBorders/>
            <w:shd w:fill="FFFFFF" w:val="clear"/>
            <w:vAlign w:val="center"/>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Arial" w:hAnsi="Arial"/>
              </w:rPr>
            </w:pPr>
            <w:r>
              <w:rPr>
                <w:rFonts w:ascii="Arial" w:hAnsi="Arial"/>
              </w:rPr>
              <w:t>(500</w:t>
            </w:r>
          </w:p>
        </w:tc>
        <w:tc>
          <w:tcPr>
            <w:tcW w:w="142" w:type="dxa"/>
            <w:tcBorders/>
            <w:shd w:fill="FFFFFF" w:val="clear"/>
            <w:vAlign w:val="bottom"/>
          </w:tcPr>
          <w:p>
            <w:pPr>
              <w:pStyle w:val="TableContents"/>
              <w:spacing w:before="0" w:after="283"/>
              <w:jc w:val="left"/>
              <w:rPr>
                <w:rFonts w:ascii="Arial" w:hAnsi="Arial"/>
              </w:rPr>
            </w:pPr>
            <w:r>
              <w:rPr>
                <w:rFonts w:ascii="Arial" w:hAnsi="Arial"/>
              </w:rPr>
              <w:t>)</w:t>
            </w:r>
          </w:p>
        </w:tc>
        <w:tc>
          <w:tcPr>
            <w:tcW w:w="244" w:type="dxa"/>
            <w:tcBorders/>
            <w:shd w:fill="FFFFFF" w:val="clear"/>
            <w:vAlign w:val="bottom"/>
          </w:tcPr>
          <w:p>
            <w:pPr>
              <w:pStyle w:val="TableContents"/>
              <w:spacing w:before="0" w:after="283"/>
              <w:jc w:val="right"/>
              <w:rPr/>
            </w:pPr>
            <w:r>
              <w:rPr/>
              <w:t>    </w:t>
            </w:r>
          </w:p>
        </w:tc>
        <w:tc>
          <w:tcPr>
            <w:tcW w:w="184" w:type="dxa"/>
            <w:tcBorders/>
            <w:shd w:fill="FFFFFF" w:val="clear"/>
            <w:vAlign w:val="center"/>
          </w:tcPr>
          <w:p>
            <w:pPr>
              <w:pStyle w:val="TableContents"/>
              <w:spacing w:before="0" w:after="283"/>
              <w:rPr/>
            </w:pPr>
            <w:r>
              <w:rPr/>
              <w:t> </w:t>
            </w:r>
          </w:p>
        </w:tc>
        <w:tc>
          <w:tcPr>
            <w:tcW w:w="1337" w:type="dxa"/>
            <w:tcBorders/>
            <w:shd w:fill="FFFFFF" w:val="clear"/>
            <w:vAlign w:val="bottom"/>
          </w:tcPr>
          <w:p>
            <w:pPr>
              <w:pStyle w:val="TableContents"/>
              <w:spacing w:before="0" w:after="283"/>
              <w:jc w:val="right"/>
              <w:rPr>
                <w:rFonts w:ascii="Arial" w:hAnsi="Arial"/>
              </w:rPr>
            </w:pPr>
            <w:r>
              <w:rPr>
                <w:rFonts w:ascii="Arial" w:hAnsi="Arial"/>
              </w:rPr>
              <w:t>(500</w:t>
            </w:r>
          </w:p>
        </w:tc>
        <w:tc>
          <w:tcPr>
            <w:tcW w:w="147"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28" w:type="dxa"/>
            <w:tcBorders/>
            <w:shd w:fill="E5FFFF" w:val="clear"/>
            <w:vAlign w:val="center"/>
          </w:tcPr>
          <w:p>
            <w:pPr>
              <w:pStyle w:val="TableContents"/>
              <w:spacing w:before="0" w:after="283"/>
              <w:rPr/>
            </w:pPr>
            <w:r>
              <w:rPr/>
              <w:t> </w:t>
            </w:r>
          </w:p>
        </w:tc>
        <w:tc>
          <w:tcPr>
            <w:tcW w:w="5758"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84" w:type="dxa"/>
            <w:tcBorders/>
            <w:shd w:fill="E5FFFF" w:val="clear"/>
            <w:vAlign w:val="center"/>
          </w:tcPr>
          <w:p>
            <w:pPr>
              <w:pStyle w:val="TableContents"/>
              <w:spacing w:before="0" w:after="283"/>
              <w:rPr/>
            </w:pPr>
            <w:r>
              <w:rPr/>
              <w:t> </w:t>
            </w:r>
          </w:p>
        </w:tc>
        <w:tc>
          <w:tcPr>
            <w:tcW w:w="1337" w:type="dxa"/>
            <w:tcBorders/>
            <w:shd w:fill="E5FFFF" w:val="clear"/>
            <w:vAlign w:val="bottom"/>
          </w:tcPr>
          <w:p>
            <w:pPr>
              <w:pStyle w:val="HorizontalLine"/>
              <w:pBdr>
                <w:bottom w:val="single" w:sz="6" w:space="0" w:color="000000"/>
              </w:pBdr>
              <w:spacing w:before="0" w:after="283"/>
              <w:rPr/>
            </w:pPr>
            <w:r>
              <w:rPr/>
            </w:r>
          </w:p>
        </w:tc>
        <w:tc>
          <w:tcPr>
            <w:tcW w:w="142"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84" w:type="dxa"/>
            <w:tcBorders/>
            <w:shd w:fill="E5FFFF" w:val="clear"/>
            <w:vAlign w:val="center"/>
          </w:tcPr>
          <w:p>
            <w:pPr>
              <w:pStyle w:val="TableContents"/>
              <w:spacing w:before="0" w:after="283"/>
              <w:rPr/>
            </w:pPr>
            <w:r>
              <w:rPr/>
              <w:t> </w:t>
            </w:r>
          </w:p>
        </w:tc>
        <w:tc>
          <w:tcPr>
            <w:tcW w:w="1337" w:type="dxa"/>
            <w:tcBorders/>
            <w:shd w:fill="E5FFFF" w:val="clear"/>
            <w:vAlign w:val="bottom"/>
          </w:tcPr>
          <w:p>
            <w:pPr>
              <w:pStyle w:val="HorizontalLine"/>
              <w:pBdr>
                <w:bottom w:val="single" w:sz="6" w:space="0" w:color="000000"/>
              </w:pBdr>
              <w:spacing w:before="0" w:after="283"/>
              <w:rPr/>
            </w:pPr>
            <w:r>
              <w:rPr/>
            </w:r>
          </w:p>
        </w:tc>
        <w:tc>
          <w:tcPr>
            <w:tcW w:w="147" w:type="dxa"/>
            <w:tcBorders/>
            <w:shd w:fill="E5FFFF" w:val="clear"/>
            <w:vAlign w:val="center"/>
          </w:tcPr>
          <w:p>
            <w:pPr>
              <w:pStyle w:val="TableContents"/>
              <w:spacing w:before="0" w:after="283"/>
              <w:rPr/>
            </w:pPr>
            <w:r>
              <w:rPr/>
              <w:t> </w:t>
            </w:r>
          </w:p>
        </w:tc>
      </w:tr>
      <w:tr>
        <w:trPr/>
        <w:tc>
          <w:tcPr>
            <w:tcW w:w="628" w:type="dxa"/>
            <w:tcBorders/>
            <w:shd w:fill="FFFFFF" w:val="clear"/>
            <w:vAlign w:val="bottom"/>
          </w:tcPr>
          <w:p>
            <w:pPr>
              <w:pStyle w:val="TableContents"/>
              <w:spacing w:before="0" w:after="283"/>
              <w:jc w:val="left"/>
              <w:rPr/>
            </w:pPr>
            <w:r>
              <w:rPr/>
              <w:t>      </w:t>
            </w:r>
          </w:p>
        </w:tc>
        <w:tc>
          <w:tcPr>
            <w:tcW w:w="5758" w:type="dxa"/>
            <w:tcBorders/>
            <w:shd w:fill="FFFFFF" w:val="clear"/>
            <w:vAlign w:val="bottom"/>
          </w:tcPr>
          <w:p>
            <w:pPr>
              <w:pStyle w:val="TableContents"/>
              <w:spacing w:before="0" w:after="283"/>
              <w:jc w:val="left"/>
              <w:rPr>
                <w:rFonts w:ascii="Arial" w:hAnsi="Arial"/>
              </w:rPr>
            </w:pPr>
            <w:r>
              <w:rPr>
                <w:rFonts w:ascii="Arial" w:hAnsi="Arial"/>
              </w:rPr>
              <w:t>Retained interest</w:t>
            </w:r>
          </w:p>
        </w:tc>
        <w:tc>
          <w:tcPr>
            <w:tcW w:w="244"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right"/>
              <w:rPr>
                <w:rFonts w:ascii="Arial" w:hAnsi="Arial"/>
              </w:rPr>
            </w:pPr>
            <w:r>
              <w:rPr>
                <w:rFonts w:ascii="Arial" w:hAnsi="Arial"/>
              </w:rPr>
              <w:t>$</w:t>
            </w:r>
          </w:p>
        </w:tc>
        <w:tc>
          <w:tcPr>
            <w:tcW w:w="1337" w:type="dxa"/>
            <w:tcBorders/>
            <w:shd w:fill="FFFFFF" w:val="clear"/>
            <w:vAlign w:val="bottom"/>
          </w:tcPr>
          <w:p>
            <w:pPr>
              <w:pStyle w:val="TableContents"/>
              <w:spacing w:before="0" w:after="283"/>
              <w:jc w:val="right"/>
              <w:rPr>
                <w:rFonts w:ascii="Arial" w:hAnsi="Arial"/>
              </w:rPr>
            </w:pPr>
            <w:r>
              <w:rPr>
                <w:rFonts w:ascii="Arial" w:hAnsi="Arial"/>
              </w:rPr>
              <w:t>750</w:t>
            </w:r>
          </w:p>
        </w:tc>
        <w:tc>
          <w:tcPr>
            <w:tcW w:w="142"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184" w:type="dxa"/>
            <w:tcBorders/>
            <w:shd w:fill="FFFFFF" w:val="clear"/>
            <w:vAlign w:val="bottom"/>
          </w:tcPr>
          <w:p>
            <w:pPr>
              <w:pStyle w:val="TableContents"/>
              <w:spacing w:before="0" w:after="283"/>
              <w:jc w:val="right"/>
              <w:rPr>
                <w:rFonts w:ascii="Arial" w:hAnsi="Arial"/>
              </w:rPr>
            </w:pPr>
            <w:r>
              <w:rPr>
                <w:rFonts w:ascii="Arial" w:hAnsi="Arial"/>
              </w:rPr>
              <w:t>$</w:t>
            </w:r>
          </w:p>
        </w:tc>
        <w:tc>
          <w:tcPr>
            <w:tcW w:w="1337" w:type="dxa"/>
            <w:tcBorders/>
            <w:shd w:fill="FFFFFF" w:val="clear"/>
            <w:vAlign w:val="bottom"/>
          </w:tcPr>
          <w:p>
            <w:pPr>
              <w:pStyle w:val="TableContents"/>
              <w:spacing w:before="0" w:after="283"/>
              <w:jc w:val="right"/>
              <w:rPr>
                <w:rFonts w:ascii="Arial" w:hAnsi="Arial"/>
              </w:rPr>
            </w:pPr>
            <w:r>
              <w:rPr>
                <w:rFonts w:ascii="Arial" w:hAnsi="Arial"/>
              </w:rPr>
              <w:t>751</w:t>
            </w:r>
          </w:p>
        </w:tc>
        <w:tc>
          <w:tcPr>
            <w:tcW w:w="147" w:type="dxa"/>
            <w:tcBorders/>
            <w:shd w:fill="FFFFFF" w:val="clear"/>
            <w:vAlign w:val="center"/>
          </w:tcPr>
          <w:p>
            <w:pPr>
              <w:pStyle w:val="TableContents"/>
              <w:spacing w:before="0" w:after="283"/>
              <w:rPr/>
            </w:pPr>
            <w:r>
              <w:rPr/>
              <w:t> </w:t>
            </w:r>
          </w:p>
        </w:tc>
      </w:tr>
      <w:tr>
        <w:trPr/>
        <w:tc>
          <w:tcPr>
            <w:tcW w:w="628" w:type="dxa"/>
            <w:tcBorders/>
            <w:shd w:fill="E5FFFF" w:val="clear"/>
            <w:vAlign w:val="center"/>
          </w:tcPr>
          <w:p>
            <w:pPr>
              <w:pStyle w:val="TableContents"/>
              <w:spacing w:before="0" w:after="283"/>
              <w:rPr/>
            </w:pPr>
            <w:r>
              <w:rPr/>
              <w:t> </w:t>
            </w:r>
          </w:p>
        </w:tc>
        <w:tc>
          <w:tcPr>
            <w:tcW w:w="5758"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84" w:type="dxa"/>
            <w:tcBorders/>
            <w:shd w:fill="E5FFFF" w:val="clear"/>
            <w:vAlign w:val="center"/>
          </w:tcPr>
          <w:p>
            <w:pPr>
              <w:pStyle w:val="TableContents"/>
              <w:spacing w:before="0" w:after="283"/>
              <w:rPr/>
            </w:pPr>
            <w:r>
              <w:rPr/>
              <w:t> </w:t>
            </w:r>
          </w:p>
        </w:tc>
        <w:tc>
          <w:tcPr>
            <w:tcW w:w="1337" w:type="dxa"/>
            <w:tcBorders/>
            <w:shd w:fill="E5FFFF" w:val="clear"/>
            <w:vAlign w:val="bottom"/>
          </w:tcPr>
          <w:p>
            <w:pPr>
              <w:pStyle w:val="HorizontalLine"/>
              <w:pBdr>
                <w:bottom w:val="single" w:sz="18" w:space="0" w:color="000000"/>
              </w:pBdr>
              <w:spacing w:before="0" w:after="283"/>
              <w:rPr/>
            </w:pPr>
            <w:r>
              <w:rPr/>
            </w:r>
          </w:p>
        </w:tc>
        <w:tc>
          <w:tcPr>
            <w:tcW w:w="142"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84" w:type="dxa"/>
            <w:tcBorders/>
            <w:shd w:fill="E5FFFF" w:val="clear"/>
            <w:vAlign w:val="center"/>
          </w:tcPr>
          <w:p>
            <w:pPr>
              <w:pStyle w:val="TableContents"/>
              <w:spacing w:before="0" w:after="283"/>
              <w:rPr/>
            </w:pPr>
            <w:r>
              <w:rPr/>
              <w:t> </w:t>
            </w:r>
          </w:p>
        </w:tc>
        <w:tc>
          <w:tcPr>
            <w:tcW w:w="1337" w:type="dxa"/>
            <w:tcBorders/>
            <w:shd w:fill="E5FFFF" w:val="clear"/>
            <w:vAlign w:val="bottom"/>
          </w:tcPr>
          <w:p>
            <w:pPr>
              <w:pStyle w:val="HorizontalLine"/>
              <w:pBdr>
                <w:bottom w:val="single" w:sz="18" w:space="0" w:color="000000"/>
              </w:pBdr>
              <w:spacing w:before="0" w:after="283"/>
              <w:rPr/>
            </w:pPr>
            <w:r>
              <w:rPr/>
            </w:r>
          </w:p>
        </w:tc>
        <w:tc>
          <w:tcPr>
            <w:tcW w:w="147" w:type="dxa"/>
            <w:tcBorders/>
            <w:shd w:fill="E5FFFF" w:val="clear"/>
            <w:vAlign w:val="center"/>
          </w:tcPr>
          <w:p>
            <w:pPr>
              <w:pStyle w:val="TableContents"/>
              <w:spacing w:before="0" w:after="283"/>
              <w:rPr/>
            </w:pPr>
            <w:r>
              <w:rPr/>
              <w:t> </w:t>
            </w:r>
          </w:p>
        </w:tc>
      </w:tr>
      <w:tr>
        <w:trPr/>
        <w:tc>
          <w:tcPr>
            <w:tcW w:w="628" w:type="dxa"/>
            <w:tcBorders/>
            <w:shd w:fill="FFFFFF" w:val="clear"/>
            <w:vAlign w:val="bottom"/>
          </w:tcPr>
          <w:p>
            <w:pPr>
              <w:pStyle w:val="TableContents"/>
              <w:spacing w:before="0" w:after="283"/>
              <w:jc w:val="left"/>
              <w:rPr/>
            </w:pPr>
            <w:r>
              <w:rPr/>
              <w:t>      </w:t>
            </w:r>
          </w:p>
        </w:tc>
        <w:tc>
          <w:tcPr>
            <w:tcW w:w="5758" w:type="dxa"/>
            <w:tcBorders/>
            <w:shd w:fill="FFFFFF" w:val="clear"/>
            <w:vAlign w:val="bottom"/>
          </w:tcPr>
          <w:p>
            <w:pPr>
              <w:pStyle w:val="TableContents"/>
              <w:spacing w:before="0" w:after="283"/>
              <w:rPr>
                <w:sz w:val="4"/>
                <w:szCs w:val="4"/>
              </w:rPr>
            </w:pPr>
            <w:r>
              <w:rPr>
                <w:sz w:val="4"/>
                <w:szCs w:val="4"/>
              </w:rPr>
            </w:r>
          </w:p>
        </w:tc>
        <w:tc>
          <w:tcPr>
            <w:tcW w:w="244"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1337"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84" w:type="dxa"/>
            <w:tcBorders/>
            <w:shd w:fill="FFFFFF" w:val="clear"/>
            <w:vAlign w:val="center"/>
          </w:tcPr>
          <w:p>
            <w:pPr>
              <w:pStyle w:val="TableContents"/>
              <w:spacing w:before="0" w:after="283"/>
              <w:rPr/>
            </w:pPr>
            <w:r>
              <w:rPr/>
              <w:t> </w:t>
            </w:r>
          </w:p>
        </w:tc>
        <w:tc>
          <w:tcPr>
            <w:tcW w:w="1337"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Losses on sales of receivables were $27, $18 and $9 million in 2006, 2005 and 2004, respectively. No credit losses were incurred during those years.</w:t>
      </w:r>
    </w:p>
    <w:p>
      <w:pPr>
        <w:pStyle w:val="TextBody"/>
        <w:jc w:val="left"/>
        <w:rPr>
          <w:rFonts w:ascii="Arial" w:hAnsi="Arial"/>
          <w:b/>
        </w:rPr>
      </w:pPr>
      <w:r>
        <w:rPr>
          <w:rFonts w:ascii="Arial" w:hAnsi="Arial"/>
          <w:b/>
        </w:rPr>
        <w:t>Note 9—Inventories</w:t>
      </w:r>
    </w:p>
    <w:tbl>
      <w:tblPr>
        <w:tblW w:w="5000" w:type="pct"/>
        <w:jc w:val="left"/>
        <w:tblInd w:w="0" w:type="dxa"/>
        <w:tblCellMar>
          <w:top w:w="0" w:type="dxa"/>
          <w:left w:w="0" w:type="dxa"/>
          <w:bottom w:w="0" w:type="dxa"/>
          <w:right w:w="0" w:type="dxa"/>
        </w:tblCellMar>
      </w:tblPr>
      <w:tblGrid>
        <w:gridCol w:w="642"/>
        <w:gridCol w:w="5935"/>
        <w:gridCol w:w="243"/>
        <w:gridCol w:w="225"/>
        <w:gridCol w:w="1219"/>
        <w:gridCol w:w="144"/>
        <w:gridCol w:w="243"/>
        <w:gridCol w:w="185"/>
        <w:gridCol w:w="1219"/>
        <w:gridCol w:w="150"/>
      </w:tblGrid>
      <w:tr>
        <w:trPr/>
        <w:tc>
          <w:tcPr>
            <w:tcW w:w="642" w:type="dxa"/>
            <w:tcBorders/>
            <w:shd w:fill="FFFFFF" w:val="clear"/>
            <w:vAlign w:val="center"/>
          </w:tcPr>
          <w:p>
            <w:pPr>
              <w:pStyle w:val="TableContents"/>
              <w:spacing w:before="0" w:after="283"/>
              <w:rPr/>
            </w:pPr>
            <w:r>
              <w:rPr/>
              <w:t> </w:t>
            </w:r>
          </w:p>
        </w:tc>
        <w:tc>
          <w:tcPr>
            <w:tcW w:w="5935"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3385"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42" w:type="dxa"/>
            <w:tcBorders/>
            <w:shd w:fill="FFFFFF" w:val="clear"/>
            <w:vAlign w:val="center"/>
          </w:tcPr>
          <w:p>
            <w:pPr>
              <w:pStyle w:val="TableContents"/>
              <w:spacing w:before="0" w:after="283"/>
              <w:rPr/>
            </w:pPr>
            <w:r>
              <w:rPr/>
              <w:t> </w:t>
            </w:r>
          </w:p>
        </w:tc>
        <w:tc>
          <w:tcPr>
            <w:tcW w:w="5935"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58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3" w:type="dxa"/>
            <w:tcBorders/>
            <w:shd w:fill="FFFFFF" w:val="clear"/>
            <w:vAlign w:val="center"/>
          </w:tcPr>
          <w:p>
            <w:pPr>
              <w:pStyle w:val="TableContents"/>
              <w:spacing w:before="0" w:after="283"/>
              <w:rPr/>
            </w:pPr>
            <w:r>
              <w:rPr/>
              <w:t> </w:t>
            </w:r>
          </w:p>
        </w:tc>
        <w:tc>
          <w:tcPr>
            <w:tcW w:w="155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42" w:type="dxa"/>
            <w:tcBorders/>
            <w:shd w:fill="FFFFFF" w:val="clear"/>
            <w:vAlign w:val="bottom"/>
          </w:tcPr>
          <w:p>
            <w:pPr>
              <w:pStyle w:val="TableContents"/>
              <w:spacing w:before="0" w:after="283"/>
              <w:jc w:val="left"/>
              <w:rPr/>
            </w:pPr>
            <w:r>
              <w:rPr/>
              <w:t>      </w:t>
            </w:r>
          </w:p>
        </w:tc>
        <w:tc>
          <w:tcPr>
            <w:tcW w:w="5935" w:type="dxa"/>
            <w:tcBorders/>
            <w:shd w:fill="FFFFFF" w:val="clear"/>
            <w:vAlign w:val="bottom"/>
          </w:tcPr>
          <w:p>
            <w:pPr>
              <w:pStyle w:val="TableContents"/>
              <w:spacing w:before="0" w:after="283"/>
              <w:jc w:val="left"/>
              <w:rPr>
                <w:rFonts w:ascii="Arial" w:hAnsi="Arial"/>
              </w:rPr>
            </w:pPr>
            <w:r>
              <w:rPr>
                <w:rFonts w:ascii="Arial" w:hAnsi="Arial"/>
              </w:rPr>
              <w:t>Raw materials</w:t>
            </w:r>
          </w:p>
        </w:tc>
        <w:tc>
          <w:tcPr>
            <w:tcW w:w="243" w:type="dxa"/>
            <w:tcBorders/>
            <w:shd w:fill="FFFFFF" w:val="clear"/>
            <w:vAlign w:val="bottom"/>
          </w:tcPr>
          <w:p>
            <w:pPr>
              <w:pStyle w:val="TableContents"/>
              <w:spacing w:before="0" w:after="283"/>
              <w:jc w:val="right"/>
              <w:rPr/>
            </w:pPr>
            <w:r>
              <w:rPr/>
              <w:t>    </w:t>
            </w:r>
          </w:p>
        </w:tc>
        <w:tc>
          <w:tcPr>
            <w:tcW w:w="225" w:type="dxa"/>
            <w:tcBorders/>
            <w:shd w:fill="FFFFFF" w:val="clear"/>
            <w:vAlign w:val="bottom"/>
          </w:tcPr>
          <w:p>
            <w:pPr>
              <w:pStyle w:val="TableContents"/>
              <w:spacing w:before="0" w:after="283"/>
              <w:jc w:val="right"/>
              <w:rPr>
                <w:rFonts w:ascii="Arial" w:hAnsi="Arial"/>
              </w:rPr>
            </w:pPr>
            <w:r>
              <w:rPr>
                <w:rFonts w:ascii="Arial" w:hAnsi="Arial"/>
              </w:rPr>
              <w:t>$</w:t>
            </w:r>
          </w:p>
        </w:tc>
        <w:tc>
          <w:tcPr>
            <w:tcW w:w="1219" w:type="dxa"/>
            <w:tcBorders/>
            <w:shd w:fill="FFFFFF" w:val="clear"/>
            <w:vAlign w:val="bottom"/>
          </w:tcPr>
          <w:p>
            <w:pPr>
              <w:pStyle w:val="TableContents"/>
              <w:spacing w:before="0" w:after="283"/>
              <w:jc w:val="right"/>
              <w:rPr>
                <w:rFonts w:ascii="Arial" w:hAnsi="Arial"/>
              </w:rPr>
            </w:pPr>
            <w:r>
              <w:rPr>
                <w:rFonts w:ascii="Arial" w:hAnsi="Arial"/>
              </w:rPr>
              <w:t>1,625</w:t>
            </w:r>
          </w:p>
        </w:tc>
        <w:tc>
          <w:tcPr>
            <w:tcW w:w="144"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right"/>
              <w:rPr>
                <w:rFonts w:ascii="Arial" w:hAnsi="Arial"/>
              </w:rPr>
            </w:pPr>
            <w:r>
              <w:rPr>
                <w:rFonts w:ascii="Arial" w:hAnsi="Arial"/>
              </w:rPr>
              <w:t>$</w:t>
            </w:r>
          </w:p>
        </w:tc>
        <w:tc>
          <w:tcPr>
            <w:tcW w:w="1219" w:type="dxa"/>
            <w:tcBorders/>
            <w:shd w:fill="FFFFFF" w:val="clear"/>
            <w:vAlign w:val="bottom"/>
          </w:tcPr>
          <w:p>
            <w:pPr>
              <w:pStyle w:val="TableContents"/>
              <w:spacing w:before="0" w:after="283"/>
              <w:jc w:val="right"/>
              <w:rPr>
                <w:rFonts w:ascii="Arial" w:hAnsi="Arial"/>
              </w:rPr>
            </w:pPr>
            <w:r>
              <w:rPr>
                <w:rFonts w:ascii="Arial" w:hAnsi="Arial"/>
              </w:rPr>
              <w:t>1,438</w:t>
            </w:r>
          </w:p>
        </w:tc>
        <w:tc>
          <w:tcPr>
            <w:tcW w:w="150" w:type="dxa"/>
            <w:tcBorders/>
            <w:shd w:fill="FFFFFF" w:val="clear"/>
            <w:vAlign w:val="center"/>
          </w:tcPr>
          <w:p>
            <w:pPr>
              <w:pStyle w:val="TableContents"/>
              <w:spacing w:before="0" w:after="283"/>
              <w:rPr/>
            </w:pPr>
            <w:r>
              <w:rPr/>
              <w:t> </w:t>
            </w:r>
          </w:p>
        </w:tc>
      </w:tr>
      <w:tr>
        <w:trPr/>
        <w:tc>
          <w:tcPr>
            <w:tcW w:w="642" w:type="dxa"/>
            <w:tcBorders/>
            <w:shd w:fill="E5FFFF" w:val="clear"/>
            <w:vAlign w:val="bottom"/>
          </w:tcPr>
          <w:p>
            <w:pPr>
              <w:pStyle w:val="TableContents"/>
              <w:spacing w:before="0" w:after="283"/>
              <w:jc w:val="left"/>
              <w:rPr/>
            </w:pPr>
            <w:r>
              <w:rPr/>
              <w:t>      </w:t>
            </w:r>
          </w:p>
        </w:tc>
        <w:tc>
          <w:tcPr>
            <w:tcW w:w="5935" w:type="dxa"/>
            <w:tcBorders/>
            <w:shd w:fill="E5FFFF" w:val="clear"/>
            <w:vAlign w:val="bottom"/>
          </w:tcPr>
          <w:p>
            <w:pPr>
              <w:pStyle w:val="TableContents"/>
              <w:spacing w:before="0" w:after="283"/>
              <w:jc w:val="left"/>
              <w:rPr>
                <w:rFonts w:ascii="Arial" w:hAnsi="Arial"/>
              </w:rPr>
            </w:pPr>
            <w:r>
              <w:rPr>
                <w:rFonts w:ascii="Arial" w:hAnsi="Arial"/>
              </w:rPr>
              <w:t>Work in process</w:t>
            </w:r>
          </w:p>
        </w:tc>
        <w:tc>
          <w:tcPr>
            <w:tcW w:w="243" w:type="dxa"/>
            <w:tcBorders/>
            <w:shd w:fill="E5FFFF" w:val="clear"/>
            <w:vAlign w:val="bottom"/>
          </w:tcPr>
          <w:p>
            <w:pPr>
              <w:pStyle w:val="TableContents"/>
              <w:spacing w:before="0" w:after="283"/>
              <w:jc w:val="right"/>
              <w:rPr/>
            </w:pPr>
            <w:r>
              <w:rPr/>
              <w:t>    </w:t>
            </w:r>
          </w:p>
        </w:tc>
        <w:tc>
          <w:tcPr>
            <w:tcW w:w="225"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TableContents"/>
              <w:spacing w:before="0" w:after="283"/>
              <w:jc w:val="right"/>
              <w:rPr>
                <w:rFonts w:ascii="Arial" w:hAnsi="Arial"/>
              </w:rPr>
            </w:pPr>
            <w:r>
              <w:rPr>
                <w:rFonts w:ascii="Arial" w:hAnsi="Arial"/>
              </w:rPr>
              <w:t>808</w:t>
            </w:r>
          </w:p>
        </w:tc>
        <w:tc>
          <w:tcPr>
            <w:tcW w:w="144"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TableContents"/>
              <w:spacing w:before="0" w:after="283"/>
              <w:jc w:val="right"/>
              <w:rPr>
                <w:rFonts w:ascii="Arial" w:hAnsi="Arial"/>
              </w:rPr>
            </w:pPr>
            <w:r>
              <w:rPr>
                <w:rFonts w:ascii="Arial" w:hAnsi="Arial"/>
              </w:rPr>
              <w:t>695</w:t>
            </w:r>
          </w:p>
        </w:tc>
        <w:tc>
          <w:tcPr>
            <w:tcW w:w="150" w:type="dxa"/>
            <w:tcBorders/>
            <w:shd w:fill="E5FFFF" w:val="clear"/>
            <w:vAlign w:val="center"/>
          </w:tcPr>
          <w:p>
            <w:pPr>
              <w:pStyle w:val="TableContents"/>
              <w:spacing w:before="0" w:after="283"/>
              <w:rPr/>
            </w:pPr>
            <w:r>
              <w:rPr/>
              <w:t> </w:t>
            </w:r>
          </w:p>
        </w:tc>
      </w:tr>
      <w:tr>
        <w:trPr/>
        <w:tc>
          <w:tcPr>
            <w:tcW w:w="642" w:type="dxa"/>
            <w:tcBorders/>
            <w:shd w:fill="FFFFFF" w:val="clear"/>
            <w:vAlign w:val="bottom"/>
          </w:tcPr>
          <w:p>
            <w:pPr>
              <w:pStyle w:val="TableContents"/>
              <w:spacing w:before="0" w:after="283"/>
              <w:jc w:val="left"/>
              <w:rPr/>
            </w:pPr>
            <w:r>
              <w:rPr/>
              <w:t>      </w:t>
            </w:r>
          </w:p>
        </w:tc>
        <w:tc>
          <w:tcPr>
            <w:tcW w:w="5935" w:type="dxa"/>
            <w:tcBorders/>
            <w:shd w:fill="FFFFFF" w:val="clear"/>
            <w:vAlign w:val="bottom"/>
          </w:tcPr>
          <w:p>
            <w:pPr>
              <w:pStyle w:val="TableContents"/>
              <w:spacing w:before="0" w:after="283"/>
              <w:jc w:val="left"/>
              <w:rPr>
                <w:rFonts w:ascii="Arial" w:hAnsi="Arial"/>
              </w:rPr>
            </w:pPr>
            <w:r>
              <w:rPr>
                <w:rFonts w:ascii="Arial" w:hAnsi="Arial"/>
              </w:rPr>
              <w:t>Finished products</w:t>
            </w:r>
          </w:p>
        </w:tc>
        <w:tc>
          <w:tcPr>
            <w:tcW w:w="243"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1,342</w:t>
            </w:r>
          </w:p>
        </w:tc>
        <w:tc>
          <w:tcPr>
            <w:tcW w:w="144"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1,427</w:t>
            </w:r>
          </w:p>
        </w:tc>
        <w:tc>
          <w:tcPr>
            <w:tcW w:w="150" w:type="dxa"/>
            <w:tcBorders/>
            <w:shd w:fill="FFFFFF" w:val="clear"/>
            <w:vAlign w:val="center"/>
          </w:tcPr>
          <w:p>
            <w:pPr>
              <w:pStyle w:val="TableContents"/>
              <w:spacing w:before="0" w:after="283"/>
              <w:rPr/>
            </w:pPr>
            <w:r>
              <w:rPr/>
              <w:t> </w:t>
            </w:r>
          </w:p>
        </w:tc>
      </w:tr>
      <w:tr>
        <w:trPr/>
        <w:tc>
          <w:tcPr>
            <w:tcW w:w="642" w:type="dxa"/>
            <w:tcBorders/>
            <w:shd w:fill="E5FFFF" w:val="clear"/>
            <w:vAlign w:val="center"/>
          </w:tcPr>
          <w:p>
            <w:pPr>
              <w:pStyle w:val="TableContents"/>
              <w:spacing w:before="0" w:after="283"/>
              <w:rPr/>
            </w:pPr>
            <w:r>
              <w:rPr/>
              <w:t> </w:t>
            </w:r>
          </w:p>
        </w:tc>
        <w:tc>
          <w:tcPr>
            <w:tcW w:w="5935"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225"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HorizontalLine"/>
              <w:pBdr>
                <w:bottom w:val="single" w:sz="6"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HorizontalLine"/>
              <w:pBdr>
                <w:bottom w:val="single" w:sz="6" w:space="0" w:color="000000"/>
              </w:pBdr>
              <w:spacing w:before="0" w:after="283"/>
              <w:rPr/>
            </w:pPr>
            <w:r>
              <w:rPr/>
            </w:r>
          </w:p>
        </w:tc>
        <w:tc>
          <w:tcPr>
            <w:tcW w:w="150" w:type="dxa"/>
            <w:tcBorders/>
            <w:shd w:fill="E5FFFF" w:val="clear"/>
            <w:vAlign w:val="center"/>
          </w:tcPr>
          <w:p>
            <w:pPr>
              <w:pStyle w:val="TableContents"/>
              <w:spacing w:before="0" w:after="283"/>
              <w:rPr/>
            </w:pPr>
            <w:r>
              <w:rPr/>
              <w:t> </w:t>
            </w:r>
          </w:p>
        </w:tc>
      </w:tr>
      <w:tr>
        <w:trPr/>
        <w:tc>
          <w:tcPr>
            <w:tcW w:w="642" w:type="dxa"/>
            <w:tcBorders/>
            <w:shd w:fill="FFFFFF" w:val="clear"/>
            <w:vAlign w:val="bottom"/>
          </w:tcPr>
          <w:p>
            <w:pPr>
              <w:pStyle w:val="TableContents"/>
              <w:spacing w:before="0" w:after="283"/>
              <w:jc w:val="left"/>
              <w:rPr/>
            </w:pPr>
            <w:r>
              <w:rPr/>
              <w:t>      </w:t>
            </w:r>
          </w:p>
        </w:tc>
        <w:tc>
          <w:tcPr>
            <w:tcW w:w="5935" w:type="dxa"/>
            <w:tcBorders/>
            <w:shd w:fill="FFFFFF" w:val="clear"/>
            <w:vAlign w:val="bottom"/>
          </w:tcPr>
          <w:p>
            <w:pPr>
              <w:pStyle w:val="TableContents"/>
              <w:spacing w:before="0" w:after="283"/>
              <w:rPr>
                <w:sz w:val="4"/>
                <w:szCs w:val="4"/>
              </w:rPr>
            </w:pPr>
            <w:r>
              <w:rPr>
                <w:sz w:val="4"/>
                <w:szCs w:val="4"/>
              </w:rPr>
            </w:r>
          </w:p>
        </w:tc>
        <w:tc>
          <w:tcPr>
            <w:tcW w:w="243"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3,775</w:t>
            </w:r>
          </w:p>
        </w:tc>
        <w:tc>
          <w:tcPr>
            <w:tcW w:w="144"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3,560</w:t>
            </w:r>
          </w:p>
        </w:tc>
        <w:tc>
          <w:tcPr>
            <w:tcW w:w="150" w:type="dxa"/>
            <w:tcBorders/>
            <w:shd w:fill="FFFFFF" w:val="clear"/>
            <w:vAlign w:val="center"/>
          </w:tcPr>
          <w:p>
            <w:pPr>
              <w:pStyle w:val="TableContents"/>
              <w:spacing w:before="0" w:after="283"/>
              <w:rPr/>
            </w:pPr>
            <w:r>
              <w:rPr/>
              <w:t> </w:t>
            </w:r>
          </w:p>
        </w:tc>
      </w:tr>
      <w:tr>
        <w:trPr/>
        <w:tc>
          <w:tcPr>
            <w:tcW w:w="642" w:type="dxa"/>
            <w:tcBorders/>
            <w:shd w:fill="E5FFFF" w:val="clear"/>
            <w:vAlign w:val="bottom"/>
          </w:tcPr>
          <w:p>
            <w:pPr>
              <w:pStyle w:val="TableContents"/>
              <w:spacing w:before="0" w:after="283"/>
              <w:jc w:val="left"/>
              <w:rPr/>
            </w:pPr>
            <w:r>
              <w:rPr/>
              <w:t>      </w:t>
            </w:r>
          </w:p>
        </w:tc>
        <w:tc>
          <w:tcPr>
            <w:tcW w:w="5935" w:type="dxa"/>
            <w:tcBorders/>
            <w:shd w:fill="E5FFFF" w:val="clear"/>
            <w:vAlign w:val="bottom"/>
          </w:tcPr>
          <w:p>
            <w:pPr>
              <w:pStyle w:val="TableContents"/>
              <w:spacing w:before="0" w:after="283"/>
              <w:jc w:val="left"/>
              <w:rPr>
                <w:rFonts w:ascii="Arial" w:hAnsi="Arial"/>
              </w:rPr>
            </w:pPr>
            <w:r>
              <w:rPr>
                <w:rFonts w:ascii="Arial" w:hAnsi="Arial"/>
              </w:rPr>
              <w:t>Less—</w:t>
            </w:r>
          </w:p>
        </w:tc>
        <w:tc>
          <w:tcPr>
            <w:tcW w:w="243" w:type="dxa"/>
            <w:tcBorders/>
            <w:shd w:fill="E5FFFF" w:val="clear"/>
            <w:vAlign w:val="center"/>
          </w:tcPr>
          <w:p>
            <w:pPr>
              <w:pStyle w:val="TableContents"/>
              <w:spacing w:before="0" w:after="283"/>
              <w:rPr/>
            </w:pPr>
            <w:r>
              <w:rPr/>
              <w:t> </w:t>
            </w:r>
          </w:p>
        </w:tc>
        <w:tc>
          <w:tcPr>
            <w:tcW w:w="225" w:type="dxa"/>
            <w:tcBorders/>
            <w:shd w:fill="E5FFFF" w:val="clear"/>
            <w:vAlign w:val="center"/>
          </w:tcPr>
          <w:p>
            <w:pPr>
              <w:pStyle w:val="TableContents"/>
              <w:spacing w:before="0" w:after="283"/>
              <w:rPr/>
            </w:pPr>
            <w:r>
              <w:rPr/>
              <w:t> </w:t>
            </w:r>
          </w:p>
        </w:tc>
        <w:tc>
          <w:tcPr>
            <w:tcW w:w="1219" w:type="dxa"/>
            <w:tcBorders/>
            <w:shd w:fill="E5FFFF" w:val="clear"/>
            <w:vAlign w:val="center"/>
          </w:tcPr>
          <w:p>
            <w:pPr>
              <w:pStyle w:val="TableContents"/>
              <w:spacing w:before="0" w:after="283"/>
              <w:rPr/>
            </w:pPr>
            <w:r>
              <w:rPr/>
              <w:t> </w:t>
            </w:r>
          </w:p>
        </w:tc>
        <w:tc>
          <w:tcPr>
            <w:tcW w:w="144" w:type="dxa"/>
            <w:tcBorders/>
            <w:shd w:fill="E5FFFF" w:val="clear"/>
            <w:vAlign w:val="center"/>
          </w:tcPr>
          <w:p>
            <w:pPr>
              <w:pStyle w:val="TableContents"/>
              <w:spacing w:before="0" w:after="283"/>
              <w:rPr/>
            </w:pPr>
            <w:r>
              <w:rPr/>
              <w:t> </w:t>
            </w:r>
          </w:p>
        </w:tc>
        <w:tc>
          <w:tcPr>
            <w:tcW w:w="243" w:type="dxa"/>
            <w:tcBorders/>
            <w:shd w:fill="E5FFFF" w:val="clear"/>
            <w:vAlign w:val="center"/>
          </w:tcPr>
          <w:p>
            <w:pPr>
              <w:pStyle w:val="TableContents"/>
              <w:spacing w:before="0" w:after="283"/>
              <w:rPr/>
            </w:pPr>
            <w:r>
              <w:rPr/>
              <w:t> </w:t>
            </w:r>
          </w:p>
        </w:tc>
        <w:tc>
          <w:tcPr>
            <w:tcW w:w="185" w:type="dxa"/>
            <w:tcBorders/>
            <w:shd w:fill="E5FFFF" w:val="clear"/>
            <w:vAlign w:val="center"/>
          </w:tcPr>
          <w:p>
            <w:pPr>
              <w:pStyle w:val="TableContents"/>
              <w:spacing w:before="0" w:after="283"/>
              <w:rPr/>
            </w:pPr>
            <w:r>
              <w:rPr/>
              <w:t> </w:t>
            </w:r>
          </w:p>
        </w:tc>
        <w:tc>
          <w:tcPr>
            <w:tcW w:w="1219" w:type="dxa"/>
            <w:tcBorders/>
            <w:shd w:fill="E5FFFF" w:val="clear"/>
            <w:vAlign w:val="center"/>
          </w:tcPr>
          <w:p>
            <w:pPr>
              <w:pStyle w:val="TableContents"/>
              <w:spacing w:before="0" w:after="283"/>
              <w:rPr/>
            </w:pPr>
            <w:r>
              <w:rPr/>
              <w:t> </w:t>
            </w:r>
          </w:p>
        </w:tc>
        <w:tc>
          <w:tcPr>
            <w:tcW w:w="150" w:type="dxa"/>
            <w:tcBorders/>
            <w:shd w:fill="E5FFFF" w:val="clear"/>
            <w:vAlign w:val="center"/>
          </w:tcPr>
          <w:p>
            <w:pPr>
              <w:pStyle w:val="TableContents"/>
              <w:spacing w:before="0" w:after="283"/>
              <w:rPr/>
            </w:pPr>
            <w:r>
              <w:rPr/>
              <w:t> </w:t>
            </w:r>
          </w:p>
        </w:tc>
      </w:tr>
      <w:tr>
        <w:trPr/>
        <w:tc>
          <w:tcPr>
            <w:tcW w:w="642" w:type="dxa"/>
            <w:tcBorders/>
            <w:shd w:fill="FFFFFF" w:val="clear"/>
            <w:vAlign w:val="bottom"/>
          </w:tcPr>
          <w:p>
            <w:pPr>
              <w:pStyle w:val="TableContents"/>
              <w:spacing w:before="0" w:after="283"/>
              <w:jc w:val="left"/>
              <w:rPr/>
            </w:pPr>
            <w:r>
              <w:rPr/>
              <w:t>      </w:t>
            </w:r>
          </w:p>
        </w:tc>
        <w:tc>
          <w:tcPr>
            <w:tcW w:w="5935" w:type="dxa"/>
            <w:tcBorders/>
            <w:shd w:fill="FFFFFF" w:val="clear"/>
            <w:vAlign w:val="bottom"/>
          </w:tcPr>
          <w:p>
            <w:pPr>
              <w:pStyle w:val="TableContents"/>
              <w:spacing w:before="0" w:after="283"/>
              <w:jc w:val="left"/>
              <w:rPr>
                <w:rFonts w:ascii="Arial" w:hAnsi="Arial"/>
              </w:rPr>
            </w:pPr>
            <w:r>
              <w:rPr>
                <w:rFonts w:ascii="Arial" w:hAnsi="Arial"/>
              </w:rPr>
              <w:t>Progress payments</w:t>
            </w:r>
          </w:p>
        </w:tc>
        <w:tc>
          <w:tcPr>
            <w:tcW w:w="243"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(17</w:t>
            </w:r>
          </w:p>
        </w:tc>
        <w:tc>
          <w:tcPr>
            <w:tcW w:w="144" w:type="dxa"/>
            <w:tcBorders/>
            <w:shd w:fill="FFFFFF" w:val="clear"/>
            <w:vAlign w:val="bottom"/>
          </w:tcPr>
          <w:p>
            <w:pPr>
              <w:pStyle w:val="TableContents"/>
              <w:spacing w:before="0" w:after="283"/>
              <w:jc w:val="left"/>
              <w:rPr>
                <w:rFonts w:ascii="Arial" w:hAnsi="Arial"/>
              </w:rPr>
            </w:pPr>
            <w:r>
              <w:rPr>
                <w:rFonts w:ascii="Arial" w:hAnsi="Arial"/>
              </w:rPr>
              <w:t>)</w:t>
            </w:r>
          </w:p>
        </w:tc>
        <w:tc>
          <w:tcPr>
            <w:tcW w:w="243"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TableContents"/>
              <w:spacing w:before="0" w:after="283"/>
              <w:jc w:val="right"/>
              <w:rPr>
                <w:rFonts w:ascii="Arial" w:hAnsi="Arial"/>
              </w:rPr>
            </w:pPr>
            <w:r>
              <w:rPr>
                <w:rFonts w:ascii="Arial" w:hAnsi="Arial"/>
              </w:rPr>
              <w:t>(14</w:t>
            </w:r>
          </w:p>
        </w:tc>
        <w:tc>
          <w:tcPr>
            <w:tcW w:w="15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42" w:type="dxa"/>
            <w:tcBorders/>
            <w:shd w:fill="E5FFFF" w:val="clear"/>
            <w:vAlign w:val="bottom"/>
          </w:tcPr>
          <w:p>
            <w:pPr>
              <w:pStyle w:val="TableContents"/>
              <w:spacing w:before="0" w:after="283"/>
              <w:jc w:val="left"/>
              <w:rPr/>
            </w:pPr>
            <w:r>
              <w:rPr/>
              <w:t>      </w:t>
            </w:r>
          </w:p>
        </w:tc>
        <w:tc>
          <w:tcPr>
            <w:tcW w:w="5935" w:type="dxa"/>
            <w:tcBorders/>
            <w:shd w:fill="E5FFFF" w:val="clear"/>
            <w:vAlign w:val="bottom"/>
          </w:tcPr>
          <w:p>
            <w:pPr>
              <w:pStyle w:val="TableContents"/>
              <w:spacing w:before="0" w:after="283"/>
              <w:jc w:val="left"/>
              <w:rPr>
                <w:rFonts w:ascii="Arial" w:hAnsi="Arial"/>
              </w:rPr>
            </w:pPr>
            <w:r>
              <w:rPr>
                <w:rFonts w:ascii="Arial" w:hAnsi="Arial"/>
              </w:rPr>
              <w:t>Reduction to LIFO cost basis</w:t>
            </w:r>
          </w:p>
        </w:tc>
        <w:tc>
          <w:tcPr>
            <w:tcW w:w="243" w:type="dxa"/>
            <w:tcBorders/>
            <w:shd w:fill="E5FFFF" w:val="clear"/>
            <w:vAlign w:val="bottom"/>
          </w:tcPr>
          <w:p>
            <w:pPr>
              <w:pStyle w:val="TableContents"/>
              <w:spacing w:before="0" w:after="283"/>
              <w:jc w:val="right"/>
              <w:rPr/>
            </w:pPr>
            <w:r>
              <w:rPr/>
              <w:t>    </w:t>
            </w:r>
          </w:p>
        </w:tc>
        <w:tc>
          <w:tcPr>
            <w:tcW w:w="225"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TableContents"/>
              <w:spacing w:before="0" w:after="283"/>
              <w:jc w:val="right"/>
              <w:rPr>
                <w:rFonts w:ascii="Arial" w:hAnsi="Arial"/>
              </w:rPr>
            </w:pPr>
            <w:r>
              <w:rPr>
                <w:rFonts w:ascii="Arial" w:hAnsi="Arial"/>
              </w:rPr>
              <w:t>(170</w:t>
            </w:r>
          </w:p>
        </w:tc>
        <w:tc>
          <w:tcPr>
            <w:tcW w:w="144" w:type="dxa"/>
            <w:tcBorders/>
            <w:shd w:fill="E5FFFF" w:val="clear"/>
            <w:vAlign w:val="bottom"/>
          </w:tcPr>
          <w:p>
            <w:pPr>
              <w:pStyle w:val="TableContents"/>
              <w:spacing w:before="0" w:after="283"/>
              <w:jc w:val="left"/>
              <w:rPr>
                <w:rFonts w:ascii="Arial" w:hAnsi="Arial"/>
              </w:rPr>
            </w:pPr>
            <w:r>
              <w:rPr>
                <w:rFonts w:ascii="Arial" w:hAnsi="Arial"/>
              </w:rPr>
              <w:t>)</w:t>
            </w:r>
          </w:p>
        </w:tc>
        <w:tc>
          <w:tcPr>
            <w:tcW w:w="243" w:type="dxa"/>
            <w:tcBorders/>
            <w:shd w:fill="E5FFFF" w:val="clear"/>
            <w:vAlign w:val="bottom"/>
          </w:tcPr>
          <w:p>
            <w:pPr>
              <w:pStyle w:val="TableContents"/>
              <w:spacing w:before="0" w:after="283"/>
              <w:jc w:val="right"/>
              <w:rPr/>
            </w:pPr>
            <w:r>
              <w:rPr/>
              <w:t>    </w:t>
            </w:r>
          </w:p>
        </w:tc>
        <w:tc>
          <w:tcPr>
            <w:tcW w:w="185" w:type="dxa"/>
            <w:tcBorders/>
            <w:shd w:fill="E5FFFF" w:val="clear"/>
            <w:vAlign w:val="center"/>
          </w:tcPr>
          <w:p>
            <w:pPr>
              <w:pStyle w:val="TableContents"/>
              <w:spacing w:before="0" w:after="283"/>
              <w:rPr/>
            </w:pPr>
            <w:r>
              <w:rPr/>
              <w:t> </w:t>
            </w:r>
          </w:p>
        </w:tc>
        <w:tc>
          <w:tcPr>
            <w:tcW w:w="1219" w:type="dxa"/>
            <w:tcBorders/>
            <w:shd w:fill="E5FFFF" w:val="clear"/>
            <w:vAlign w:val="bottom"/>
          </w:tcPr>
          <w:p>
            <w:pPr>
              <w:pStyle w:val="TableContents"/>
              <w:spacing w:before="0" w:after="283"/>
              <w:jc w:val="right"/>
              <w:rPr>
                <w:rFonts w:ascii="Arial" w:hAnsi="Arial"/>
              </w:rPr>
            </w:pPr>
            <w:r>
              <w:rPr>
                <w:rFonts w:ascii="Arial" w:hAnsi="Arial"/>
              </w:rPr>
              <w:t>(145</w:t>
            </w:r>
          </w:p>
        </w:tc>
        <w:tc>
          <w:tcPr>
            <w:tcW w:w="15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42" w:type="dxa"/>
            <w:tcBorders/>
            <w:shd w:fill="FFFFFF" w:val="clear"/>
            <w:vAlign w:val="center"/>
          </w:tcPr>
          <w:p>
            <w:pPr>
              <w:pStyle w:val="TableContents"/>
              <w:spacing w:before="0" w:after="283"/>
              <w:rPr/>
            </w:pPr>
            <w:r>
              <w:rPr/>
              <w:t> </w:t>
            </w:r>
          </w:p>
        </w:tc>
        <w:tc>
          <w:tcPr>
            <w:tcW w:w="5935"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HorizontalLine"/>
              <w:pBdr>
                <w:bottom w:val="single" w:sz="6" w:space="0" w:color="000000"/>
              </w:pBdr>
              <w:spacing w:before="0" w:after="283"/>
              <w:rPr/>
            </w:pPr>
            <w:r>
              <w:rPr/>
            </w:r>
          </w:p>
        </w:tc>
        <w:tc>
          <w:tcPr>
            <w:tcW w:w="144"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HorizontalLine"/>
              <w:pBdr>
                <w:bottom w:val="single" w:sz="6" w:space="0" w:color="000000"/>
              </w:pBdr>
              <w:spacing w:before="0" w:after="283"/>
              <w:rPr/>
            </w:pPr>
            <w:r>
              <w:rPr/>
            </w:r>
          </w:p>
        </w:tc>
        <w:tc>
          <w:tcPr>
            <w:tcW w:w="150" w:type="dxa"/>
            <w:tcBorders/>
            <w:shd w:fill="FFFFFF" w:val="clear"/>
            <w:vAlign w:val="center"/>
          </w:tcPr>
          <w:p>
            <w:pPr>
              <w:pStyle w:val="TableContents"/>
              <w:spacing w:before="0" w:after="283"/>
              <w:rPr/>
            </w:pPr>
            <w:r>
              <w:rPr/>
              <w:t> </w:t>
            </w:r>
          </w:p>
        </w:tc>
      </w:tr>
      <w:tr>
        <w:trPr/>
        <w:tc>
          <w:tcPr>
            <w:tcW w:w="642" w:type="dxa"/>
            <w:tcBorders/>
            <w:shd w:fill="E5FFFF" w:val="clear"/>
            <w:vAlign w:val="bottom"/>
          </w:tcPr>
          <w:p>
            <w:pPr>
              <w:pStyle w:val="TableContents"/>
              <w:spacing w:before="0" w:after="283"/>
              <w:jc w:val="left"/>
              <w:rPr/>
            </w:pPr>
            <w:r>
              <w:rPr/>
              <w:t>      </w:t>
            </w:r>
          </w:p>
        </w:tc>
        <w:tc>
          <w:tcPr>
            <w:tcW w:w="5935" w:type="dxa"/>
            <w:tcBorders/>
            <w:shd w:fill="E5FFFF" w:val="clear"/>
            <w:vAlign w:val="bottom"/>
          </w:tcPr>
          <w:p>
            <w:pPr>
              <w:pStyle w:val="TableContents"/>
              <w:spacing w:before="0" w:after="283"/>
              <w:rPr>
                <w:sz w:val="4"/>
                <w:szCs w:val="4"/>
              </w:rPr>
            </w:pPr>
            <w:r>
              <w:rPr>
                <w:sz w:val="4"/>
                <w:szCs w:val="4"/>
              </w:rPr>
            </w:r>
          </w:p>
        </w:tc>
        <w:tc>
          <w:tcPr>
            <w:tcW w:w="243" w:type="dxa"/>
            <w:tcBorders/>
            <w:shd w:fill="E5FFFF" w:val="clear"/>
            <w:vAlign w:val="bottom"/>
          </w:tcPr>
          <w:p>
            <w:pPr>
              <w:pStyle w:val="TableContents"/>
              <w:spacing w:before="0" w:after="283"/>
              <w:jc w:val="right"/>
              <w:rPr/>
            </w:pPr>
            <w:r>
              <w:rPr/>
              <w:t>    </w:t>
            </w:r>
          </w:p>
        </w:tc>
        <w:tc>
          <w:tcPr>
            <w:tcW w:w="225" w:type="dxa"/>
            <w:tcBorders/>
            <w:shd w:fill="E5FFFF" w:val="clear"/>
            <w:vAlign w:val="bottom"/>
          </w:tcPr>
          <w:p>
            <w:pPr>
              <w:pStyle w:val="TableContents"/>
              <w:spacing w:before="0" w:after="283"/>
              <w:jc w:val="right"/>
              <w:rPr>
                <w:rFonts w:ascii="Arial" w:hAnsi="Arial"/>
              </w:rPr>
            </w:pPr>
            <w:r>
              <w:rPr>
                <w:rFonts w:ascii="Arial" w:hAnsi="Arial"/>
              </w:rPr>
              <w:t>$</w:t>
            </w:r>
          </w:p>
        </w:tc>
        <w:tc>
          <w:tcPr>
            <w:tcW w:w="1219" w:type="dxa"/>
            <w:tcBorders/>
            <w:shd w:fill="E5FFFF" w:val="clear"/>
            <w:vAlign w:val="bottom"/>
          </w:tcPr>
          <w:p>
            <w:pPr>
              <w:pStyle w:val="TableContents"/>
              <w:spacing w:before="0" w:after="283"/>
              <w:jc w:val="right"/>
              <w:rPr>
                <w:rFonts w:ascii="Arial" w:hAnsi="Arial"/>
              </w:rPr>
            </w:pPr>
            <w:r>
              <w:rPr>
                <w:rFonts w:ascii="Arial" w:hAnsi="Arial"/>
              </w:rPr>
              <w:t>3,588</w:t>
            </w:r>
          </w:p>
        </w:tc>
        <w:tc>
          <w:tcPr>
            <w:tcW w:w="144"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5" w:type="dxa"/>
            <w:tcBorders/>
            <w:shd w:fill="E5FFFF" w:val="clear"/>
            <w:vAlign w:val="bottom"/>
          </w:tcPr>
          <w:p>
            <w:pPr>
              <w:pStyle w:val="TableContents"/>
              <w:spacing w:before="0" w:after="283"/>
              <w:jc w:val="right"/>
              <w:rPr>
                <w:rFonts w:ascii="Arial" w:hAnsi="Arial"/>
              </w:rPr>
            </w:pPr>
            <w:r>
              <w:rPr>
                <w:rFonts w:ascii="Arial" w:hAnsi="Arial"/>
              </w:rPr>
              <w:t>$</w:t>
            </w:r>
          </w:p>
        </w:tc>
        <w:tc>
          <w:tcPr>
            <w:tcW w:w="1219" w:type="dxa"/>
            <w:tcBorders/>
            <w:shd w:fill="E5FFFF" w:val="clear"/>
            <w:vAlign w:val="bottom"/>
          </w:tcPr>
          <w:p>
            <w:pPr>
              <w:pStyle w:val="TableContents"/>
              <w:spacing w:before="0" w:after="283"/>
              <w:jc w:val="right"/>
              <w:rPr>
                <w:rFonts w:ascii="Arial" w:hAnsi="Arial"/>
              </w:rPr>
            </w:pPr>
            <w:r>
              <w:rPr>
                <w:rFonts w:ascii="Arial" w:hAnsi="Arial"/>
              </w:rPr>
              <w:t>3,401</w:t>
            </w:r>
          </w:p>
        </w:tc>
        <w:tc>
          <w:tcPr>
            <w:tcW w:w="150" w:type="dxa"/>
            <w:tcBorders/>
            <w:shd w:fill="E5FFFF" w:val="clear"/>
            <w:vAlign w:val="center"/>
          </w:tcPr>
          <w:p>
            <w:pPr>
              <w:pStyle w:val="TableContents"/>
              <w:spacing w:before="0" w:after="283"/>
              <w:rPr/>
            </w:pPr>
            <w:r>
              <w:rPr/>
              <w:t> </w:t>
            </w:r>
          </w:p>
        </w:tc>
      </w:tr>
      <w:tr>
        <w:trPr/>
        <w:tc>
          <w:tcPr>
            <w:tcW w:w="642" w:type="dxa"/>
            <w:tcBorders/>
            <w:shd w:fill="FFFFFF" w:val="clear"/>
            <w:vAlign w:val="center"/>
          </w:tcPr>
          <w:p>
            <w:pPr>
              <w:pStyle w:val="TableContents"/>
              <w:spacing w:before="0" w:after="283"/>
              <w:rPr/>
            </w:pPr>
            <w:r>
              <w:rPr/>
              <w:t> </w:t>
            </w:r>
          </w:p>
        </w:tc>
        <w:tc>
          <w:tcPr>
            <w:tcW w:w="5935"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22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HorizontalLine"/>
              <w:pBdr>
                <w:bottom w:val="single" w:sz="18" w:space="0" w:color="000000"/>
              </w:pBdr>
              <w:spacing w:before="0" w:after="283"/>
              <w:rPr/>
            </w:pPr>
            <w:r>
              <w:rPr/>
            </w:r>
          </w:p>
        </w:tc>
        <w:tc>
          <w:tcPr>
            <w:tcW w:w="144"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1219" w:type="dxa"/>
            <w:tcBorders/>
            <w:shd w:fill="FFFFFF" w:val="clear"/>
            <w:vAlign w:val="bottom"/>
          </w:tcPr>
          <w:p>
            <w:pPr>
              <w:pStyle w:val="HorizontalLine"/>
              <w:pBdr>
                <w:bottom w:val="single" w:sz="18" w:space="0" w:color="000000"/>
              </w:pBdr>
              <w:spacing w:before="0" w:after="283"/>
              <w:rPr/>
            </w:pPr>
            <w:r>
              <w:rPr/>
            </w:r>
          </w:p>
        </w:tc>
        <w:tc>
          <w:tcPr>
            <w:tcW w:w="150" w:type="dxa"/>
            <w:tcBorders/>
            <w:shd w:fill="FFFFFF" w:val="clear"/>
            <w:vAlign w:val="center"/>
          </w:tcPr>
          <w:p>
            <w:pPr>
              <w:pStyle w:val="TableContents"/>
              <w:spacing w:before="0" w:after="283"/>
              <w:rPr/>
            </w:pPr>
            <w:r>
              <w:rPr/>
              <w:t> </w:t>
            </w:r>
          </w:p>
        </w:tc>
      </w:tr>
      <w:tr>
        <w:trPr/>
        <w:tc>
          <w:tcPr>
            <w:tcW w:w="642" w:type="dxa"/>
            <w:tcBorders/>
            <w:shd w:fill="FFFFFF" w:val="clear"/>
            <w:vAlign w:val="bottom"/>
          </w:tcPr>
          <w:p>
            <w:pPr>
              <w:pStyle w:val="TableContents"/>
              <w:spacing w:before="0" w:after="283"/>
              <w:jc w:val="left"/>
              <w:rPr/>
            </w:pPr>
            <w:r>
              <w:rPr/>
              <w:t>      </w:t>
            </w:r>
          </w:p>
        </w:tc>
        <w:tc>
          <w:tcPr>
            <w:tcW w:w="5935" w:type="dxa"/>
            <w:tcBorders/>
            <w:shd w:fill="FFFFFF" w:val="clear"/>
            <w:vAlign w:val="bottom"/>
          </w:tcPr>
          <w:p>
            <w:pPr>
              <w:pStyle w:val="TableContents"/>
              <w:spacing w:before="0" w:after="283"/>
              <w:rPr>
                <w:sz w:val="4"/>
                <w:szCs w:val="4"/>
              </w:rPr>
            </w:pPr>
            <w:r>
              <w:rPr>
                <w:sz w:val="4"/>
                <w:szCs w:val="4"/>
              </w:rPr>
            </w:r>
          </w:p>
        </w:tc>
        <w:tc>
          <w:tcPr>
            <w:tcW w:w="243" w:type="dxa"/>
            <w:tcBorders/>
            <w:shd w:fill="FFFFFF" w:val="clear"/>
            <w:vAlign w:val="center"/>
          </w:tcPr>
          <w:p>
            <w:pPr>
              <w:pStyle w:val="TableContents"/>
              <w:spacing w:before="0" w:after="283"/>
              <w:rPr/>
            </w:pPr>
            <w:r>
              <w:rPr/>
              <w:t> </w:t>
            </w:r>
          </w:p>
        </w:tc>
        <w:tc>
          <w:tcPr>
            <w:tcW w:w="225" w:type="dxa"/>
            <w:tcBorders/>
            <w:shd w:fill="FFFFFF" w:val="clear"/>
            <w:vAlign w:val="center"/>
          </w:tcPr>
          <w:p>
            <w:pPr>
              <w:pStyle w:val="TableContents"/>
              <w:spacing w:before="0" w:after="283"/>
              <w:rPr/>
            </w:pPr>
            <w:r>
              <w:rPr/>
              <w:t> </w:t>
            </w:r>
          </w:p>
        </w:tc>
        <w:tc>
          <w:tcPr>
            <w:tcW w:w="121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1219"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63</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Inventories valued at LIFO amounted to $205 and $258 million at December 31, 2006 and 2005, respectively. Had such LIFO inventories been valued at current costs, their carrying values would have been approximately $170 and $145 million higher at December 31, 2006 and 2005, respectively.</w:t>
      </w:r>
    </w:p>
    <w:p>
      <w:pPr>
        <w:pStyle w:val="TextBody"/>
        <w:jc w:val="left"/>
        <w:rPr>
          <w:rFonts w:ascii="Arial" w:hAnsi="Arial"/>
          <w:b/>
        </w:rPr>
      </w:pPr>
      <w:r>
        <w:rPr>
          <w:rFonts w:ascii="Arial" w:hAnsi="Arial"/>
          <w:b/>
        </w:rPr>
        <w:t>Note 10—Investments and Long-Term Receivables</w:t>
      </w:r>
    </w:p>
    <w:tbl>
      <w:tblPr>
        <w:tblW w:w="5000" w:type="pct"/>
        <w:jc w:val="left"/>
        <w:tblInd w:w="0" w:type="dxa"/>
        <w:tblCellMar>
          <w:top w:w="0" w:type="dxa"/>
          <w:left w:w="0" w:type="dxa"/>
          <w:bottom w:w="0" w:type="dxa"/>
          <w:right w:w="0" w:type="dxa"/>
        </w:tblCellMar>
      </w:tblPr>
      <w:tblGrid>
        <w:gridCol w:w="589"/>
        <w:gridCol w:w="6641"/>
        <w:gridCol w:w="392"/>
        <w:gridCol w:w="264"/>
        <w:gridCol w:w="722"/>
        <w:gridCol w:w="102"/>
        <w:gridCol w:w="407"/>
        <w:gridCol w:w="264"/>
        <w:gridCol w:w="722"/>
        <w:gridCol w:w="102"/>
      </w:tblGrid>
      <w:tr>
        <w:trPr/>
        <w:tc>
          <w:tcPr>
            <w:tcW w:w="589" w:type="dxa"/>
            <w:tcBorders/>
            <w:shd w:fill="FFFFFF" w:val="clear"/>
            <w:vAlign w:val="center"/>
          </w:tcPr>
          <w:p>
            <w:pPr>
              <w:pStyle w:val="TableContents"/>
              <w:spacing w:before="0" w:after="283"/>
              <w:rPr/>
            </w:pPr>
            <w:r>
              <w:rPr/>
              <w:t> </w:t>
            </w:r>
          </w:p>
        </w:tc>
        <w:tc>
          <w:tcPr>
            <w:tcW w:w="6641" w:type="dxa"/>
            <w:tcBorders/>
            <w:shd w:fill="FFFFFF" w:val="clear"/>
            <w:vAlign w:val="center"/>
          </w:tcPr>
          <w:p>
            <w:pPr>
              <w:pStyle w:val="TableContents"/>
              <w:spacing w:before="0" w:after="283"/>
              <w:rPr/>
            </w:pPr>
            <w:r>
              <w:rPr/>
              <w:t> </w:t>
            </w:r>
          </w:p>
        </w:tc>
        <w:tc>
          <w:tcPr>
            <w:tcW w:w="392" w:type="dxa"/>
            <w:tcBorders/>
            <w:shd w:fill="FFFFFF" w:val="clear"/>
            <w:vAlign w:val="center"/>
          </w:tcPr>
          <w:p>
            <w:pPr>
              <w:pStyle w:val="TableContents"/>
              <w:spacing w:before="0" w:after="283"/>
              <w:rPr/>
            </w:pPr>
            <w:r>
              <w:rPr/>
              <w:t> </w:t>
            </w:r>
          </w:p>
        </w:tc>
        <w:tc>
          <w:tcPr>
            <w:tcW w:w="2583"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589" w:type="dxa"/>
            <w:tcBorders/>
            <w:shd w:fill="FFFFFF" w:val="clear"/>
            <w:vAlign w:val="center"/>
          </w:tcPr>
          <w:p>
            <w:pPr>
              <w:pStyle w:val="TableContents"/>
              <w:spacing w:before="0" w:after="283"/>
              <w:rPr/>
            </w:pPr>
            <w:r>
              <w:rPr/>
              <w:t> </w:t>
            </w:r>
          </w:p>
        </w:tc>
        <w:tc>
          <w:tcPr>
            <w:tcW w:w="6641" w:type="dxa"/>
            <w:tcBorders/>
            <w:shd w:fill="FFFFFF" w:val="clear"/>
            <w:vAlign w:val="center"/>
          </w:tcPr>
          <w:p>
            <w:pPr>
              <w:pStyle w:val="TableContents"/>
              <w:spacing w:before="0" w:after="283"/>
              <w:rPr/>
            </w:pPr>
            <w:r>
              <w:rPr/>
              <w:t> </w:t>
            </w:r>
          </w:p>
        </w:tc>
        <w:tc>
          <w:tcPr>
            <w:tcW w:w="392" w:type="dxa"/>
            <w:tcBorders/>
            <w:shd w:fill="FFFFFF" w:val="clear"/>
            <w:vAlign w:val="center"/>
          </w:tcPr>
          <w:p>
            <w:pPr>
              <w:pStyle w:val="TableContents"/>
              <w:spacing w:before="0" w:after="283"/>
              <w:rPr/>
            </w:pPr>
            <w:r>
              <w:rPr/>
              <w:t> </w:t>
            </w:r>
          </w:p>
        </w:tc>
        <w:tc>
          <w:tcPr>
            <w:tcW w:w="108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07" w:type="dxa"/>
            <w:tcBorders/>
            <w:shd w:fill="FFFFFF" w:val="clear"/>
            <w:vAlign w:val="center"/>
          </w:tcPr>
          <w:p>
            <w:pPr>
              <w:pStyle w:val="TableContents"/>
              <w:spacing w:before="0" w:after="283"/>
              <w:rPr/>
            </w:pPr>
            <w:r>
              <w:rPr/>
              <w:t> </w:t>
            </w:r>
          </w:p>
        </w:tc>
        <w:tc>
          <w:tcPr>
            <w:tcW w:w="1088"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589" w:type="dxa"/>
            <w:tcBorders/>
            <w:shd w:fill="E5FFFF" w:val="clear"/>
            <w:vAlign w:val="bottom"/>
          </w:tcPr>
          <w:p>
            <w:pPr>
              <w:pStyle w:val="TableContents"/>
              <w:spacing w:before="0" w:after="283"/>
              <w:jc w:val="left"/>
              <w:rPr/>
            </w:pPr>
            <w:r>
              <w:rPr/>
              <w:t>      </w:t>
            </w:r>
          </w:p>
        </w:tc>
        <w:tc>
          <w:tcPr>
            <w:tcW w:w="6641" w:type="dxa"/>
            <w:tcBorders/>
            <w:shd w:fill="E5FFFF" w:val="clear"/>
            <w:vAlign w:val="bottom"/>
          </w:tcPr>
          <w:p>
            <w:pPr>
              <w:pStyle w:val="TableContents"/>
              <w:spacing w:before="0" w:after="283"/>
              <w:jc w:val="left"/>
              <w:rPr>
                <w:rFonts w:ascii="Arial" w:hAnsi="Arial"/>
              </w:rPr>
            </w:pPr>
            <w:r>
              <w:rPr>
                <w:rFonts w:ascii="Arial" w:hAnsi="Arial"/>
              </w:rPr>
              <w:t>Investments</w:t>
            </w:r>
          </w:p>
        </w:tc>
        <w:tc>
          <w:tcPr>
            <w:tcW w:w="392" w:type="dxa"/>
            <w:tcBorders/>
            <w:shd w:fill="E5FFFF" w:val="clear"/>
            <w:vAlign w:val="bottom"/>
          </w:tcPr>
          <w:p>
            <w:pPr>
              <w:pStyle w:val="TableContents"/>
              <w:spacing w:before="0" w:after="283"/>
              <w:jc w:val="right"/>
              <w:rPr/>
            </w:pPr>
            <w:r>
              <w:rPr/>
              <w:t>    </w:t>
            </w:r>
          </w:p>
        </w:tc>
        <w:tc>
          <w:tcPr>
            <w:tcW w:w="264" w:type="dxa"/>
            <w:tcBorders/>
            <w:shd w:fill="E5FFFF" w:val="clear"/>
            <w:vAlign w:val="bottom"/>
          </w:tcPr>
          <w:p>
            <w:pPr>
              <w:pStyle w:val="TableContents"/>
              <w:spacing w:before="0" w:after="283"/>
              <w:jc w:val="right"/>
              <w:rPr>
                <w:rFonts w:ascii="Arial" w:hAnsi="Arial"/>
              </w:rPr>
            </w:pPr>
            <w:r>
              <w:rPr>
                <w:rFonts w:ascii="Arial" w:hAnsi="Arial"/>
              </w:rPr>
              <w:t>$</w:t>
            </w:r>
          </w:p>
        </w:tc>
        <w:tc>
          <w:tcPr>
            <w:tcW w:w="722" w:type="dxa"/>
            <w:tcBorders/>
            <w:shd w:fill="E5FFFF" w:val="clear"/>
            <w:vAlign w:val="bottom"/>
          </w:tcPr>
          <w:p>
            <w:pPr>
              <w:pStyle w:val="TableContents"/>
              <w:spacing w:before="0" w:after="283"/>
              <w:jc w:val="right"/>
              <w:rPr>
                <w:rFonts w:ascii="Arial" w:hAnsi="Arial"/>
              </w:rPr>
            </w:pPr>
            <w:r>
              <w:rPr>
                <w:rFonts w:ascii="Arial" w:hAnsi="Arial"/>
              </w:rPr>
              <w:t>49</w:t>
            </w:r>
          </w:p>
        </w:tc>
        <w:tc>
          <w:tcPr>
            <w:tcW w:w="102" w:type="dxa"/>
            <w:tcBorders/>
            <w:shd w:fill="E5FFFF" w:val="clear"/>
            <w:vAlign w:val="center"/>
          </w:tcPr>
          <w:p>
            <w:pPr>
              <w:pStyle w:val="TableContents"/>
              <w:spacing w:before="0" w:after="283"/>
              <w:rPr/>
            </w:pPr>
            <w:r>
              <w:rPr/>
              <w:t> </w:t>
            </w:r>
          </w:p>
        </w:tc>
        <w:tc>
          <w:tcPr>
            <w:tcW w:w="407" w:type="dxa"/>
            <w:tcBorders/>
            <w:shd w:fill="E5FFFF" w:val="clear"/>
            <w:vAlign w:val="bottom"/>
          </w:tcPr>
          <w:p>
            <w:pPr>
              <w:pStyle w:val="TableContents"/>
              <w:spacing w:before="0" w:after="283"/>
              <w:jc w:val="right"/>
              <w:rPr/>
            </w:pPr>
            <w:r>
              <w:rPr/>
              <w:t>    </w:t>
            </w:r>
          </w:p>
        </w:tc>
        <w:tc>
          <w:tcPr>
            <w:tcW w:w="264" w:type="dxa"/>
            <w:tcBorders/>
            <w:shd w:fill="E5FFFF" w:val="clear"/>
            <w:vAlign w:val="bottom"/>
          </w:tcPr>
          <w:p>
            <w:pPr>
              <w:pStyle w:val="TableContents"/>
              <w:spacing w:before="0" w:after="283"/>
              <w:jc w:val="right"/>
              <w:rPr>
                <w:rFonts w:ascii="Arial" w:hAnsi="Arial"/>
              </w:rPr>
            </w:pPr>
            <w:r>
              <w:rPr>
                <w:rFonts w:ascii="Arial" w:hAnsi="Arial"/>
              </w:rPr>
              <w:t>$</w:t>
            </w:r>
          </w:p>
        </w:tc>
        <w:tc>
          <w:tcPr>
            <w:tcW w:w="722" w:type="dxa"/>
            <w:tcBorders/>
            <w:shd w:fill="E5FFFF" w:val="clear"/>
            <w:vAlign w:val="bottom"/>
          </w:tcPr>
          <w:p>
            <w:pPr>
              <w:pStyle w:val="TableContents"/>
              <w:spacing w:before="0" w:after="283"/>
              <w:jc w:val="right"/>
              <w:rPr>
                <w:rFonts w:ascii="Arial" w:hAnsi="Arial"/>
              </w:rPr>
            </w:pPr>
            <w:r>
              <w:rPr>
                <w:rFonts w:ascii="Arial" w:hAnsi="Arial"/>
              </w:rPr>
              <w:t>64</w:t>
            </w:r>
          </w:p>
        </w:tc>
        <w:tc>
          <w:tcPr>
            <w:tcW w:w="102" w:type="dxa"/>
            <w:tcBorders/>
            <w:shd w:fill="E5FFFF" w:val="clear"/>
            <w:vAlign w:val="center"/>
          </w:tcPr>
          <w:p>
            <w:pPr>
              <w:pStyle w:val="TableContents"/>
              <w:spacing w:before="0" w:after="283"/>
              <w:rPr/>
            </w:pPr>
            <w:r>
              <w:rPr/>
              <w:t> </w:t>
            </w:r>
          </w:p>
        </w:tc>
      </w:tr>
      <w:tr>
        <w:trPr/>
        <w:tc>
          <w:tcPr>
            <w:tcW w:w="589" w:type="dxa"/>
            <w:tcBorders/>
            <w:shd w:fill="FFFFFF" w:val="clear"/>
            <w:vAlign w:val="bottom"/>
          </w:tcPr>
          <w:p>
            <w:pPr>
              <w:pStyle w:val="TableContents"/>
              <w:spacing w:before="0" w:after="283"/>
              <w:jc w:val="left"/>
              <w:rPr/>
            </w:pPr>
            <w:r>
              <w:rPr/>
              <w:t>      </w:t>
            </w:r>
          </w:p>
        </w:tc>
        <w:tc>
          <w:tcPr>
            <w:tcW w:w="6641" w:type="dxa"/>
            <w:tcBorders/>
            <w:shd w:fill="FFFFFF" w:val="clear"/>
            <w:vAlign w:val="bottom"/>
          </w:tcPr>
          <w:p>
            <w:pPr>
              <w:pStyle w:val="TableContents"/>
              <w:spacing w:before="0" w:after="283"/>
              <w:jc w:val="left"/>
              <w:rPr>
                <w:rFonts w:ascii="Arial" w:hAnsi="Arial"/>
              </w:rPr>
            </w:pPr>
            <w:r>
              <w:rPr>
                <w:rFonts w:ascii="Arial" w:hAnsi="Arial"/>
              </w:rPr>
              <w:t>Long-term trade and other receivables</w:t>
            </w:r>
          </w:p>
        </w:tc>
        <w:tc>
          <w:tcPr>
            <w:tcW w:w="392" w:type="dxa"/>
            <w:tcBorders/>
            <w:shd w:fill="FFFFFF" w:val="clear"/>
            <w:vAlign w:val="bottom"/>
          </w:tcPr>
          <w:p>
            <w:pPr>
              <w:pStyle w:val="TableContents"/>
              <w:spacing w:before="0" w:after="283"/>
              <w:jc w:val="right"/>
              <w:rPr/>
            </w:pPr>
            <w:r>
              <w:rPr/>
              <w:t>    </w:t>
            </w:r>
          </w:p>
        </w:tc>
        <w:tc>
          <w:tcPr>
            <w:tcW w:w="264" w:type="dxa"/>
            <w:tcBorders/>
            <w:shd w:fill="FFFFFF" w:val="clear"/>
            <w:vAlign w:val="center"/>
          </w:tcPr>
          <w:p>
            <w:pPr>
              <w:pStyle w:val="TableContents"/>
              <w:spacing w:before="0" w:after="283"/>
              <w:rPr/>
            </w:pPr>
            <w:r>
              <w:rPr/>
              <w:t> </w:t>
            </w:r>
          </w:p>
        </w:tc>
        <w:tc>
          <w:tcPr>
            <w:tcW w:w="722" w:type="dxa"/>
            <w:tcBorders/>
            <w:shd w:fill="FFFFFF" w:val="clear"/>
            <w:vAlign w:val="bottom"/>
          </w:tcPr>
          <w:p>
            <w:pPr>
              <w:pStyle w:val="TableContents"/>
              <w:spacing w:before="0" w:after="283"/>
              <w:jc w:val="right"/>
              <w:rPr>
                <w:rFonts w:ascii="Arial" w:hAnsi="Arial"/>
              </w:rPr>
            </w:pPr>
            <w:r>
              <w:rPr>
                <w:rFonts w:ascii="Arial" w:hAnsi="Arial"/>
              </w:rPr>
              <w:t>333</w:t>
            </w:r>
          </w:p>
        </w:tc>
        <w:tc>
          <w:tcPr>
            <w:tcW w:w="102" w:type="dxa"/>
            <w:tcBorders/>
            <w:shd w:fill="FFFFFF" w:val="clear"/>
            <w:vAlign w:val="center"/>
          </w:tcPr>
          <w:p>
            <w:pPr>
              <w:pStyle w:val="TableContents"/>
              <w:spacing w:before="0" w:after="283"/>
              <w:rPr/>
            </w:pPr>
            <w:r>
              <w:rPr/>
              <w:t> </w:t>
            </w:r>
          </w:p>
        </w:tc>
        <w:tc>
          <w:tcPr>
            <w:tcW w:w="407" w:type="dxa"/>
            <w:tcBorders/>
            <w:shd w:fill="FFFFFF" w:val="clear"/>
            <w:vAlign w:val="bottom"/>
          </w:tcPr>
          <w:p>
            <w:pPr>
              <w:pStyle w:val="TableContents"/>
              <w:spacing w:before="0" w:after="283"/>
              <w:jc w:val="right"/>
              <w:rPr/>
            </w:pPr>
            <w:r>
              <w:rPr/>
              <w:t>    </w:t>
            </w:r>
          </w:p>
        </w:tc>
        <w:tc>
          <w:tcPr>
            <w:tcW w:w="264" w:type="dxa"/>
            <w:tcBorders/>
            <w:shd w:fill="FFFFFF" w:val="clear"/>
            <w:vAlign w:val="center"/>
          </w:tcPr>
          <w:p>
            <w:pPr>
              <w:pStyle w:val="TableContents"/>
              <w:spacing w:before="0" w:after="283"/>
              <w:rPr/>
            </w:pPr>
            <w:r>
              <w:rPr/>
              <w:t> </w:t>
            </w:r>
          </w:p>
        </w:tc>
        <w:tc>
          <w:tcPr>
            <w:tcW w:w="722" w:type="dxa"/>
            <w:tcBorders/>
            <w:shd w:fill="FFFFFF" w:val="clear"/>
            <w:vAlign w:val="bottom"/>
          </w:tcPr>
          <w:p>
            <w:pPr>
              <w:pStyle w:val="TableContents"/>
              <w:spacing w:before="0" w:after="283"/>
              <w:jc w:val="right"/>
              <w:rPr>
                <w:rFonts w:ascii="Arial" w:hAnsi="Arial"/>
              </w:rPr>
            </w:pPr>
            <w:r>
              <w:rPr>
                <w:rFonts w:ascii="Arial" w:hAnsi="Arial"/>
              </w:rPr>
              <w:t>306</w:t>
            </w:r>
          </w:p>
        </w:tc>
        <w:tc>
          <w:tcPr>
            <w:tcW w:w="102" w:type="dxa"/>
            <w:tcBorders/>
            <w:shd w:fill="FFFFFF" w:val="clear"/>
            <w:vAlign w:val="center"/>
          </w:tcPr>
          <w:p>
            <w:pPr>
              <w:pStyle w:val="TableContents"/>
              <w:spacing w:before="0" w:after="283"/>
              <w:rPr/>
            </w:pPr>
            <w:r>
              <w:rPr/>
              <w:t> </w:t>
            </w:r>
          </w:p>
        </w:tc>
      </w:tr>
      <w:tr>
        <w:trPr/>
        <w:tc>
          <w:tcPr>
            <w:tcW w:w="589" w:type="dxa"/>
            <w:tcBorders/>
            <w:shd w:fill="E5FFFF" w:val="clear"/>
            <w:vAlign w:val="center"/>
          </w:tcPr>
          <w:p>
            <w:pPr>
              <w:pStyle w:val="TableContents"/>
              <w:spacing w:before="0" w:after="283"/>
              <w:rPr/>
            </w:pPr>
            <w:r>
              <w:rPr/>
              <w:t> </w:t>
            </w:r>
          </w:p>
        </w:tc>
        <w:tc>
          <w:tcPr>
            <w:tcW w:w="6641" w:type="dxa"/>
            <w:tcBorders/>
            <w:shd w:fill="E5FFFF" w:val="clear"/>
            <w:vAlign w:val="center"/>
          </w:tcPr>
          <w:p>
            <w:pPr>
              <w:pStyle w:val="TableContents"/>
              <w:spacing w:before="0" w:after="283"/>
              <w:rPr/>
            </w:pPr>
            <w:r>
              <w:rPr/>
              <w:t> </w:t>
            </w:r>
          </w:p>
        </w:tc>
        <w:tc>
          <w:tcPr>
            <w:tcW w:w="392" w:type="dxa"/>
            <w:tcBorders/>
            <w:shd w:fill="E5FFFF" w:val="clear"/>
            <w:vAlign w:val="bottom"/>
          </w:tcPr>
          <w:p>
            <w:pPr>
              <w:pStyle w:val="TableContents"/>
              <w:spacing w:before="0" w:after="283"/>
              <w:jc w:val="right"/>
              <w:rPr/>
            </w:pPr>
            <w:r>
              <w:rPr/>
              <w:t>    </w:t>
            </w:r>
          </w:p>
        </w:tc>
        <w:tc>
          <w:tcPr>
            <w:tcW w:w="264" w:type="dxa"/>
            <w:tcBorders/>
            <w:shd w:fill="E5FFFF" w:val="clear"/>
            <w:vAlign w:val="center"/>
          </w:tcPr>
          <w:p>
            <w:pPr>
              <w:pStyle w:val="TableContents"/>
              <w:spacing w:before="0" w:after="283"/>
              <w:rPr/>
            </w:pPr>
            <w:r>
              <w:rPr/>
              <w:t> </w:t>
            </w:r>
          </w:p>
        </w:tc>
        <w:tc>
          <w:tcPr>
            <w:tcW w:w="722" w:type="dxa"/>
            <w:tcBorders/>
            <w:shd w:fill="E5FFFF" w:val="clear"/>
            <w:vAlign w:val="bottom"/>
          </w:tcPr>
          <w:p>
            <w:pPr>
              <w:pStyle w:val="HorizontalLine"/>
              <w:pBdr>
                <w:bottom w:val="single" w:sz="6" w:space="0" w:color="000000"/>
              </w:pBdr>
              <w:spacing w:before="0" w:after="283"/>
              <w:rPr/>
            </w:pPr>
            <w:r>
              <w:rPr/>
            </w:r>
          </w:p>
        </w:tc>
        <w:tc>
          <w:tcPr>
            <w:tcW w:w="102" w:type="dxa"/>
            <w:tcBorders/>
            <w:shd w:fill="E5FFFF" w:val="clear"/>
            <w:vAlign w:val="center"/>
          </w:tcPr>
          <w:p>
            <w:pPr>
              <w:pStyle w:val="TableContents"/>
              <w:spacing w:before="0" w:after="283"/>
              <w:rPr/>
            </w:pPr>
            <w:r>
              <w:rPr/>
              <w:t> </w:t>
            </w:r>
          </w:p>
        </w:tc>
        <w:tc>
          <w:tcPr>
            <w:tcW w:w="407" w:type="dxa"/>
            <w:tcBorders/>
            <w:shd w:fill="E5FFFF" w:val="clear"/>
            <w:vAlign w:val="bottom"/>
          </w:tcPr>
          <w:p>
            <w:pPr>
              <w:pStyle w:val="TableContents"/>
              <w:spacing w:before="0" w:after="283"/>
              <w:jc w:val="right"/>
              <w:rPr/>
            </w:pPr>
            <w:r>
              <w:rPr/>
              <w:t>    </w:t>
            </w:r>
          </w:p>
        </w:tc>
        <w:tc>
          <w:tcPr>
            <w:tcW w:w="264" w:type="dxa"/>
            <w:tcBorders/>
            <w:shd w:fill="E5FFFF" w:val="clear"/>
            <w:vAlign w:val="center"/>
          </w:tcPr>
          <w:p>
            <w:pPr>
              <w:pStyle w:val="TableContents"/>
              <w:spacing w:before="0" w:after="283"/>
              <w:rPr/>
            </w:pPr>
            <w:r>
              <w:rPr/>
              <w:t> </w:t>
            </w:r>
          </w:p>
        </w:tc>
        <w:tc>
          <w:tcPr>
            <w:tcW w:w="722" w:type="dxa"/>
            <w:tcBorders/>
            <w:shd w:fill="E5FFFF" w:val="clear"/>
            <w:vAlign w:val="bottom"/>
          </w:tcPr>
          <w:p>
            <w:pPr>
              <w:pStyle w:val="HorizontalLine"/>
              <w:pBdr>
                <w:bottom w:val="single" w:sz="6" w:space="0" w:color="000000"/>
              </w:pBdr>
              <w:spacing w:before="0" w:after="283"/>
              <w:rPr/>
            </w:pPr>
            <w:r>
              <w:rPr/>
            </w:r>
          </w:p>
        </w:tc>
        <w:tc>
          <w:tcPr>
            <w:tcW w:w="102" w:type="dxa"/>
            <w:tcBorders/>
            <w:shd w:fill="E5FFFF" w:val="clear"/>
            <w:vAlign w:val="center"/>
          </w:tcPr>
          <w:p>
            <w:pPr>
              <w:pStyle w:val="TableContents"/>
              <w:spacing w:before="0" w:after="283"/>
              <w:rPr/>
            </w:pPr>
            <w:r>
              <w:rPr/>
              <w:t> </w:t>
            </w:r>
          </w:p>
        </w:tc>
      </w:tr>
      <w:tr>
        <w:trPr/>
        <w:tc>
          <w:tcPr>
            <w:tcW w:w="589" w:type="dxa"/>
            <w:tcBorders/>
            <w:shd w:fill="FFFFFF" w:val="clear"/>
            <w:vAlign w:val="bottom"/>
          </w:tcPr>
          <w:p>
            <w:pPr>
              <w:pStyle w:val="TableContents"/>
              <w:spacing w:before="0" w:after="283"/>
              <w:jc w:val="left"/>
              <w:rPr/>
            </w:pPr>
            <w:r>
              <w:rPr/>
              <w:t>      </w:t>
            </w:r>
          </w:p>
        </w:tc>
        <w:tc>
          <w:tcPr>
            <w:tcW w:w="6641" w:type="dxa"/>
            <w:tcBorders/>
            <w:shd w:fill="FFFFFF" w:val="clear"/>
            <w:vAlign w:val="bottom"/>
          </w:tcPr>
          <w:p>
            <w:pPr>
              <w:pStyle w:val="TableContents"/>
              <w:spacing w:before="0" w:after="283"/>
              <w:rPr>
                <w:sz w:val="4"/>
                <w:szCs w:val="4"/>
              </w:rPr>
            </w:pPr>
            <w:r>
              <w:rPr>
                <w:sz w:val="4"/>
                <w:szCs w:val="4"/>
              </w:rPr>
            </w:r>
          </w:p>
        </w:tc>
        <w:tc>
          <w:tcPr>
            <w:tcW w:w="392" w:type="dxa"/>
            <w:tcBorders/>
            <w:shd w:fill="FFFFFF" w:val="clear"/>
            <w:vAlign w:val="bottom"/>
          </w:tcPr>
          <w:p>
            <w:pPr>
              <w:pStyle w:val="TableContents"/>
              <w:spacing w:before="0" w:after="283"/>
              <w:jc w:val="right"/>
              <w:rPr/>
            </w:pPr>
            <w:r>
              <w:rPr/>
              <w:t>    </w:t>
            </w:r>
          </w:p>
        </w:tc>
        <w:tc>
          <w:tcPr>
            <w:tcW w:w="264" w:type="dxa"/>
            <w:tcBorders/>
            <w:shd w:fill="FFFFFF" w:val="clear"/>
            <w:vAlign w:val="bottom"/>
          </w:tcPr>
          <w:p>
            <w:pPr>
              <w:pStyle w:val="TableContents"/>
              <w:spacing w:before="0" w:after="283"/>
              <w:jc w:val="right"/>
              <w:rPr>
                <w:rFonts w:ascii="Arial" w:hAnsi="Arial"/>
              </w:rPr>
            </w:pPr>
            <w:r>
              <w:rPr>
                <w:rFonts w:ascii="Arial" w:hAnsi="Arial"/>
              </w:rPr>
              <w:t>$</w:t>
            </w:r>
          </w:p>
        </w:tc>
        <w:tc>
          <w:tcPr>
            <w:tcW w:w="722" w:type="dxa"/>
            <w:tcBorders/>
            <w:shd w:fill="FFFFFF" w:val="clear"/>
            <w:vAlign w:val="bottom"/>
          </w:tcPr>
          <w:p>
            <w:pPr>
              <w:pStyle w:val="TableContents"/>
              <w:spacing w:before="0" w:after="283"/>
              <w:jc w:val="right"/>
              <w:rPr>
                <w:rFonts w:ascii="Arial" w:hAnsi="Arial"/>
              </w:rPr>
            </w:pPr>
            <w:r>
              <w:rPr>
                <w:rFonts w:ascii="Arial" w:hAnsi="Arial"/>
              </w:rPr>
              <w:t>382</w:t>
            </w:r>
          </w:p>
        </w:tc>
        <w:tc>
          <w:tcPr>
            <w:tcW w:w="102" w:type="dxa"/>
            <w:tcBorders/>
            <w:shd w:fill="FFFFFF" w:val="clear"/>
            <w:vAlign w:val="center"/>
          </w:tcPr>
          <w:p>
            <w:pPr>
              <w:pStyle w:val="TableContents"/>
              <w:spacing w:before="0" w:after="283"/>
              <w:rPr/>
            </w:pPr>
            <w:r>
              <w:rPr/>
              <w:t> </w:t>
            </w:r>
          </w:p>
        </w:tc>
        <w:tc>
          <w:tcPr>
            <w:tcW w:w="407" w:type="dxa"/>
            <w:tcBorders/>
            <w:shd w:fill="FFFFFF" w:val="clear"/>
            <w:vAlign w:val="bottom"/>
          </w:tcPr>
          <w:p>
            <w:pPr>
              <w:pStyle w:val="TableContents"/>
              <w:spacing w:before="0" w:after="283"/>
              <w:jc w:val="right"/>
              <w:rPr/>
            </w:pPr>
            <w:r>
              <w:rPr/>
              <w:t>    </w:t>
            </w:r>
          </w:p>
        </w:tc>
        <w:tc>
          <w:tcPr>
            <w:tcW w:w="264" w:type="dxa"/>
            <w:tcBorders/>
            <w:shd w:fill="FFFFFF" w:val="clear"/>
            <w:vAlign w:val="bottom"/>
          </w:tcPr>
          <w:p>
            <w:pPr>
              <w:pStyle w:val="TableContents"/>
              <w:spacing w:before="0" w:after="283"/>
              <w:jc w:val="right"/>
              <w:rPr>
                <w:rFonts w:ascii="Arial" w:hAnsi="Arial"/>
              </w:rPr>
            </w:pPr>
            <w:r>
              <w:rPr>
                <w:rFonts w:ascii="Arial" w:hAnsi="Arial"/>
              </w:rPr>
              <w:t>$</w:t>
            </w:r>
          </w:p>
        </w:tc>
        <w:tc>
          <w:tcPr>
            <w:tcW w:w="722" w:type="dxa"/>
            <w:tcBorders/>
            <w:shd w:fill="FFFFFF" w:val="clear"/>
            <w:vAlign w:val="bottom"/>
          </w:tcPr>
          <w:p>
            <w:pPr>
              <w:pStyle w:val="TableContents"/>
              <w:spacing w:before="0" w:after="283"/>
              <w:jc w:val="right"/>
              <w:rPr>
                <w:rFonts w:ascii="Arial" w:hAnsi="Arial"/>
              </w:rPr>
            </w:pPr>
            <w:r>
              <w:rPr>
                <w:rFonts w:ascii="Arial" w:hAnsi="Arial"/>
              </w:rPr>
              <w:t>370</w:t>
            </w:r>
          </w:p>
        </w:tc>
        <w:tc>
          <w:tcPr>
            <w:tcW w:w="102" w:type="dxa"/>
            <w:tcBorders/>
            <w:shd w:fill="FFFFFF" w:val="clear"/>
            <w:vAlign w:val="center"/>
          </w:tcPr>
          <w:p>
            <w:pPr>
              <w:pStyle w:val="TableContents"/>
              <w:spacing w:before="0" w:after="283"/>
              <w:rPr/>
            </w:pPr>
            <w:r>
              <w:rPr/>
              <w:t> </w:t>
            </w:r>
          </w:p>
        </w:tc>
      </w:tr>
      <w:tr>
        <w:trPr/>
        <w:tc>
          <w:tcPr>
            <w:tcW w:w="589" w:type="dxa"/>
            <w:tcBorders/>
            <w:shd w:fill="E5FFFF" w:val="clear"/>
            <w:vAlign w:val="center"/>
          </w:tcPr>
          <w:p>
            <w:pPr>
              <w:pStyle w:val="TableContents"/>
              <w:spacing w:before="0" w:after="283"/>
              <w:rPr/>
            </w:pPr>
            <w:r>
              <w:rPr/>
              <w:t> </w:t>
            </w:r>
          </w:p>
        </w:tc>
        <w:tc>
          <w:tcPr>
            <w:tcW w:w="6641" w:type="dxa"/>
            <w:tcBorders/>
            <w:shd w:fill="E5FFFF" w:val="clear"/>
            <w:vAlign w:val="center"/>
          </w:tcPr>
          <w:p>
            <w:pPr>
              <w:pStyle w:val="TableContents"/>
              <w:spacing w:before="0" w:after="283"/>
              <w:rPr/>
            </w:pPr>
            <w:r>
              <w:rPr/>
              <w:t> </w:t>
            </w:r>
          </w:p>
        </w:tc>
        <w:tc>
          <w:tcPr>
            <w:tcW w:w="392" w:type="dxa"/>
            <w:tcBorders/>
            <w:shd w:fill="E5FFFF" w:val="clear"/>
            <w:vAlign w:val="bottom"/>
          </w:tcPr>
          <w:p>
            <w:pPr>
              <w:pStyle w:val="TableContents"/>
              <w:spacing w:before="0" w:after="283"/>
              <w:jc w:val="right"/>
              <w:rPr/>
            </w:pPr>
            <w:r>
              <w:rPr/>
              <w:t>    </w:t>
            </w:r>
          </w:p>
        </w:tc>
        <w:tc>
          <w:tcPr>
            <w:tcW w:w="264" w:type="dxa"/>
            <w:tcBorders/>
            <w:shd w:fill="E5FFFF" w:val="clear"/>
            <w:vAlign w:val="center"/>
          </w:tcPr>
          <w:p>
            <w:pPr>
              <w:pStyle w:val="TableContents"/>
              <w:spacing w:before="0" w:after="283"/>
              <w:rPr/>
            </w:pPr>
            <w:r>
              <w:rPr/>
              <w:t> </w:t>
            </w:r>
          </w:p>
        </w:tc>
        <w:tc>
          <w:tcPr>
            <w:tcW w:w="722" w:type="dxa"/>
            <w:tcBorders/>
            <w:shd w:fill="E5FFFF" w:val="clear"/>
            <w:vAlign w:val="bottom"/>
          </w:tcPr>
          <w:p>
            <w:pPr>
              <w:pStyle w:val="HorizontalLine"/>
              <w:pBdr>
                <w:bottom w:val="single" w:sz="18" w:space="0" w:color="000000"/>
              </w:pBdr>
              <w:spacing w:before="0" w:after="283"/>
              <w:rPr/>
            </w:pPr>
            <w:r>
              <w:rPr/>
            </w:r>
          </w:p>
        </w:tc>
        <w:tc>
          <w:tcPr>
            <w:tcW w:w="102" w:type="dxa"/>
            <w:tcBorders/>
            <w:shd w:fill="E5FFFF" w:val="clear"/>
            <w:vAlign w:val="center"/>
          </w:tcPr>
          <w:p>
            <w:pPr>
              <w:pStyle w:val="TableContents"/>
              <w:spacing w:before="0" w:after="283"/>
              <w:rPr/>
            </w:pPr>
            <w:r>
              <w:rPr/>
              <w:t> </w:t>
            </w:r>
          </w:p>
        </w:tc>
        <w:tc>
          <w:tcPr>
            <w:tcW w:w="407" w:type="dxa"/>
            <w:tcBorders/>
            <w:shd w:fill="E5FFFF" w:val="clear"/>
            <w:vAlign w:val="bottom"/>
          </w:tcPr>
          <w:p>
            <w:pPr>
              <w:pStyle w:val="TableContents"/>
              <w:spacing w:before="0" w:after="283"/>
              <w:jc w:val="right"/>
              <w:rPr/>
            </w:pPr>
            <w:r>
              <w:rPr/>
              <w:t>    </w:t>
            </w:r>
          </w:p>
        </w:tc>
        <w:tc>
          <w:tcPr>
            <w:tcW w:w="264" w:type="dxa"/>
            <w:tcBorders/>
            <w:shd w:fill="E5FFFF" w:val="clear"/>
            <w:vAlign w:val="center"/>
          </w:tcPr>
          <w:p>
            <w:pPr>
              <w:pStyle w:val="TableContents"/>
              <w:spacing w:before="0" w:after="283"/>
              <w:rPr/>
            </w:pPr>
            <w:r>
              <w:rPr/>
              <w:t> </w:t>
            </w:r>
          </w:p>
        </w:tc>
        <w:tc>
          <w:tcPr>
            <w:tcW w:w="722" w:type="dxa"/>
            <w:tcBorders/>
            <w:shd w:fill="E5FFFF" w:val="clear"/>
            <w:vAlign w:val="bottom"/>
          </w:tcPr>
          <w:p>
            <w:pPr>
              <w:pStyle w:val="HorizontalLine"/>
              <w:pBdr>
                <w:bottom w:val="single" w:sz="18" w:space="0" w:color="000000"/>
              </w:pBdr>
              <w:spacing w:before="0" w:after="283"/>
              <w:rPr/>
            </w:pPr>
            <w:r>
              <w:rPr/>
            </w:r>
          </w:p>
        </w:tc>
        <w:tc>
          <w:tcPr>
            <w:tcW w:w="102" w:type="dxa"/>
            <w:tcBorders/>
            <w:shd w:fill="E5FFFF" w:val="clear"/>
            <w:vAlign w:val="center"/>
          </w:tcPr>
          <w:p>
            <w:pPr>
              <w:pStyle w:val="TableContents"/>
              <w:spacing w:before="0" w:after="283"/>
              <w:rPr/>
            </w:pPr>
            <w:r>
              <w:rPr/>
              <w:t> </w:t>
            </w:r>
          </w:p>
        </w:tc>
      </w:tr>
      <w:tr>
        <w:trPr/>
        <w:tc>
          <w:tcPr>
            <w:tcW w:w="589" w:type="dxa"/>
            <w:tcBorders/>
            <w:shd w:fill="FFFFFF" w:val="clear"/>
            <w:vAlign w:val="bottom"/>
          </w:tcPr>
          <w:p>
            <w:pPr>
              <w:pStyle w:val="TableContents"/>
              <w:spacing w:before="0" w:after="283"/>
              <w:jc w:val="left"/>
              <w:rPr/>
            </w:pPr>
            <w:r>
              <w:rPr/>
              <w:t>      </w:t>
            </w:r>
          </w:p>
        </w:tc>
        <w:tc>
          <w:tcPr>
            <w:tcW w:w="6641" w:type="dxa"/>
            <w:tcBorders/>
            <w:shd w:fill="FFFFFF" w:val="clear"/>
            <w:vAlign w:val="bottom"/>
          </w:tcPr>
          <w:p>
            <w:pPr>
              <w:pStyle w:val="TableContents"/>
              <w:spacing w:before="0" w:after="283"/>
              <w:rPr>
                <w:sz w:val="4"/>
                <w:szCs w:val="4"/>
              </w:rPr>
            </w:pPr>
            <w:r>
              <w:rPr>
                <w:sz w:val="4"/>
                <w:szCs w:val="4"/>
              </w:rPr>
            </w:r>
          </w:p>
        </w:tc>
        <w:tc>
          <w:tcPr>
            <w:tcW w:w="392"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407"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722"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Long-Term Trade and Other Receivables includes $68 and $137 million of unbilled balances under long-term contracts as of December 31, 2006 and 2005, respectively. These amounts are billed in accordance with the terms of the customer contracts to which they relate.</w:t>
      </w:r>
    </w:p>
    <w:p>
      <w:pPr>
        <w:pStyle w:val="TextBody"/>
        <w:jc w:val="left"/>
        <w:rPr>
          <w:rFonts w:ascii="Arial" w:hAnsi="Arial"/>
          <w:b/>
        </w:rPr>
      </w:pPr>
      <w:r>
        <w:rPr>
          <w:rFonts w:ascii="Arial" w:hAnsi="Arial"/>
          <w:b/>
        </w:rPr>
        <w:t>Note 11—Property, Plant and Equipment</w:t>
      </w:r>
    </w:p>
    <w:tbl>
      <w:tblPr>
        <w:tblW w:w="5000" w:type="pct"/>
        <w:jc w:val="left"/>
        <w:tblInd w:w="0" w:type="dxa"/>
        <w:tblCellMar>
          <w:top w:w="0" w:type="dxa"/>
          <w:left w:w="0" w:type="dxa"/>
          <w:bottom w:w="0" w:type="dxa"/>
          <w:right w:w="0" w:type="dxa"/>
        </w:tblCellMar>
      </w:tblPr>
      <w:tblGrid>
        <w:gridCol w:w="446"/>
        <w:gridCol w:w="6669"/>
        <w:gridCol w:w="298"/>
        <w:gridCol w:w="193"/>
        <w:gridCol w:w="936"/>
        <w:gridCol w:w="118"/>
        <w:gridCol w:w="298"/>
        <w:gridCol w:w="192"/>
        <w:gridCol w:w="937"/>
        <w:gridCol w:w="118"/>
      </w:tblGrid>
      <w:tr>
        <w:trPr/>
        <w:tc>
          <w:tcPr>
            <w:tcW w:w="446" w:type="dxa"/>
            <w:tcBorders/>
            <w:shd w:fill="FFFFFF" w:val="clear"/>
            <w:vAlign w:val="center"/>
          </w:tcPr>
          <w:p>
            <w:pPr>
              <w:pStyle w:val="TableContents"/>
              <w:spacing w:before="0" w:after="283"/>
              <w:rPr/>
            </w:pPr>
            <w:r>
              <w:rPr/>
              <w:t> </w:t>
            </w:r>
          </w:p>
        </w:tc>
        <w:tc>
          <w:tcPr>
            <w:tcW w:w="6669" w:type="dxa"/>
            <w:tcBorders/>
            <w:shd w:fill="FFFFFF" w:val="clear"/>
            <w:vAlign w:val="center"/>
          </w:tcPr>
          <w:p>
            <w:pPr>
              <w:pStyle w:val="TableContents"/>
              <w:spacing w:before="0" w:after="283"/>
              <w:rPr/>
            </w:pPr>
            <w:r>
              <w:rPr/>
              <w:t> </w:t>
            </w:r>
          </w:p>
        </w:tc>
        <w:tc>
          <w:tcPr>
            <w:tcW w:w="298" w:type="dxa"/>
            <w:tcBorders/>
            <w:shd w:fill="FFFFFF" w:val="clear"/>
            <w:vAlign w:val="center"/>
          </w:tcPr>
          <w:p>
            <w:pPr>
              <w:pStyle w:val="TableContents"/>
              <w:spacing w:before="0" w:after="283"/>
              <w:rPr/>
            </w:pPr>
            <w:r>
              <w:rPr/>
              <w:t> </w:t>
            </w:r>
          </w:p>
        </w:tc>
        <w:tc>
          <w:tcPr>
            <w:tcW w:w="2792"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446" w:type="dxa"/>
            <w:tcBorders/>
            <w:shd w:fill="FFFFFF" w:val="clear"/>
            <w:vAlign w:val="center"/>
          </w:tcPr>
          <w:p>
            <w:pPr>
              <w:pStyle w:val="TableContents"/>
              <w:spacing w:before="0" w:after="283"/>
              <w:rPr/>
            </w:pPr>
            <w:r>
              <w:rPr/>
              <w:t> </w:t>
            </w:r>
          </w:p>
        </w:tc>
        <w:tc>
          <w:tcPr>
            <w:tcW w:w="6669" w:type="dxa"/>
            <w:tcBorders/>
            <w:shd w:fill="FFFFFF" w:val="clear"/>
            <w:vAlign w:val="center"/>
          </w:tcPr>
          <w:p>
            <w:pPr>
              <w:pStyle w:val="TableContents"/>
              <w:spacing w:before="0" w:after="283"/>
              <w:rPr/>
            </w:pPr>
            <w:r>
              <w:rPr/>
              <w:t> </w:t>
            </w:r>
          </w:p>
        </w:tc>
        <w:tc>
          <w:tcPr>
            <w:tcW w:w="298" w:type="dxa"/>
            <w:tcBorders/>
            <w:shd w:fill="FFFFFF" w:val="clear"/>
            <w:vAlign w:val="center"/>
          </w:tcPr>
          <w:p>
            <w:pPr>
              <w:pStyle w:val="TableContents"/>
              <w:spacing w:before="0" w:after="283"/>
              <w:rPr/>
            </w:pPr>
            <w:r>
              <w:rPr/>
              <w:t> </w:t>
            </w:r>
          </w:p>
        </w:tc>
        <w:tc>
          <w:tcPr>
            <w:tcW w:w="1247"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98" w:type="dxa"/>
            <w:tcBorders/>
            <w:shd w:fill="FFFFFF" w:val="clear"/>
            <w:vAlign w:val="center"/>
          </w:tcPr>
          <w:p>
            <w:pPr>
              <w:pStyle w:val="TableContents"/>
              <w:spacing w:before="0" w:after="283"/>
              <w:rPr/>
            </w:pPr>
            <w:r>
              <w:rPr/>
              <w:t> </w:t>
            </w:r>
          </w:p>
        </w:tc>
        <w:tc>
          <w:tcPr>
            <w:tcW w:w="1247"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446" w:type="dxa"/>
            <w:tcBorders/>
            <w:shd w:fill="FFFFFF" w:val="clear"/>
            <w:vAlign w:val="bottom"/>
          </w:tcPr>
          <w:p>
            <w:pPr>
              <w:pStyle w:val="TableContents"/>
              <w:spacing w:before="0" w:after="283"/>
              <w:jc w:val="left"/>
              <w:rPr/>
            </w:pPr>
            <w:r>
              <w:rPr/>
              <w:t>      </w:t>
            </w:r>
          </w:p>
        </w:tc>
        <w:tc>
          <w:tcPr>
            <w:tcW w:w="6669" w:type="dxa"/>
            <w:tcBorders/>
            <w:shd w:fill="FFFFFF" w:val="clear"/>
            <w:vAlign w:val="bottom"/>
          </w:tcPr>
          <w:p>
            <w:pPr>
              <w:pStyle w:val="TableContents"/>
              <w:spacing w:before="0" w:after="283"/>
              <w:jc w:val="left"/>
              <w:rPr>
                <w:rFonts w:ascii="Arial" w:hAnsi="Arial"/>
              </w:rPr>
            </w:pPr>
            <w:r>
              <w:rPr>
                <w:rFonts w:ascii="Arial" w:hAnsi="Arial"/>
              </w:rPr>
              <w:t>Land and improvements</w:t>
            </w:r>
          </w:p>
        </w:tc>
        <w:tc>
          <w:tcPr>
            <w:tcW w:w="298"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right"/>
              <w:rPr>
                <w:rFonts w:ascii="Arial" w:hAnsi="Arial"/>
              </w:rPr>
            </w:pPr>
            <w:r>
              <w:rPr>
                <w:rFonts w:ascii="Arial" w:hAnsi="Arial"/>
              </w:rPr>
              <w:t>$</w:t>
            </w:r>
          </w:p>
        </w:tc>
        <w:tc>
          <w:tcPr>
            <w:tcW w:w="936" w:type="dxa"/>
            <w:tcBorders/>
            <w:shd w:fill="FFFFFF" w:val="clear"/>
            <w:vAlign w:val="bottom"/>
          </w:tcPr>
          <w:p>
            <w:pPr>
              <w:pStyle w:val="TableContents"/>
              <w:spacing w:before="0" w:after="283"/>
              <w:jc w:val="right"/>
              <w:rPr>
                <w:rFonts w:ascii="Arial" w:hAnsi="Arial"/>
              </w:rPr>
            </w:pPr>
            <w:r>
              <w:rPr>
                <w:rFonts w:ascii="Arial" w:hAnsi="Arial"/>
              </w:rPr>
              <w:t>408</w:t>
            </w:r>
          </w:p>
        </w:tc>
        <w:tc>
          <w:tcPr>
            <w:tcW w:w="118" w:type="dxa"/>
            <w:tcBorders/>
            <w:shd w:fill="FFFFFF" w:val="clear"/>
            <w:vAlign w:val="center"/>
          </w:tcPr>
          <w:p>
            <w:pPr>
              <w:pStyle w:val="TableContents"/>
              <w:spacing w:before="0" w:after="283"/>
              <w:rPr/>
            </w:pPr>
            <w:r>
              <w:rPr/>
              <w:t> </w:t>
            </w:r>
          </w:p>
        </w:tc>
        <w:tc>
          <w:tcPr>
            <w:tcW w:w="298"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jc w:val="right"/>
              <w:rPr>
                <w:rFonts w:ascii="Arial" w:hAnsi="Arial"/>
              </w:rPr>
            </w:pPr>
            <w:r>
              <w:rPr>
                <w:rFonts w:ascii="Arial" w:hAnsi="Arial"/>
              </w:rPr>
              <w:t>$</w:t>
            </w:r>
          </w:p>
        </w:tc>
        <w:tc>
          <w:tcPr>
            <w:tcW w:w="937" w:type="dxa"/>
            <w:tcBorders/>
            <w:shd w:fill="FFFFFF" w:val="clear"/>
            <w:vAlign w:val="bottom"/>
          </w:tcPr>
          <w:p>
            <w:pPr>
              <w:pStyle w:val="TableContents"/>
              <w:spacing w:before="0" w:after="283"/>
              <w:jc w:val="right"/>
              <w:rPr>
                <w:rFonts w:ascii="Arial" w:hAnsi="Arial"/>
              </w:rPr>
            </w:pPr>
            <w:r>
              <w:rPr>
                <w:rFonts w:ascii="Arial" w:hAnsi="Arial"/>
              </w:rPr>
              <w:t>352</w:t>
            </w:r>
          </w:p>
        </w:tc>
        <w:tc>
          <w:tcPr>
            <w:tcW w:w="118" w:type="dxa"/>
            <w:tcBorders/>
            <w:shd w:fill="FFFFFF" w:val="clear"/>
            <w:vAlign w:val="center"/>
          </w:tcPr>
          <w:p>
            <w:pPr>
              <w:pStyle w:val="TableContents"/>
              <w:spacing w:before="0" w:after="283"/>
              <w:rPr/>
            </w:pPr>
            <w:r>
              <w:rPr/>
              <w:t> </w:t>
            </w:r>
          </w:p>
        </w:tc>
      </w:tr>
      <w:tr>
        <w:trPr/>
        <w:tc>
          <w:tcPr>
            <w:tcW w:w="446" w:type="dxa"/>
            <w:tcBorders/>
            <w:shd w:fill="E5FFFF" w:val="clear"/>
            <w:vAlign w:val="bottom"/>
          </w:tcPr>
          <w:p>
            <w:pPr>
              <w:pStyle w:val="TableContents"/>
              <w:spacing w:before="0" w:after="283"/>
              <w:jc w:val="left"/>
              <w:rPr/>
            </w:pPr>
            <w:r>
              <w:rPr/>
              <w:t>      </w:t>
            </w:r>
          </w:p>
        </w:tc>
        <w:tc>
          <w:tcPr>
            <w:tcW w:w="6669" w:type="dxa"/>
            <w:tcBorders/>
            <w:shd w:fill="E5FFFF" w:val="clear"/>
            <w:vAlign w:val="bottom"/>
          </w:tcPr>
          <w:p>
            <w:pPr>
              <w:pStyle w:val="TableContents"/>
              <w:spacing w:before="0" w:after="283"/>
              <w:jc w:val="left"/>
              <w:rPr>
                <w:rFonts w:ascii="Arial" w:hAnsi="Arial"/>
              </w:rPr>
            </w:pPr>
            <w:r>
              <w:rPr>
                <w:rFonts w:ascii="Arial" w:hAnsi="Arial"/>
              </w:rPr>
              <w:t>Machinery and equipment</w:t>
            </w:r>
          </w:p>
        </w:tc>
        <w:tc>
          <w:tcPr>
            <w:tcW w:w="298"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936" w:type="dxa"/>
            <w:tcBorders/>
            <w:shd w:fill="E5FFFF" w:val="clear"/>
            <w:vAlign w:val="bottom"/>
          </w:tcPr>
          <w:p>
            <w:pPr>
              <w:pStyle w:val="TableContents"/>
              <w:spacing w:before="0" w:after="283"/>
              <w:jc w:val="right"/>
              <w:rPr>
                <w:rFonts w:ascii="Arial" w:hAnsi="Arial"/>
              </w:rPr>
            </w:pPr>
            <w:r>
              <w:rPr>
                <w:rFonts w:ascii="Arial" w:hAnsi="Arial"/>
              </w:rPr>
              <w:t>9,888</w:t>
            </w:r>
          </w:p>
        </w:tc>
        <w:tc>
          <w:tcPr>
            <w:tcW w:w="118"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2" w:type="dxa"/>
            <w:tcBorders/>
            <w:shd w:fill="E5FFFF" w:val="clear"/>
            <w:vAlign w:val="center"/>
          </w:tcPr>
          <w:p>
            <w:pPr>
              <w:pStyle w:val="TableContents"/>
              <w:spacing w:before="0" w:after="283"/>
              <w:rPr/>
            </w:pPr>
            <w:r>
              <w:rPr/>
              <w:t> </w:t>
            </w:r>
          </w:p>
        </w:tc>
        <w:tc>
          <w:tcPr>
            <w:tcW w:w="937" w:type="dxa"/>
            <w:tcBorders/>
            <w:shd w:fill="E5FFFF" w:val="clear"/>
            <w:vAlign w:val="bottom"/>
          </w:tcPr>
          <w:p>
            <w:pPr>
              <w:pStyle w:val="TableContents"/>
              <w:spacing w:before="0" w:after="283"/>
              <w:jc w:val="right"/>
              <w:rPr>
                <w:rFonts w:ascii="Arial" w:hAnsi="Arial"/>
              </w:rPr>
            </w:pPr>
            <w:r>
              <w:rPr>
                <w:rFonts w:ascii="Arial" w:hAnsi="Arial"/>
              </w:rPr>
              <w:t>9,381</w:t>
            </w:r>
          </w:p>
        </w:tc>
        <w:tc>
          <w:tcPr>
            <w:tcW w:w="118" w:type="dxa"/>
            <w:tcBorders/>
            <w:shd w:fill="E5FFFF" w:val="clear"/>
            <w:vAlign w:val="center"/>
          </w:tcPr>
          <w:p>
            <w:pPr>
              <w:pStyle w:val="TableContents"/>
              <w:spacing w:before="0" w:after="283"/>
              <w:rPr/>
            </w:pPr>
            <w:r>
              <w:rPr/>
              <w:t> </w:t>
            </w:r>
          </w:p>
        </w:tc>
      </w:tr>
      <w:tr>
        <w:trPr/>
        <w:tc>
          <w:tcPr>
            <w:tcW w:w="446" w:type="dxa"/>
            <w:tcBorders/>
            <w:shd w:fill="FFFFFF" w:val="clear"/>
            <w:vAlign w:val="bottom"/>
          </w:tcPr>
          <w:p>
            <w:pPr>
              <w:pStyle w:val="TableContents"/>
              <w:spacing w:before="0" w:after="283"/>
              <w:jc w:val="left"/>
              <w:rPr/>
            </w:pPr>
            <w:r>
              <w:rPr/>
              <w:t>      </w:t>
            </w:r>
          </w:p>
        </w:tc>
        <w:tc>
          <w:tcPr>
            <w:tcW w:w="6669" w:type="dxa"/>
            <w:tcBorders/>
            <w:shd w:fill="FFFFFF" w:val="clear"/>
            <w:vAlign w:val="bottom"/>
          </w:tcPr>
          <w:p>
            <w:pPr>
              <w:pStyle w:val="TableContents"/>
              <w:spacing w:before="0" w:after="283"/>
              <w:jc w:val="left"/>
              <w:rPr>
                <w:rFonts w:ascii="Arial" w:hAnsi="Arial"/>
              </w:rPr>
            </w:pPr>
            <w:r>
              <w:rPr>
                <w:rFonts w:ascii="Arial" w:hAnsi="Arial"/>
              </w:rPr>
              <w:t>Buildings and improvements</w:t>
            </w:r>
          </w:p>
        </w:tc>
        <w:tc>
          <w:tcPr>
            <w:tcW w:w="298"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6" w:type="dxa"/>
            <w:tcBorders/>
            <w:shd w:fill="FFFFFF" w:val="clear"/>
            <w:vAlign w:val="bottom"/>
          </w:tcPr>
          <w:p>
            <w:pPr>
              <w:pStyle w:val="TableContents"/>
              <w:spacing w:before="0" w:after="283"/>
              <w:jc w:val="right"/>
              <w:rPr>
                <w:rFonts w:ascii="Arial" w:hAnsi="Arial"/>
              </w:rPr>
            </w:pPr>
            <w:r>
              <w:rPr>
                <w:rFonts w:ascii="Arial" w:hAnsi="Arial"/>
              </w:rPr>
              <w:t>2,056</w:t>
            </w:r>
          </w:p>
        </w:tc>
        <w:tc>
          <w:tcPr>
            <w:tcW w:w="118" w:type="dxa"/>
            <w:tcBorders/>
            <w:shd w:fill="FFFFFF" w:val="clear"/>
            <w:vAlign w:val="center"/>
          </w:tcPr>
          <w:p>
            <w:pPr>
              <w:pStyle w:val="TableContents"/>
              <w:spacing w:before="0" w:after="283"/>
              <w:rPr/>
            </w:pPr>
            <w:r>
              <w:rPr/>
              <w:t> </w:t>
            </w:r>
          </w:p>
        </w:tc>
        <w:tc>
          <w:tcPr>
            <w:tcW w:w="298" w:type="dxa"/>
            <w:tcBorders/>
            <w:shd w:fill="FFFFFF" w:val="clear"/>
            <w:vAlign w:val="bottom"/>
          </w:tcPr>
          <w:p>
            <w:pPr>
              <w:pStyle w:val="TableContents"/>
              <w:spacing w:before="0" w:after="283"/>
              <w:jc w:val="right"/>
              <w:rPr/>
            </w:pPr>
            <w:r>
              <w:rPr/>
              <w:t>    </w:t>
            </w:r>
          </w:p>
        </w:tc>
        <w:tc>
          <w:tcPr>
            <w:tcW w:w="192" w:type="dxa"/>
            <w:tcBorders/>
            <w:shd w:fill="FFFFFF" w:val="clear"/>
            <w:vAlign w:val="center"/>
          </w:tcPr>
          <w:p>
            <w:pPr>
              <w:pStyle w:val="TableContents"/>
              <w:spacing w:before="0" w:after="283"/>
              <w:rPr/>
            </w:pPr>
            <w:r>
              <w:rPr/>
              <w:t> </w:t>
            </w:r>
          </w:p>
        </w:tc>
        <w:tc>
          <w:tcPr>
            <w:tcW w:w="937" w:type="dxa"/>
            <w:tcBorders/>
            <w:shd w:fill="FFFFFF" w:val="clear"/>
            <w:vAlign w:val="bottom"/>
          </w:tcPr>
          <w:p>
            <w:pPr>
              <w:pStyle w:val="TableContents"/>
              <w:spacing w:before="0" w:after="283"/>
              <w:jc w:val="right"/>
              <w:rPr>
                <w:rFonts w:ascii="Arial" w:hAnsi="Arial"/>
              </w:rPr>
            </w:pPr>
            <w:r>
              <w:rPr>
                <w:rFonts w:ascii="Arial" w:hAnsi="Arial"/>
              </w:rPr>
              <w:t>2,120</w:t>
            </w:r>
          </w:p>
        </w:tc>
        <w:tc>
          <w:tcPr>
            <w:tcW w:w="118" w:type="dxa"/>
            <w:tcBorders/>
            <w:shd w:fill="FFFFFF" w:val="clear"/>
            <w:vAlign w:val="center"/>
          </w:tcPr>
          <w:p>
            <w:pPr>
              <w:pStyle w:val="TableContents"/>
              <w:spacing w:before="0" w:after="283"/>
              <w:rPr/>
            </w:pPr>
            <w:r>
              <w:rPr/>
              <w:t> </w:t>
            </w:r>
          </w:p>
        </w:tc>
      </w:tr>
      <w:tr>
        <w:trPr/>
        <w:tc>
          <w:tcPr>
            <w:tcW w:w="446" w:type="dxa"/>
            <w:tcBorders/>
            <w:shd w:fill="E5FFFF" w:val="clear"/>
            <w:vAlign w:val="bottom"/>
          </w:tcPr>
          <w:p>
            <w:pPr>
              <w:pStyle w:val="TableContents"/>
              <w:spacing w:before="0" w:after="283"/>
              <w:jc w:val="left"/>
              <w:rPr/>
            </w:pPr>
            <w:r>
              <w:rPr/>
              <w:t>      </w:t>
            </w:r>
          </w:p>
        </w:tc>
        <w:tc>
          <w:tcPr>
            <w:tcW w:w="6669" w:type="dxa"/>
            <w:tcBorders/>
            <w:shd w:fill="E5FFFF" w:val="clear"/>
            <w:vAlign w:val="bottom"/>
          </w:tcPr>
          <w:p>
            <w:pPr>
              <w:pStyle w:val="TableContents"/>
              <w:spacing w:before="0" w:after="283"/>
              <w:jc w:val="left"/>
              <w:rPr>
                <w:rFonts w:ascii="Arial" w:hAnsi="Arial"/>
              </w:rPr>
            </w:pPr>
            <w:r>
              <w:rPr>
                <w:rFonts w:ascii="Arial" w:hAnsi="Arial"/>
              </w:rPr>
              <w:t>Construction in progress</w:t>
            </w:r>
          </w:p>
        </w:tc>
        <w:tc>
          <w:tcPr>
            <w:tcW w:w="298"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936" w:type="dxa"/>
            <w:tcBorders/>
            <w:shd w:fill="E5FFFF" w:val="clear"/>
            <w:vAlign w:val="bottom"/>
          </w:tcPr>
          <w:p>
            <w:pPr>
              <w:pStyle w:val="TableContents"/>
              <w:spacing w:before="0" w:after="283"/>
              <w:jc w:val="right"/>
              <w:rPr>
                <w:rFonts w:ascii="Arial" w:hAnsi="Arial"/>
              </w:rPr>
            </w:pPr>
            <w:r>
              <w:rPr>
                <w:rFonts w:ascii="Arial" w:hAnsi="Arial"/>
              </w:rPr>
              <w:t>447</w:t>
            </w:r>
          </w:p>
        </w:tc>
        <w:tc>
          <w:tcPr>
            <w:tcW w:w="118"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2" w:type="dxa"/>
            <w:tcBorders/>
            <w:shd w:fill="E5FFFF" w:val="clear"/>
            <w:vAlign w:val="center"/>
          </w:tcPr>
          <w:p>
            <w:pPr>
              <w:pStyle w:val="TableContents"/>
              <w:spacing w:before="0" w:after="283"/>
              <w:rPr/>
            </w:pPr>
            <w:r>
              <w:rPr/>
              <w:t> </w:t>
            </w:r>
          </w:p>
        </w:tc>
        <w:tc>
          <w:tcPr>
            <w:tcW w:w="937" w:type="dxa"/>
            <w:tcBorders/>
            <w:shd w:fill="E5FFFF" w:val="clear"/>
            <w:vAlign w:val="bottom"/>
          </w:tcPr>
          <w:p>
            <w:pPr>
              <w:pStyle w:val="TableContents"/>
              <w:spacing w:before="0" w:after="283"/>
              <w:jc w:val="right"/>
              <w:rPr>
                <w:rFonts w:ascii="Arial" w:hAnsi="Arial"/>
              </w:rPr>
            </w:pPr>
            <w:r>
              <w:rPr>
                <w:rFonts w:ascii="Arial" w:hAnsi="Arial"/>
              </w:rPr>
              <w:t>433</w:t>
            </w:r>
          </w:p>
        </w:tc>
        <w:tc>
          <w:tcPr>
            <w:tcW w:w="118" w:type="dxa"/>
            <w:tcBorders/>
            <w:shd w:fill="E5FFFF" w:val="clear"/>
            <w:vAlign w:val="center"/>
          </w:tcPr>
          <w:p>
            <w:pPr>
              <w:pStyle w:val="TableContents"/>
              <w:spacing w:before="0" w:after="283"/>
              <w:rPr/>
            </w:pPr>
            <w:r>
              <w:rPr/>
              <w:t> </w:t>
            </w:r>
          </w:p>
        </w:tc>
      </w:tr>
      <w:tr>
        <w:trPr/>
        <w:tc>
          <w:tcPr>
            <w:tcW w:w="446" w:type="dxa"/>
            <w:tcBorders/>
            <w:shd w:fill="FFFFFF" w:val="clear"/>
            <w:vAlign w:val="center"/>
          </w:tcPr>
          <w:p>
            <w:pPr>
              <w:pStyle w:val="TableContents"/>
              <w:spacing w:before="0" w:after="283"/>
              <w:rPr/>
            </w:pPr>
            <w:r>
              <w:rPr/>
              <w:t> </w:t>
            </w:r>
          </w:p>
        </w:tc>
        <w:tc>
          <w:tcPr>
            <w:tcW w:w="6669" w:type="dxa"/>
            <w:tcBorders/>
            <w:shd w:fill="FFFFFF" w:val="clear"/>
            <w:vAlign w:val="center"/>
          </w:tcPr>
          <w:p>
            <w:pPr>
              <w:pStyle w:val="TableContents"/>
              <w:spacing w:before="0" w:after="283"/>
              <w:rPr/>
            </w:pPr>
            <w:r>
              <w:rPr/>
              <w:t> </w:t>
            </w:r>
          </w:p>
        </w:tc>
        <w:tc>
          <w:tcPr>
            <w:tcW w:w="298"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6" w:type="dxa"/>
            <w:tcBorders/>
            <w:shd w:fill="FFFFFF" w:val="clear"/>
            <w:vAlign w:val="bottom"/>
          </w:tcPr>
          <w:p>
            <w:pPr>
              <w:pStyle w:val="HorizontalLine"/>
              <w:pBdr>
                <w:bottom w:val="single" w:sz="6" w:space="0" w:color="000000"/>
              </w:pBdr>
              <w:spacing w:before="0" w:after="283"/>
              <w:rPr/>
            </w:pPr>
            <w:r>
              <w:rPr/>
            </w:r>
          </w:p>
        </w:tc>
        <w:tc>
          <w:tcPr>
            <w:tcW w:w="118" w:type="dxa"/>
            <w:tcBorders/>
            <w:shd w:fill="FFFFFF" w:val="clear"/>
            <w:vAlign w:val="center"/>
          </w:tcPr>
          <w:p>
            <w:pPr>
              <w:pStyle w:val="TableContents"/>
              <w:spacing w:before="0" w:after="283"/>
              <w:rPr/>
            </w:pPr>
            <w:r>
              <w:rPr/>
              <w:t> </w:t>
            </w:r>
          </w:p>
        </w:tc>
        <w:tc>
          <w:tcPr>
            <w:tcW w:w="298" w:type="dxa"/>
            <w:tcBorders/>
            <w:shd w:fill="FFFFFF" w:val="clear"/>
            <w:vAlign w:val="bottom"/>
          </w:tcPr>
          <w:p>
            <w:pPr>
              <w:pStyle w:val="TableContents"/>
              <w:spacing w:before="0" w:after="283"/>
              <w:jc w:val="right"/>
              <w:rPr/>
            </w:pPr>
            <w:r>
              <w:rPr/>
              <w:t>    </w:t>
            </w:r>
          </w:p>
        </w:tc>
        <w:tc>
          <w:tcPr>
            <w:tcW w:w="192" w:type="dxa"/>
            <w:tcBorders/>
            <w:shd w:fill="FFFFFF" w:val="clear"/>
            <w:vAlign w:val="center"/>
          </w:tcPr>
          <w:p>
            <w:pPr>
              <w:pStyle w:val="TableContents"/>
              <w:spacing w:before="0" w:after="283"/>
              <w:rPr/>
            </w:pPr>
            <w:r>
              <w:rPr/>
              <w:t> </w:t>
            </w:r>
          </w:p>
        </w:tc>
        <w:tc>
          <w:tcPr>
            <w:tcW w:w="937" w:type="dxa"/>
            <w:tcBorders/>
            <w:shd w:fill="FFFFFF" w:val="clear"/>
            <w:vAlign w:val="bottom"/>
          </w:tcPr>
          <w:p>
            <w:pPr>
              <w:pStyle w:val="HorizontalLine"/>
              <w:pBdr>
                <w:bottom w:val="single" w:sz="6" w:space="0" w:color="000000"/>
              </w:pBdr>
              <w:spacing w:before="0" w:after="283"/>
              <w:rPr/>
            </w:pPr>
            <w:r>
              <w:rPr/>
            </w:r>
          </w:p>
        </w:tc>
        <w:tc>
          <w:tcPr>
            <w:tcW w:w="118" w:type="dxa"/>
            <w:tcBorders/>
            <w:shd w:fill="FFFFFF" w:val="clear"/>
            <w:vAlign w:val="center"/>
          </w:tcPr>
          <w:p>
            <w:pPr>
              <w:pStyle w:val="TableContents"/>
              <w:spacing w:before="0" w:after="283"/>
              <w:rPr/>
            </w:pPr>
            <w:r>
              <w:rPr/>
              <w:t> </w:t>
            </w:r>
          </w:p>
        </w:tc>
      </w:tr>
      <w:tr>
        <w:trPr/>
        <w:tc>
          <w:tcPr>
            <w:tcW w:w="446" w:type="dxa"/>
            <w:tcBorders/>
            <w:shd w:fill="E5FFFF" w:val="clear"/>
            <w:vAlign w:val="bottom"/>
          </w:tcPr>
          <w:p>
            <w:pPr>
              <w:pStyle w:val="TableContents"/>
              <w:spacing w:before="0" w:after="283"/>
              <w:jc w:val="left"/>
              <w:rPr/>
            </w:pPr>
            <w:r>
              <w:rPr/>
              <w:t>      </w:t>
            </w:r>
          </w:p>
        </w:tc>
        <w:tc>
          <w:tcPr>
            <w:tcW w:w="6669" w:type="dxa"/>
            <w:tcBorders/>
            <w:shd w:fill="E5FFFF" w:val="clear"/>
            <w:vAlign w:val="bottom"/>
          </w:tcPr>
          <w:p>
            <w:pPr>
              <w:pStyle w:val="TableContents"/>
              <w:spacing w:before="0" w:after="283"/>
              <w:rPr>
                <w:sz w:val="4"/>
                <w:szCs w:val="4"/>
              </w:rPr>
            </w:pPr>
            <w:r>
              <w:rPr>
                <w:sz w:val="4"/>
                <w:szCs w:val="4"/>
              </w:rPr>
            </w:r>
          </w:p>
        </w:tc>
        <w:tc>
          <w:tcPr>
            <w:tcW w:w="298"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936" w:type="dxa"/>
            <w:tcBorders/>
            <w:shd w:fill="E5FFFF" w:val="clear"/>
            <w:vAlign w:val="bottom"/>
          </w:tcPr>
          <w:p>
            <w:pPr>
              <w:pStyle w:val="TableContents"/>
              <w:spacing w:before="0" w:after="283"/>
              <w:jc w:val="right"/>
              <w:rPr>
                <w:rFonts w:ascii="Arial" w:hAnsi="Arial"/>
              </w:rPr>
            </w:pPr>
            <w:r>
              <w:rPr>
                <w:rFonts w:ascii="Arial" w:hAnsi="Arial"/>
              </w:rPr>
              <w:t>12,799</w:t>
            </w:r>
          </w:p>
        </w:tc>
        <w:tc>
          <w:tcPr>
            <w:tcW w:w="118"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2" w:type="dxa"/>
            <w:tcBorders/>
            <w:shd w:fill="E5FFFF" w:val="clear"/>
            <w:vAlign w:val="center"/>
          </w:tcPr>
          <w:p>
            <w:pPr>
              <w:pStyle w:val="TableContents"/>
              <w:spacing w:before="0" w:after="283"/>
              <w:rPr/>
            </w:pPr>
            <w:r>
              <w:rPr/>
              <w:t> </w:t>
            </w:r>
          </w:p>
        </w:tc>
        <w:tc>
          <w:tcPr>
            <w:tcW w:w="937" w:type="dxa"/>
            <w:tcBorders/>
            <w:shd w:fill="E5FFFF" w:val="clear"/>
            <w:vAlign w:val="bottom"/>
          </w:tcPr>
          <w:p>
            <w:pPr>
              <w:pStyle w:val="TableContents"/>
              <w:spacing w:before="0" w:after="283"/>
              <w:jc w:val="right"/>
              <w:rPr>
                <w:rFonts w:ascii="Arial" w:hAnsi="Arial"/>
              </w:rPr>
            </w:pPr>
            <w:r>
              <w:rPr>
                <w:rFonts w:ascii="Arial" w:hAnsi="Arial"/>
              </w:rPr>
              <w:t>12,286</w:t>
            </w:r>
          </w:p>
        </w:tc>
        <w:tc>
          <w:tcPr>
            <w:tcW w:w="118" w:type="dxa"/>
            <w:tcBorders/>
            <w:shd w:fill="E5FFFF" w:val="clear"/>
            <w:vAlign w:val="center"/>
          </w:tcPr>
          <w:p>
            <w:pPr>
              <w:pStyle w:val="TableContents"/>
              <w:spacing w:before="0" w:after="283"/>
              <w:rPr/>
            </w:pPr>
            <w:r>
              <w:rPr/>
              <w:t> </w:t>
            </w:r>
          </w:p>
        </w:tc>
      </w:tr>
      <w:tr>
        <w:trPr/>
        <w:tc>
          <w:tcPr>
            <w:tcW w:w="446" w:type="dxa"/>
            <w:tcBorders/>
            <w:shd w:fill="FFFFFF" w:val="clear"/>
            <w:vAlign w:val="bottom"/>
          </w:tcPr>
          <w:p>
            <w:pPr>
              <w:pStyle w:val="TableContents"/>
              <w:spacing w:before="0" w:after="283"/>
              <w:jc w:val="left"/>
              <w:rPr/>
            </w:pPr>
            <w:r>
              <w:rPr/>
              <w:t>      </w:t>
            </w:r>
          </w:p>
        </w:tc>
        <w:tc>
          <w:tcPr>
            <w:tcW w:w="6669" w:type="dxa"/>
            <w:tcBorders/>
            <w:shd w:fill="FFFFFF" w:val="clear"/>
            <w:vAlign w:val="bottom"/>
          </w:tcPr>
          <w:p>
            <w:pPr>
              <w:pStyle w:val="TableContents"/>
              <w:spacing w:before="0" w:after="283"/>
              <w:jc w:val="left"/>
              <w:rPr>
                <w:rFonts w:ascii="Arial" w:hAnsi="Arial"/>
              </w:rPr>
            </w:pPr>
            <w:r>
              <w:rPr>
                <w:rFonts w:ascii="Arial" w:hAnsi="Arial"/>
              </w:rPr>
              <w:t>Less—Accumulated depreciation and amortization</w:t>
            </w:r>
          </w:p>
        </w:tc>
        <w:tc>
          <w:tcPr>
            <w:tcW w:w="298"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936" w:type="dxa"/>
            <w:tcBorders/>
            <w:shd w:fill="FFFFFF" w:val="clear"/>
            <w:vAlign w:val="bottom"/>
          </w:tcPr>
          <w:p>
            <w:pPr>
              <w:pStyle w:val="TableContents"/>
              <w:spacing w:before="0" w:after="283"/>
              <w:jc w:val="right"/>
              <w:rPr>
                <w:rFonts w:ascii="Arial" w:hAnsi="Arial"/>
              </w:rPr>
            </w:pPr>
            <w:r>
              <w:rPr>
                <w:rFonts w:ascii="Arial" w:hAnsi="Arial"/>
              </w:rPr>
              <w:t>(8,002</w:t>
            </w:r>
          </w:p>
        </w:tc>
        <w:tc>
          <w:tcPr>
            <w:tcW w:w="118" w:type="dxa"/>
            <w:tcBorders/>
            <w:shd w:fill="FFFFFF" w:val="clear"/>
            <w:vAlign w:val="bottom"/>
          </w:tcPr>
          <w:p>
            <w:pPr>
              <w:pStyle w:val="TableContents"/>
              <w:spacing w:before="0" w:after="283"/>
              <w:jc w:val="left"/>
              <w:rPr>
                <w:rFonts w:ascii="Arial" w:hAnsi="Arial"/>
              </w:rPr>
            </w:pPr>
            <w:r>
              <w:rPr>
                <w:rFonts w:ascii="Arial" w:hAnsi="Arial"/>
              </w:rPr>
              <w:t>)</w:t>
            </w:r>
          </w:p>
        </w:tc>
        <w:tc>
          <w:tcPr>
            <w:tcW w:w="298" w:type="dxa"/>
            <w:tcBorders/>
            <w:shd w:fill="FFFFFF" w:val="clear"/>
            <w:vAlign w:val="bottom"/>
          </w:tcPr>
          <w:p>
            <w:pPr>
              <w:pStyle w:val="TableContents"/>
              <w:spacing w:before="0" w:after="283"/>
              <w:jc w:val="right"/>
              <w:rPr/>
            </w:pPr>
            <w:r>
              <w:rPr/>
              <w:t>    </w:t>
            </w:r>
          </w:p>
        </w:tc>
        <w:tc>
          <w:tcPr>
            <w:tcW w:w="192" w:type="dxa"/>
            <w:tcBorders/>
            <w:shd w:fill="FFFFFF" w:val="clear"/>
            <w:vAlign w:val="center"/>
          </w:tcPr>
          <w:p>
            <w:pPr>
              <w:pStyle w:val="TableContents"/>
              <w:spacing w:before="0" w:after="283"/>
              <w:rPr/>
            </w:pPr>
            <w:r>
              <w:rPr/>
              <w:t> </w:t>
            </w:r>
          </w:p>
        </w:tc>
        <w:tc>
          <w:tcPr>
            <w:tcW w:w="937" w:type="dxa"/>
            <w:tcBorders/>
            <w:shd w:fill="FFFFFF" w:val="clear"/>
            <w:vAlign w:val="bottom"/>
          </w:tcPr>
          <w:p>
            <w:pPr>
              <w:pStyle w:val="TableContents"/>
              <w:spacing w:before="0" w:after="283"/>
              <w:jc w:val="right"/>
              <w:rPr>
                <w:rFonts w:ascii="Arial" w:hAnsi="Arial"/>
              </w:rPr>
            </w:pPr>
            <w:r>
              <w:rPr>
                <w:rFonts w:ascii="Arial" w:hAnsi="Arial"/>
              </w:rPr>
              <w:t>(7,628</w:t>
            </w:r>
          </w:p>
        </w:tc>
        <w:tc>
          <w:tcPr>
            <w:tcW w:w="118"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46" w:type="dxa"/>
            <w:tcBorders/>
            <w:shd w:fill="E5FFFF" w:val="clear"/>
            <w:vAlign w:val="center"/>
          </w:tcPr>
          <w:p>
            <w:pPr>
              <w:pStyle w:val="TableContents"/>
              <w:spacing w:before="0" w:after="283"/>
              <w:rPr/>
            </w:pPr>
            <w:r>
              <w:rPr/>
              <w:t> </w:t>
            </w:r>
          </w:p>
        </w:tc>
        <w:tc>
          <w:tcPr>
            <w:tcW w:w="6669"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936" w:type="dxa"/>
            <w:tcBorders/>
            <w:shd w:fill="E5FFFF" w:val="clear"/>
            <w:vAlign w:val="bottom"/>
          </w:tcPr>
          <w:p>
            <w:pPr>
              <w:pStyle w:val="HorizontalLine"/>
              <w:pBdr>
                <w:bottom w:val="single" w:sz="6" w:space="0" w:color="000000"/>
              </w:pBdr>
              <w:spacing w:before="0" w:after="283"/>
              <w:rPr/>
            </w:pPr>
            <w:r>
              <w:rPr/>
            </w:r>
          </w:p>
        </w:tc>
        <w:tc>
          <w:tcPr>
            <w:tcW w:w="118"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2" w:type="dxa"/>
            <w:tcBorders/>
            <w:shd w:fill="E5FFFF" w:val="clear"/>
            <w:vAlign w:val="center"/>
          </w:tcPr>
          <w:p>
            <w:pPr>
              <w:pStyle w:val="TableContents"/>
              <w:spacing w:before="0" w:after="283"/>
              <w:rPr/>
            </w:pPr>
            <w:r>
              <w:rPr/>
              <w:t> </w:t>
            </w:r>
          </w:p>
        </w:tc>
        <w:tc>
          <w:tcPr>
            <w:tcW w:w="937" w:type="dxa"/>
            <w:tcBorders/>
            <w:shd w:fill="E5FFFF" w:val="clear"/>
            <w:vAlign w:val="bottom"/>
          </w:tcPr>
          <w:p>
            <w:pPr>
              <w:pStyle w:val="HorizontalLine"/>
              <w:pBdr>
                <w:bottom w:val="single" w:sz="6" w:space="0" w:color="000000"/>
              </w:pBdr>
              <w:spacing w:before="0" w:after="283"/>
              <w:rPr/>
            </w:pPr>
            <w:r>
              <w:rPr/>
            </w:r>
          </w:p>
        </w:tc>
        <w:tc>
          <w:tcPr>
            <w:tcW w:w="118" w:type="dxa"/>
            <w:tcBorders/>
            <w:shd w:fill="E5FFFF" w:val="clear"/>
            <w:vAlign w:val="center"/>
          </w:tcPr>
          <w:p>
            <w:pPr>
              <w:pStyle w:val="TableContents"/>
              <w:spacing w:before="0" w:after="283"/>
              <w:rPr/>
            </w:pPr>
            <w:r>
              <w:rPr/>
              <w:t> </w:t>
            </w:r>
          </w:p>
        </w:tc>
      </w:tr>
      <w:tr>
        <w:trPr/>
        <w:tc>
          <w:tcPr>
            <w:tcW w:w="446" w:type="dxa"/>
            <w:tcBorders/>
            <w:shd w:fill="FFFFFF" w:val="clear"/>
            <w:vAlign w:val="bottom"/>
          </w:tcPr>
          <w:p>
            <w:pPr>
              <w:pStyle w:val="TableContents"/>
              <w:spacing w:before="0" w:after="283"/>
              <w:jc w:val="left"/>
              <w:rPr/>
            </w:pPr>
            <w:r>
              <w:rPr/>
              <w:t>      </w:t>
            </w:r>
          </w:p>
        </w:tc>
        <w:tc>
          <w:tcPr>
            <w:tcW w:w="6669" w:type="dxa"/>
            <w:tcBorders/>
            <w:shd w:fill="FFFFFF" w:val="clear"/>
            <w:vAlign w:val="bottom"/>
          </w:tcPr>
          <w:p>
            <w:pPr>
              <w:pStyle w:val="TableContents"/>
              <w:spacing w:before="0" w:after="283"/>
              <w:rPr>
                <w:sz w:val="4"/>
                <w:szCs w:val="4"/>
              </w:rPr>
            </w:pPr>
            <w:r>
              <w:rPr>
                <w:sz w:val="4"/>
                <w:szCs w:val="4"/>
              </w:rPr>
            </w:r>
          </w:p>
        </w:tc>
        <w:tc>
          <w:tcPr>
            <w:tcW w:w="298"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right"/>
              <w:rPr>
                <w:rFonts w:ascii="Arial" w:hAnsi="Arial"/>
              </w:rPr>
            </w:pPr>
            <w:r>
              <w:rPr>
                <w:rFonts w:ascii="Arial" w:hAnsi="Arial"/>
              </w:rPr>
              <w:t>$</w:t>
            </w:r>
          </w:p>
        </w:tc>
        <w:tc>
          <w:tcPr>
            <w:tcW w:w="936" w:type="dxa"/>
            <w:tcBorders/>
            <w:shd w:fill="FFFFFF" w:val="clear"/>
            <w:vAlign w:val="bottom"/>
          </w:tcPr>
          <w:p>
            <w:pPr>
              <w:pStyle w:val="TableContents"/>
              <w:spacing w:before="0" w:after="283"/>
              <w:jc w:val="right"/>
              <w:rPr>
                <w:rFonts w:ascii="Arial" w:hAnsi="Arial"/>
              </w:rPr>
            </w:pPr>
            <w:r>
              <w:rPr>
                <w:rFonts w:ascii="Arial" w:hAnsi="Arial"/>
              </w:rPr>
              <w:t>4,797</w:t>
            </w:r>
          </w:p>
        </w:tc>
        <w:tc>
          <w:tcPr>
            <w:tcW w:w="118" w:type="dxa"/>
            <w:tcBorders/>
            <w:shd w:fill="FFFFFF" w:val="clear"/>
            <w:vAlign w:val="center"/>
          </w:tcPr>
          <w:p>
            <w:pPr>
              <w:pStyle w:val="TableContents"/>
              <w:spacing w:before="0" w:after="283"/>
              <w:rPr/>
            </w:pPr>
            <w:r>
              <w:rPr/>
              <w:t> </w:t>
            </w:r>
          </w:p>
        </w:tc>
        <w:tc>
          <w:tcPr>
            <w:tcW w:w="298"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jc w:val="right"/>
              <w:rPr>
                <w:rFonts w:ascii="Arial" w:hAnsi="Arial"/>
              </w:rPr>
            </w:pPr>
            <w:r>
              <w:rPr>
                <w:rFonts w:ascii="Arial" w:hAnsi="Arial"/>
              </w:rPr>
              <w:t>$</w:t>
            </w:r>
          </w:p>
        </w:tc>
        <w:tc>
          <w:tcPr>
            <w:tcW w:w="937" w:type="dxa"/>
            <w:tcBorders/>
            <w:shd w:fill="FFFFFF" w:val="clear"/>
            <w:vAlign w:val="bottom"/>
          </w:tcPr>
          <w:p>
            <w:pPr>
              <w:pStyle w:val="TableContents"/>
              <w:spacing w:before="0" w:after="283"/>
              <w:jc w:val="right"/>
              <w:rPr>
                <w:rFonts w:ascii="Arial" w:hAnsi="Arial"/>
              </w:rPr>
            </w:pPr>
            <w:r>
              <w:rPr>
                <w:rFonts w:ascii="Arial" w:hAnsi="Arial"/>
              </w:rPr>
              <w:t>4,658</w:t>
            </w:r>
          </w:p>
        </w:tc>
        <w:tc>
          <w:tcPr>
            <w:tcW w:w="118" w:type="dxa"/>
            <w:tcBorders/>
            <w:shd w:fill="FFFFFF" w:val="clear"/>
            <w:vAlign w:val="center"/>
          </w:tcPr>
          <w:p>
            <w:pPr>
              <w:pStyle w:val="TableContents"/>
              <w:spacing w:before="0" w:after="283"/>
              <w:rPr/>
            </w:pPr>
            <w:r>
              <w:rPr/>
              <w:t> </w:t>
            </w:r>
          </w:p>
        </w:tc>
      </w:tr>
      <w:tr>
        <w:trPr/>
        <w:tc>
          <w:tcPr>
            <w:tcW w:w="446" w:type="dxa"/>
            <w:tcBorders/>
            <w:shd w:fill="E5FFFF" w:val="clear"/>
            <w:vAlign w:val="center"/>
          </w:tcPr>
          <w:p>
            <w:pPr>
              <w:pStyle w:val="TableContents"/>
              <w:spacing w:before="0" w:after="283"/>
              <w:rPr/>
            </w:pPr>
            <w:r>
              <w:rPr/>
              <w:t> </w:t>
            </w:r>
          </w:p>
        </w:tc>
        <w:tc>
          <w:tcPr>
            <w:tcW w:w="6669"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936" w:type="dxa"/>
            <w:tcBorders/>
            <w:shd w:fill="E5FFFF" w:val="clear"/>
            <w:vAlign w:val="bottom"/>
          </w:tcPr>
          <w:p>
            <w:pPr>
              <w:pStyle w:val="HorizontalLine"/>
              <w:pBdr>
                <w:bottom w:val="single" w:sz="18" w:space="0" w:color="000000"/>
              </w:pBdr>
              <w:spacing w:before="0" w:after="283"/>
              <w:rPr/>
            </w:pPr>
            <w:r>
              <w:rPr/>
            </w:r>
          </w:p>
        </w:tc>
        <w:tc>
          <w:tcPr>
            <w:tcW w:w="118" w:type="dxa"/>
            <w:tcBorders/>
            <w:shd w:fill="E5FFFF" w:val="clear"/>
            <w:vAlign w:val="center"/>
          </w:tcPr>
          <w:p>
            <w:pPr>
              <w:pStyle w:val="TableContents"/>
              <w:spacing w:before="0" w:after="283"/>
              <w:rPr/>
            </w:pPr>
            <w:r>
              <w:rPr/>
              <w:t> </w:t>
            </w:r>
          </w:p>
        </w:tc>
        <w:tc>
          <w:tcPr>
            <w:tcW w:w="298" w:type="dxa"/>
            <w:tcBorders/>
            <w:shd w:fill="E5FFFF" w:val="clear"/>
            <w:vAlign w:val="bottom"/>
          </w:tcPr>
          <w:p>
            <w:pPr>
              <w:pStyle w:val="TableContents"/>
              <w:spacing w:before="0" w:after="283"/>
              <w:jc w:val="right"/>
              <w:rPr/>
            </w:pPr>
            <w:r>
              <w:rPr/>
              <w:t>    </w:t>
            </w:r>
          </w:p>
        </w:tc>
        <w:tc>
          <w:tcPr>
            <w:tcW w:w="192" w:type="dxa"/>
            <w:tcBorders/>
            <w:shd w:fill="E5FFFF" w:val="clear"/>
            <w:vAlign w:val="center"/>
          </w:tcPr>
          <w:p>
            <w:pPr>
              <w:pStyle w:val="TableContents"/>
              <w:spacing w:before="0" w:after="283"/>
              <w:rPr/>
            </w:pPr>
            <w:r>
              <w:rPr/>
              <w:t> </w:t>
            </w:r>
          </w:p>
        </w:tc>
        <w:tc>
          <w:tcPr>
            <w:tcW w:w="937" w:type="dxa"/>
            <w:tcBorders/>
            <w:shd w:fill="E5FFFF" w:val="clear"/>
            <w:vAlign w:val="bottom"/>
          </w:tcPr>
          <w:p>
            <w:pPr>
              <w:pStyle w:val="HorizontalLine"/>
              <w:pBdr>
                <w:bottom w:val="single" w:sz="18" w:space="0" w:color="000000"/>
              </w:pBdr>
              <w:spacing w:before="0" w:after="283"/>
              <w:rPr/>
            </w:pPr>
            <w:r>
              <w:rPr/>
            </w:r>
          </w:p>
        </w:tc>
        <w:tc>
          <w:tcPr>
            <w:tcW w:w="118" w:type="dxa"/>
            <w:tcBorders/>
            <w:shd w:fill="E5FFFF" w:val="clear"/>
            <w:vAlign w:val="center"/>
          </w:tcPr>
          <w:p>
            <w:pPr>
              <w:pStyle w:val="TableContents"/>
              <w:spacing w:before="0" w:after="283"/>
              <w:rPr/>
            </w:pPr>
            <w:r>
              <w:rPr/>
              <w:t> </w:t>
            </w:r>
          </w:p>
        </w:tc>
      </w:tr>
      <w:tr>
        <w:trPr/>
        <w:tc>
          <w:tcPr>
            <w:tcW w:w="446" w:type="dxa"/>
            <w:tcBorders/>
            <w:shd w:fill="FFFFFF" w:val="clear"/>
            <w:vAlign w:val="bottom"/>
          </w:tcPr>
          <w:p>
            <w:pPr>
              <w:pStyle w:val="TableContents"/>
              <w:spacing w:before="0" w:after="283"/>
              <w:jc w:val="left"/>
              <w:rPr/>
            </w:pPr>
            <w:r>
              <w:rPr/>
              <w:t>      </w:t>
            </w:r>
          </w:p>
        </w:tc>
        <w:tc>
          <w:tcPr>
            <w:tcW w:w="6669" w:type="dxa"/>
            <w:tcBorders/>
            <w:shd w:fill="FFFFFF" w:val="clear"/>
            <w:vAlign w:val="bottom"/>
          </w:tcPr>
          <w:p>
            <w:pPr>
              <w:pStyle w:val="TableContents"/>
              <w:spacing w:before="0" w:after="283"/>
              <w:rPr>
                <w:sz w:val="4"/>
                <w:szCs w:val="4"/>
              </w:rPr>
            </w:pPr>
            <w:r>
              <w:rPr>
                <w:sz w:val="4"/>
                <w:szCs w:val="4"/>
              </w:rPr>
            </w:r>
          </w:p>
        </w:tc>
        <w:tc>
          <w:tcPr>
            <w:tcW w:w="298"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936"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298" w:type="dxa"/>
            <w:tcBorders/>
            <w:shd w:fill="FFFFFF" w:val="clear"/>
            <w:vAlign w:val="center"/>
          </w:tcPr>
          <w:p>
            <w:pPr>
              <w:pStyle w:val="TableContents"/>
              <w:spacing w:before="0" w:after="283"/>
              <w:rPr/>
            </w:pPr>
            <w:r>
              <w:rPr/>
              <w:t> </w:t>
            </w:r>
          </w:p>
        </w:tc>
        <w:tc>
          <w:tcPr>
            <w:tcW w:w="192" w:type="dxa"/>
            <w:tcBorders/>
            <w:shd w:fill="FFFFFF" w:val="clear"/>
            <w:vAlign w:val="center"/>
          </w:tcPr>
          <w:p>
            <w:pPr>
              <w:pStyle w:val="TableContents"/>
              <w:spacing w:before="0" w:after="283"/>
              <w:rPr/>
            </w:pPr>
            <w:r>
              <w:rPr/>
              <w:t> </w:t>
            </w:r>
          </w:p>
        </w:tc>
        <w:tc>
          <w:tcPr>
            <w:tcW w:w="937"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Depreciation expense was $650, $578 and $572 million in 2006, 2005 and 2004, respectively.</w:t>
      </w:r>
    </w:p>
    <w:p>
      <w:pPr>
        <w:pStyle w:val="TextBody"/>
        <w:jc w:val="left"/>
        <w:rPr>
          <w:rFonts w:ascii="Arial" w:hAnsi="Arial"/>
          <w:b/>
        </w:rPr>
      </w:pPr>
      <w:r>
        <w:rPr>
          <w:rFonts w:ascii="Arial" w:hAnsi="Arial"/>
          <w:b/>
        </w:rPr>
        <w:t>Note 12—Goodwill and Other Intangibles—Net</w:t>
      </w:r>
    </w:p>
    <w:p>
      <w:pPr>
        <w:pStyle w:val="TextBody"/>
        <w:jc w:val="left"/>
        <w:rPr/>
      </w:pPr>
      <w:r>
        <w:rPr/>
        <w:t>      </w:t>
      </w:r>
      <w:r>
        <w:rPr>
          <w:rFonts w:ascii="Arial" w:hAnsi="Arial"/>
        </w:rPr>
        <w:t>The change in the carrying amount of goodwill for the years ended December 31, 2006 and 2005 by reportable segment are as follows:</w:t>
      </w:r>
    </w:p>
    <w:tbl>
      <w:tblPr>
        <w:tblW w:w="5000" w:type="pct"/>
        <w:jc w:val="left"/>
        <w:tblInd w:w="0" w:type="dxa"/>
        <w:tblCellMar>
          <w:top w:w="0" w:type="dxa"/>
          <w:left w:w="0" w:type="dxa"/>
          <w:bottom w:w="0" w:type="dxa"/>
          <w:right w:w="0" w:type="dxa"/>
        </w:tblCellMar>
      </w:tblPr>
      <w:tblGrid>
        <w:gridCol w:w="2197"/>
        <w:gridCol w:w="240"/>
        <w:gridCol w:w="242"/>
        <w:gridCol w:w="972"/>
        <w:gridCol w:w="95"/>
        <w:gridCol w:w="240"/>
        <w:gridCol w:w="353"/>
        <w:gridCol w:w="969"/>
        <w:gridCol w:w="138"/>
        <w:gridCol w:w="240"/>
        <w:gridCol w:w="420"/>
        <w:gridCol w:w="706"/>
        <w:gridCol w:w="259"/>
        <w:gridCol w:w="240"/>
        <w:gridCol w:w="411"/>
        <w:gridCol w:w="769"/>
        <w:gridCol w:w="160"/>
        <w:gridCol w:w="240"/>
        <w:gridCol w:w="242"/>
        <w:gridCol w:w="972"/>
        <w:gridCol w:w="100"/>
      </w:tblGrid>
      <w:tr>
        <w:trPr/>
        <w:tc>
          <w:tcPr>
            <w:tcW w:w="219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309" w:type="dxa"/>
            <w:gridSpan w:val="3"/>
            <w:tcBorders/>
            <w:shd w:fill="FFFFFF" w:val="clear"/>
            <w:vAlign w:val="bottom"/>
          </w:tcPr>
          <w:p>
            <w:pPr>
              <w:pStyle w:val="TableContents"/>
              <w:spacing w:before="0" w:after="0"/>
              <w:jc w:val="center"/>
              <w:rPr>
                <w:rFonts w:ascii="Arial" w:hAnsi="Arial"/>
                <w:b/>
              </w:rPr>
            </w:pPr>
            <w:r>
              <w:rPr>
                <w:rFonts w:ascii="Arial" w:hAnsi="Arial"/>
                <w:b/>
              </w:rPr>
              <w:t>December 31,</w:t>
              <w:b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460" w:type="dxa"/>
            <w:gridSpan w:val="3"/>
            <w:tcBorders/>
            <w:shd w:fill="FFFFFF" w:val="clear"/>
            <w:vAlign w:val="bottom"/>
          </w:tcPr>
          <w:p>
            <w:pPr>
              <w:pStyle w:val="TableContents"/>
              <w:spacing w:before="0" w:after="0"/>
              <w:jc w:val="center"/>
              <w:rPr>
                <w:rFonts w:ascii="Arial" w:hAnsi="Arial"/>
                <w:b/>
              </w:rPr>
            </w:pPr>
            <w:r>
              <w:rPr>
                <w:rFonts w:ascii="Arial" w:hAnsi="Arial"/>
                <w:b/>
              </w:rPr>
              <w:t>Acquisitions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85" w:type="dxa"/>
            <w:gridSpan w:val="3"/>
            <w:tcBorders/>
            <w:shd w:fill="FFFFFF" w:val="clear"/>
            <w:vAlign w:val="bottom"/>
          </w:tcPr>
          <w:p>
            <w:pPr>
              <w:pStyle w:val="TableContents"/>
              <w:spacing w:before="0" w:after="0"/>
              <w:jc w:val="center"/>
              <w:rPr>
                <w:rFonts w:ascii="Arial" w:hAnsi="Arial"/>
                <w:b/>
              </w:rPr>
            </w:pPr>
            <w:r>
              <w:rPr>
                <w:rFonts w:ascii="Arial" w:hAnsi="Arial"/>
                <w:b/>
              </w:rPr>
              <w:t>Divestitures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40" w:type="dxa"/>
            <w:gridSpan w:val="3"/>
            <w:tcBorders/>
            <w:shd w:fill="FFFFFF" w:val="clear"/>
            <w:vAlign w:val="bottom"/>
          </w:tcPr>
          <w:p>
            <w:pPr>
              <w:pStyle w:val="TableContents"/>
              <w:spacing w:before="0" w:after="0"/>
              <w:jc w:val="center"/>
              <w:rPr>
                <w:rFonts w:ascii="Arial" w:hAnsi="Arial"/>
                <w:b/>
              </w:rPr>
            </w:pPr>
            <w:r>
              <w:rPr>
                <w:rFonts w:ascii="Arial" w:hAnsi="Arial"/>
                <w:b/>
              </w:rPr>
              <w:t>Currency</w:t>
              <w:br/>
              <w:t>Translation</w:t>
              <w:br/>
              <w:t>Adjustment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14" w:type="dxa"/>
            <w:gridSpan w:val="3"/>
            <w:tcBorders/>
            <w:shd w:fill="FFFFFF" w:val="clear"/>
            <w:vAlign w:val="bottom"/>
          </w:tcPr>
          <w:p>
            <w:pPr>
              <w:pStyle w:val="TableContents"/>
              <w:spacing w:before="0" w:after="0"/>
              <w:jc w:val="center"/>
              <w:rPr>
                <w:rFonts w:ascii="Arial" w:hAnsi="Arial"/>
                <w:b/>
              </w:rPr>
            </w:pPr>
            <w:r>
              <w:rPr>
                <w:rFonts w:ascii="Arial" w:hAnsi="Arial"/>
                <w:b/>
              </w:rPr>
              <w:t>December 31,</w:t>
              <w:br/>
              <w:t>2006</w:t>
            </w:r>
          </w:p>
          <w:p>
            <w:pPr>
              <w:pStyle w:val="HorizontalLine"/>
              <w:pBdr>
                <w:bottom w:val="single" w:sz="6" w:space="0" w:color="000000"/>
              </w:pBdr>
              <w:spacing w:before="0" w:after="283"/>
              <w:rPr/>
            </w:pPr>
            <w:r>
              <w:rPr/>
            </w:r>
          </w:p>
        </w:tc>
      </w:tr>
      <w:tr>
        <w:trPr/>
        <w:tc>
          <w:tcPr>
            <w:tcW w:w="2197" w:type="dxa"/>
            <w:tcBorders/>
            <w:shd w:fill="FFFFFF" w:val="clear"/>
            <w:vAlign w:val="bottom"/>
          </w:tcPr>
          <w:p>
            <w:pPr>
              <w:pStyle w:val="TableContents"/>
              <w:spacing w:before="0" w:after="283"/>
              <w:jc w:val="left"/>
              <w:rPr>
                <w:rFonts w:ascii="Arial" w:hAnsi="Arial"/>
              </w:rPr>
            </w:pPr>
            <w:r>
              <w:rPr>
                <w:rFonts w:ascii="Arial" w:hAnsi="Arial"/>
              </w:rPr>
              <w:t>Aerospace</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bottom"/>
          </w:tcPr>
          <w:p>
            <w:pPr>
              <w:pStyle w:val="TableContents"/>
              <w:spacing w:before="0" w:after="283"/>
              <w:jc w:val="right"/>
              <w:rPr>
                <w:rFonts w:ascii="Arial" w:hAnsi="Arial"/>
              </w:rPr>
            </w:pPr>
            <w:r>
              <w:rPr>
                <w:rFonts w:ascii="Arial" w:hAnsi="Arial"/>
              </w:rPr>
              <w:t>$</w:t>
            </w:r>
          </w:p>
        </w:tc>
        <w:tc>
          <w:tcPr>
            <w:tcW w:w="972" w:type="dxa"/>
            <w:tcBorders/>
            <w:shd w:fill="FFFFFF" w:val="clear"/>
            <w:vAlign w:val="bottom"/>
          </w:tcPr>
          <w:p>
            <w:pPr>
              <w:pStyle w:val="TableContents"/>
              <w:spacing w:before="0" w:after="283"/>
              <w:jc w:val="right"/>
              <w:rPr>
                <w:rFonts w:ascii="Arial" w:hAnsi="Arial"/>
              </w:rPr>
            </w:pPr>
            <w:r>
              <w:rPr>
                <w:rFonts w:ascii="Arial" w:hAnsi="Arial"/>
              </w:rPr>
              <w:t>1,723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3" w:type="dxa"/>
            <w:tcBorders/>
            <w:shd w:fill="FFFFFF" w:val="clear"/>
            <w:vAlign w:val="bottom"/>
          </w:tcPr>
          <w:p>
            <w:pPr>
              <w:pStyle w:val="TableContents"/>
              <w:spacing w:before="0" w:after="283"/>
              <w:jc w:val="right"/>
              <w:rPr>
                <w:rFonts w:ascii="Arial" w:hAnsi="Arial"/>
              </w:rPr>
            </w:pPr>
            <w:r>
              <w:rPr>
                <w:rFonts w:ascii="Arial" w:hAnsi="Arial"/>
              </w:rPr>
              <w:t>$</w:t>
            </w:r>
          </w:p>
        </w:tc>
        <w:tc>
          <w:tcPr>
            <w:tcW w:w="969" w:type="dxa"/>
            <w:tcBorders/>
            <w:shd w:fill="FFFFFF" w:val="clear"/>
            <w:vAlign w:val="bottom"/>
          </w:tcPr>
          <w:p>
            <w:pPr>
              <w:pStyle w:val="TableContents"/>
              <w:spacing w:before="0" w:after="283"/>
              <w:jc w:val="right"/>
              <w:rPr/>
            </w:pPr>
            <w:r>
              <w:rPr/>
              <w:t>—</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20" w:type="dxa"/>
            <w:tcBorders/>
            <w:shd w:fill="FFFFFF" w:val="clear"/>
            <w:vAlign w:val="bottom"/>
          </w:tcPr>
          <w:p>
            <w:pPr>
              <w:pStyle w:val="TableContents"/>
              <w:spacing w:before="0" w:after="283"/>
              <w:jc w:val="right"/>
              <w:rPr>
                <w:rFonts w:ascii="Arial" w:hAnsi="Arial"/>
              </w:rPr>
            </w:pPr>
            <w:r>
              <w:rPr>
                <w:rFonts w:ascii="Arial" w:hAnsi="Arial"/>
              </w:rPr>
              <w:t>$</w:t>
            </w:r>
          </w:p>
        </w:tc>
        <w:tc>
          <w:tcPr>
            <w:tcW w:w="706" w:type="dxa"/>
            <w:tcBorders/>
            <w:shd w:fill="FFFFFF" w:val="clear"/>
            <w:vAlign w:val="bottom"/>
          </w:tcPr>
          <w:p>
            <w:pPr>
              <w:pStyle w:val="TableContents"/>
              <w:spacing w:before="0" w:after="283"/>
              <w:jc w:val="right"/>
              <w:rPr/>
            </w:pPr>
            <w:r>
              <w:rPr/>
              <w:t>—</w:t>
            </w:r>
          </w:p>
        </w:tc>
        <w:tc>
          <w:tcPr>
            <w:tcW w:w="25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11" w:type="dxa"/>
            <w:tcBorders/>
            <w:shd w:fill="FFFFFF" w:val="clear"/>
            <w:vAlign w:val="bottom"/>
          </w:tcPr>
          <w:p>
            <w:pPr>
              <w:pStyle w:val="TableContents"/>
              <w:spacing w:before="0" w:after="283"/>
              <w:jc w:val="right"/>
              <w:rPr>
                <w:rFonts w:ascii="Arial" w:hAnsi="Arial"/>
              </w:rPr>
            </w:pPr>
            <w:r>
              <w:rPr>
                <w:rFonts w:ascii="Arial" w:hAnsi="Arial"/>
              </w:rPr>
              <w:t>$</w:t>
            </w:r>
          </w:p>
        </w:tc>
        <w:tc>
          <w:tcPr>
            <w:tcW w:w="769" w:type="dxa"/>
            <w:tcBorders/>
            <w:shd w:fill="FFFFFF" w:val="clear"/>
            <w:vAlign w:val="bottom"/>
          </w:tcPr>
          <w:p>
            <w:pPr>
              <w:pStyle w:val="TableContents"/>
              <w:spacing w:before="0" w:after="283"/>
              <w:jc w:val="right"/>
              <w:rPr>
                <w:rFonts w:ascii="Arial" w:hAnsi="Arial"/>
              </w:rPr>
            </w:pPr>
            <w:r>
              <w:rPr>
                <w:rFonts w:ascii="Arial" w:hAnsi="Arial"/>
              </w:rPr>
              <w:t>22</w:t>
            </w:r>
          </w:p>
        </w:tc>
        <w:tc>
          <w:tcPr>
            <w:tcW w:w="1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bottom"/>
          </w:tcPr>
          <w:p>
            <w:pPr>
              <w:pStyle w:val="TableContents"/>
              <w:spacing w:before="0" w:after="283"/>
              <w:jc w:val="right"/>
              <w:rPr>
                <w:rFonts w:ascii="Arial" w:hAnsi="Arial"/>
              </w:rPr>
            </w:pPr>
            <w:r>
              <w:rPr>
                <w:rFonts w:ascii="Arial" w:hAnsi="Arial"/>
              </w:rPr>
              <w:t>$</w:t>
            </w:r>
          </w:p>
        </w:tc>
        <w:tc>
          <w:tcPr>
            <w:tcW w:w="972" w:type="dxa"/>
            <w:tcBorders/>
            <w:shd w:fill="FFFFFF" w:val="clear"/>
            <w:vAlign w:val="bottom"/>
          </w:tcPr>
          <w:p>
            <w:pPr>
              <w:pStyle w:val="TableContents"/>
              <w:spacing w:before="0" w:after="283"/>
              <w:jc w:val="right"/>
              <w:rPr>
                <w:rFonts w:ascii="Arial" w:hAnsi="Arial"/>
              </w:rPr>
            </w:pPr>
            <w:r>
              <w:rPr>
                <w:rFonts w:ascii="Arial" w:hAnsi="Arial"/>
              </w:rPr>
              <w:t>1,745</w:t>
            </w:r>
          </w:p>
        </w:tc>
        <w:tc>
          <w:tcPr>
            <w:tcW w:w="100" w:type="dxa"/>
            <w:tcBorders/>
            <w:shd w:fill="FFFFFF" w:val="clear"/>
            <w:vAlign w:val="center"/>
          </w:tcPr>
          <w:p>
            <w:pPr>
              <w:pStyle w:val="TableContents"/>
              <w:spacing w:before="0" w:after="283"/>
              <w:rPr/>
            </w:pPr>
            <w:r>
              <w:rPr/>
              <w:t> </w:t>
            </w:r>
          </w:p>
        </w:tc>
      </w:tr>
      <w:tr>
        <w:trPr/>
        <w:tc>
          <w:tcPr>
            <w:tcW w:w="2197" w:type="dxa"/>
            <w:tcBorders/>
            <w:shd w:fill="E5FFFF" w:val="clear"/>
            <w:vAlign w:val="bottom"/>
          </w:tcPr>
          <w:p>
            <w:pPr>
              <w:pStyle w:val="TableContents"/>
              <w:spacing w:before="0" w:after="283"/>
              <w:jc w:val="left"/>
              <w:rPr>
                <w:rFonts w:ascii="Arial" w:hAnsi="Arial"/>
              </w:rPr>
            </w:pPr>
            <w:r>
              <w:rPr>
                <w:rFonts w:ascii="Arial" w:hAnsi="Arial"/>
              </w:rPr>
              <w:t>Automation and Control Solutions</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TableContents"/>
              <w:spacing w:before="0" w:after="283"/>
              <w:jc w:val="right"/>
              <w:rPr>
                <w:rFonts w:ascii="Arial" w:hAnsi="Arial"/>
              </w:rPr>
            </w:pPr>
            <w:r>
              <w:rPr>
                <w:rFonts w:ascii="Arial" w:hAnsi="Arial"/>
              </w:rPr>
              <w:t>4,333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53" w:type="dxa"/>
            <w:tcBorders/>
            <w:shd w:fill="E5FFFF" w:val="clear"/>
            <w:vAlign w:val="center"/>
          </w:tcPr>
          <w:p>
            <w:pPr>
              <w:pStyle w:val="TableContents"/>
              <w:spacing w:before="0" w:after="283"/>
              <w:rPr/>
            </w:pPr>
            <w:r>
              <w:rPr/>
              <w:t> </w:t>
            </w:r>
          </w:p>
        </w:tc>
        <w:tc>
          <w:tcPr>
            <w:tcW w:w="969" w:type="dxa"/>
            <w:tcBorders/>
            <w:shd w:fill="E5FFFF" w:val="clear"/>
            <w:vAlign w:val="bottom"/>
          </w:tcPr>
          <w:p>
            <w:pPr>
              <w:pStyle w:val="TableContents"/>
              <w:spacing w:before="0" w:after="283"/>
              <w:jc w:val="right"/>
              <w:rPr>
                <w:rFonts w:ascii="Arial" w:hAnsi="Arial"/>
              </w:rPr>
            </w:pPr>
            <w:r>
              <w:rPr>
                <w:rFonts w:ascii="Arial" w:hAnsi="Arial"/>
              </w:rPr>
              <w:t>572</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706" w:type="dxa"/>
            <w:tcBorders/>
            <w:shd w:fill="E5FFFF" w:val="clear"/>
            <w:vAlign w:val="bottom"/>
          </w:tcPr>
          <w:p>
            <w:pPr>
              <w:pStyle w:val="TableContents"/>
              <w:spacing w:before="0" w:after="283"/>
              <w:jc w:val="right"/>
              <w:rPr/>
            </w:pPr>
            <w:r>
              <w:rPr/>
              <w:t>—</w:t>
            </w:r>
          </w:p>
        </w:tc>
        <w:tc>
          <w:tcPr>
            <w:tcW w:w="25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411" w:type="dxa"/>
            <w:tcBorders/>
            <w:shd w:fill="E5FFFF" w:val="clear"/>
            <w:vAlign w:val="center"/>
          </w:tcPr>
          <w:p>
            <w:pPr>
              <w:pStyle w:val="TableContents"/>
              <w:spacing w:before="0" w:after="283"/>
              <w:rPr/>
            </w:pPr>
            <w:r>
              <w:rPr/>
              <w:t> </w:t>
            </w:r>
          </w:p>
        </w:tc>
        <w:tc>
          <w:tcPr>
            <w:tcW w:w="769" w:type="dxa"/>
            <w:tcBorders/>
            <w:shd w:fill="E5FFFF" w:val="clear"/>
            <w:vAlign w:val="bottom"/>
          </w:tcPr>
          <w:p>
            <w:pPr>
              <w:pStyle w:val="TableContents"/>
              <w:spacing w:before="0" w:after="283"/>
              <w:jc w:val="right"/>
              <w:rPr>
                <w:rFonts w:ascii="Arial" w:hAnsi="Arial"/>
              </w:rPr>
            </w:pPr>
            <w:r>
              <w:rPr>
                <w:rFonts w:ascii="Arial" w:hAnsi="Arial"/>
              </w:rPr>
              <w:t>54</w:t>
            </w:r>
          </w:p>
        </w:tc>
        <w:tc>
          <w:tcPr>
            <w:tcW w:w="1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TableContents"/>
              <w:spacing w:before="0" w:after="283"/>
              <w:jc w:val="right"/>
              <w:rPr>
                <w:rFonts w:ascii="Arial" w:hAnsi="Arial"/>
              </w:rPr>
            </w:pPr>
            <w:r>
              <w:rPr>
                <w:rFonts w:ascii="Arial" w:hAnsi="Arial"/>
              </w:rPr>
              <w:t>4,959</w:t>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bottom"/>
          </w:tcPr>
          <w:p>
            <w:pPr>
              <w:pStyle w:val="TableContents"/>
              <w:spacing w:before="0" w:after="283"/>
              <w:jc w:val="left"/>
              <w:rPr>
                <w:rFonts w:ascii="Arial" w:hAnsi="Arial"/>
              </w:rPr>
            </w:pPr>
            <w:r>
              <w:rPr>
                <w:rFonts w:ascii="Arial" w:hAnsi="Arial"/>
              </w:rPr>
              <w:t>Specialty Materials</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TableContents"/>
              <w:spacing w:before="0" w:after="283"/>
              <w:jc w:val="right"/>
              <w:rPr>
                <w:rFonts w:ascii="Arial" w:hAnsi="Arial"/>
              </w:rPr>
            </w:pPr>
            <w:r>
              <w:rPr>
                <w:rFonts w:ascii="Arial" w:hAnsi="Arial"/>
              </w:rPr>
              <w:t>1,066</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3" w:type="dxa"/>
            <w:tcBorders/>
            <w:shd w:fill="FFFFFF" w:val="clear"/>
            <w:vAlign w:val="center"/>
          </w:tcPr>
          <w:p>
            <w:pPr>
              <w:pStyle w:val="TableContents"/>
              <w:spacing w:before="0" w:after="283"/>
              <w:rPr/>
            </w:pPr>
            <w:r>
              <w:rPr/>
              <w:t> </w:t>
            </w:r>
          </w:p>
        </w:tc>
        <w:tc>
          <w:tcPr>
            <w:tcW w:w="969" w:type="dxa"/>
            <w:tcBorders/>
            <w:shd w:fill="FFFFFF" w:val="clear"/>
            <w:vAlign w:val="bottom"/>
          </w:tcPr>
          <w:p>
            <w:pPr>
              <w:pStyle w:val="TableContents"/>
              <w:spacing w:before="0" w:after="283"/>
              <w:jc w:val="right"/>
              <w:rPr>
                <w:rFonts w:ascii="Arial" w:hAnsi="Arial"/>
              </w:rPr>
            </w:pPr>
            <w:r>
              <w:rPr>
                <w:rFonts w:ascii="Arial" w:hAnsi="Arial"/>
              </w:rPr>
              <w:t>80</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706" w:type="dxa"/>
            <w:tcBorders/>
            <w:shd w:fill="FFFFFF" w:val="clear"/>
            <w:vAlign w:val="bottom"/>
          </w:tcPr>
          <w:p>
            <w:pPr>
              <w:pStyle w:val="TableContents"/>
              <w:spacing w:before="0" w:after="283"/>
              <w:jc w:val="right"/>
              <w:rPr>
                <w:rFonts w:ascii="Arial" w:hAnsi="Arial"/>
              </w:rPr>
            </w:pPr>
            <w:r>
              <w:rPr>
                <w:rFonts w:ascii="Arial" w:hAnsi="Arial"/>
              </w:rPr>
              <w:t>(4</w:t>
            </w:r>
          </w:p>
        </w:tc>
        <w:tc>
          <w:tcPr>
            <w:tcW w:w="259"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411" w:type="dxa"/>
            <w:tcBorders/>
            <w:shd w:fill="FFFFFF" w:val="clear"/>
            <w:vAlign w:val="center"/>
          </w:tcPr>
          <w:p>
            <w:pPr>
              <w:pStyle w:val="TableContents"/>
              <w:spacing w:before="0" w:after="283"/>
              <w:rPr/>
            </w:pPr>
            <w:r>
              <w:rPr/>
              <w:t> </w:t>
            </w:r>
          </w:p>
        </w:tc>
        <w:tc>
          <w:tcPr>
            <w:tcW w:w="769" w:type="dxa"/>
            <w:tcBorders/>
            <w:shd w:fill="FFFFFF" w:val="clear"/>
            <w:vAlign w:val="bottom"/>
          </w:tcPr>
          <w:p>
            <w:pPr>
              <w:pStyle w:val="TableContents"/>
              <w:spacing w:before="0" w:after="283"/>
              <w:jc w:val="right"/>
              <w:rPr>
                <w:rFonts w:ascii="Arial" w:hAnsi="Arial"/>
              </w:rPr>
            </w:pPr>
            <w:r>
              <w:rPr>
                <w:rFonts w:ascii="Arial" w:hAnsi="Arial"/>
              </w:rPr>
              <w:t>9</w:t>
            </w:r>
          </w:p>
        </w:tc>
        <w:tc>
          <w:tcPr>
            <w:tcW w:w="1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TableContents"/>
              <w:spacing w:before="0" w:after="283"/>
              <w:jc w:val="right"/>
              <w:rPr>
                <w:rFonts w:ascii="Arial" w:hAnsi="Arial"/>
              </w:rPr>
            </w:pPr>
            <w:r>
              <w:rPr>
                <w:rFonts w:ascii="Arial" w:hAnsi="Arial"/>
              </w:rPr>
              <w:t>1,151</w:t>
            </w:r>
          </w:p>
        </w:tc>
        <w:tc>
          <w:tcPr>
            <w:tcW w:w="100" w:type="dxa"/>
            <w:tcBorders/>
            <w:shd w:fill="FFFFFF" w:val="clear"/>
            <w:vAlign w:val="center"/>
          </w:tcPr>
          <w:p>
            <w:pPr>
              <w:pStyle w:val="TableContents"/>
              <w:spacing w:before="0" w:after="283"/>
              <w:rPr/>
            </w:pPr>
            <w:r>
              <w:rPr/>
              <w:t> </w:t>
            </w:r>
          </w:p>
        </w:tc>
      </w:tr>
      <w:tr>
        <w:trPr/>
        <w:tc>
          <w:tcPr>
            <w:tcW w:w="2197" w:type="dxa"/>
            <w:tcBorders/>
            <w:shd w:fill="E5FFFF" w:val="clear"/>
            <w:vAlign w:val="bottom"/>
          </w:tcPr>
          <w:p>
            <w:pPr>
              <w:pStyle w:val="TableContents"/>
              <w:spacing w:before="0" w:after="283"/>
              <w:jc w:val="left"/>
              <w:rPr>
                <w:rFonts w:ascii="Arial" w:hAnsi="Arial"/>
              </w:rPr>
            </w:pPr>
            <w:r>
              <w:rPr>
                <w:rFonts w:ascii="Arial" w:hAnsi="Arial"/>
              </w:rPr>
              <w:t>Transportation Systems</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TableContents"/>
              <w:spacing w:before="0" w:after="283"/>
              <w:jc w:val="right"/>
              <w:rPr>
                <w:rFonts w:ascii="Arial" w:hAnsi="Arial"/>
              </w:rPr>
            </w:pPr>
            <w:r>
              <w:rPr>
                <w:rFonts w:ascii="Arial" w:hAnsi="Arial"/>
              </w:rPr>
              <w:t>538</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53" w:type="dxa"/>
            <w:tcBorders/>
            <w:shd w:fill="E5FFFF" w:val="clear"/>
            <w:vAlign w:val="center"/>
          </w:tcPr>
          <w:p>
            <w:pPr>
              <w:pStyle w:val="TableContents"/>
              <w:spacing w:before="0" w:after="283"/>
              <w:rPr/>
            </w:pPr>
            <w:r>
              <w:rPr/>
              <w:t> </w:t>
            </w:r>
          </w:p>
        </w:tc>
        <w:tc>
          <w:tcPr>
            <w:tcW w:w="969" w:type="dxa"/>
            <w:tcBorders/>
            <w:shd w:fill="E5FFFF" w:val="clear"/>
            <w:vAlign w:val="bottom"/>
          </w:tcPr>
          <w:p>
            <w:pPr>
              <w:pStyle w:val="TableContents"/>
              <w:spacing w:before="0" w:after="283"/>
              <w:jc w:val="right"/>
              <w:rPr/>
            </w:pPr>
            <w:r>
              <w:rPr/>
              <w:t>—</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420" w:type="dxa"/>
            <w:tcBorders/>
            <w:shd w:fill="E5FFFF" w:val="clear"/>
            <w:vAlign w:val="center"/>
          </w:tcPr>
          <w:p>
            <w:pPr>
              <w:pStyle w:val="TableContents"/>
              <w:spacing w:before="0" w:after="283"/>
              <w:rPr/>
            </w:pPr>
            <w:r>
              <w:rPr/>
              <w:t> </w:t>
            </w:r>
          </w:p>
        </w:tc>
        <w:tc>
          <w:tcPr>
            <w:tcW w:w="706" w:type="dxa"/>
            <w:tcBorders/>
            <w:shd w:fill="E5FFFF" w:val="clear"/>
            <w:vAlign w:val="bottom"/>
          </w:tcPr>
          <w:p>
            <w:pPr>
              <w:pStyle w:val="TableContents"/>
              <w:spacing w:before="0" w:after="283"/>
              <w:jc w:val="right"/>
              <w:rPr/>
            </w:pPr>
            <w:r>
              <w:rPr/>
              <w:t>—</w:t>
            </w:r>
          </w:p>
        </w:tc>
        <w:tc>
          <w:tcPr>
            <w:tcW w:w="25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411" w:type="dxa"/>
            <w:tcBorders/>
            <w:shd w:fill="E5FFFF" w:val="clear"/>
            <w:vAlign w:val="center"/>
          </w:tcPr>
          <w:p>
            <w:pPr>
              <w:pStyle w:val="TableContents"/>
              <w:spacing w:before="0" w:after="283"/>
              <w:rPr/>
            </w:pPr>
            <w:r>
              <w:rPr/>
              <w:t> </w:t>
            </w:r>
          </w:p>
        </w:tc>
        <w:tc>
          <w:tcPr>
            <w:tcW w:w="769" w:type="dxa"/>
            <w:tcBorders/>
            <w:shd w:fill="E5FFFF" w:val="clear"/>
            <w:vAlign w:val="bottom"/>
          </w:tcPr>
          <w:p>
            <w:pPr>
              <w:pStyle w:val="TableContents"/>
              <w:spacing w:before="0" w:after="283"/>
              <w:jc w:val="right"/>
              <w:rPr>
                <w:rFonts w:ascii="Arial" w:hAnsi="Arial"/>
              </w:rPr>
            </w:pPr>
            <w:r>
              <w:rPr>
                <w:rFonts w:ascii="Arial" w:hAnsi="Arial"/>
              </w:rPr>
              <w:t>10</w:t>
            </w:r>
          </w:p>
        </w:tc>
        <w:tc>
          <w:tcPr>
            <w:tcW w:w="1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TableContents"/>
              <w:spacing w:before="0" w:after="283"/>
              <w:jc w:val="right"/>
              <w:rPr>
                <w:rFonts w:ascii="Arial" w:hAnsi="Arial"/>
              </w:rPr>
            </w:pPr>
            <w:r>
              <w:rPr>
                <w:rFonts w:ascii="Arial" w:hAnsi="Arial"/>
              </w:rPr>
              <w:t>548</w:t>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3" w:type="dxa"/>
            <w:tcBorders/>
            <w:shd w:fill="FFFFFF" w:val="clear"/>
            <w:vAlign w:val="center"/>
          </w:tcPr>
          <w:p>
            <w:pPr>
              <w:pStyle w:val="TableContents"/>
              <w:spacing w:before="0" w:after="283"/>
              <w:rPr/>
            </w:pPr>
            <w:r>
              <w:rPr/>
              <w:t> </w:t>
            </w:r>
          </w:p>
        </w:tc>
        <w:tc>
          <w:tcPr>
            <w:tcW w:w="969" w:type="dxa"/>
            <w:tcBorders/>
            <w:shd w:fill="FFFFFF" w:val="clear"/>
            <w:vAlign w:val="bottom"/>
          </w:tcPr>
          <w:p>
            <w:pPr>
              <w:pStyle w:val="HorizontalLine"/>
              <w:pBdr>
                <w:bottom w:val="single" w:sz="6" w:space="0" w:color="000000"/>
              </w:pBdr>
              <w:spacing w:before="0" w:after="283"/>
              <w:rPr/>
            </w:pPr>
            <w:r>
              <w:rPr/>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706" w:type="dxa"/>
            <w:tcBorders/>
            <w:shd w:fill="FFFFFF" w:val="clear"/>
            <w:vAlign w:val="bottom"/>
          </w:tcPr>
          <w:p>
            <w:pPr>
              <w:pStyle w:val="HorizontalLine"/>
              <w:pBdr>
                <w:bottom w:val="single" w:sz="6" w:space="0" w:color="000000"/>
              </w:pBdr>
              <w:spacing w:before="0" w:after="283"/>
              <w:rPr/>
            </w:pPr>
            <w:r>
              <w:rPr/>
            </w:r>
          </w:p>
        </w:tc>
        <w:tc>
          <w:tcPr>
            <w:tcW w:w="25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11" w:type="dxa"/>
            <w:tcBorders/>
            <w:shd w:fill="FFFFFF" w:val="clear"/>
            <w:vAlign w:val="center"/>
          </w:tcPr>
          <w:p>
            <w:pPr>
              <w:pStyle w:val="TableContents"/>
              <w:spacing w:before="0" w:after="283"/>
              <w:rPr/>
            </w:pPr>
            <w:r>
              <w:rPr/>
              <w:t> </w:t>
            </w:r>
          </w:p>
        </w:tc>
        <w:tc>
          <w:tcPr>
            <w:tcW w:w="769" w:type="dxa"/>
            <w:tcBorders/>
            <w:shd w:fill="FFFFFF" w:val="clear"/>
            <w:vAlign w:val="bottom"/>
          </w:tcPr>
          <w:p>
            <w:pPr>
              <w:pStyle w:val="HorizontalLine"/>
              <w:pBdr>
                <w:bottom w:val="single" w:sz="6" w:space="0" w:color="000000"/>
              </w:pBdr>
              <w:spacing w:before="0" w:after="283"/>
              <w:rPr/>
            </w:pPr>
            <w:r>
              <w:rPr/>
            </w:r>
          </w:p>
        </w:tc>
        <w:tc>
          <w:tcPr>
            <w:tcW w:w="1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HorizontalLine"/>
              <w:pBdr>
                <w:bottom w:val="single" w:sz="6" w:space="0" w:color="000000"/>
              </w:pBdr>
              <w:spacing w:before="0" w:after="283"/>
              <w:rPr/>
            </w:pPr>
            <w:r>
              <w:rPr/>
            </w:r>
          </w:p>
        </w:tc>
        <w:tc>
          <w:tcPr>
            <w:tcW w:w="100" w:type="dxa"/>
            <w:tcBorders/>
            <w:shd w:fill="FFFFFF" w:val="clear"/>
            <w:vAlign w:val="center"/>
          </w:tcPr>
          <w:p>
            <w:pPr>
              <w:pStyle w:val="TableContents"/>
              <w:spacing w:before="0" w:after="283"/>
              <w:rPr/>
            </w:pPr>
            <w:r>
              <w:rPr/>
              <w:t> </w:t>
            </w:r>
          </w:p>
        </w:tc>
      </w:tr>
      <w:tr>
        <w:trPr/>
        <w:tc>
          <w:tcPr>
            <w:tcW w:w="2197"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bottom"/>
          </w:tcPr>
          <w:p>
            <w:pPr>
              <w:pStyle w:val="TableContents"/>
              <w:spacing w:before="0" w:after="283"/>
              <w:jc w:val="right"/>
              <w:rPr>
                <w:rFonts w:ascii="Arial" w:hAnsi="Arial"/>
              </w:rPr>
            </w:pPr>
            <w:r>
              <w:rPr>
                <w:rFonts w:ascii="Arial" w:hAnsi="Arial"/>
              </w:rPr>
              <w:t>$</w:t>
            </w:r>
          </w:p>
        </w:tc>
        <w:tc>
          <w:tcPr>
            <w:tcW w:w="972" w:type="dxa"/>
            <w:tcBorders/>
            <w:shd w:fill="E5FFFF" w:val="clear"/>
            <w:vAlign w:val="bottom"/>
          </w:tcPr>
          <w:p>
            <w:pPr>
              <w:pStyle w:val="TableContents"/>
              <w:spacing w:before="0" w:after="283"/>
              <w:jc w:val="right"/>
              <w:rPr>
                <w:rFonts w:ascii="Arial" w:hAnsi="Arial"/>
              </w:rPr>
            </w:pPr>
            <w:r>
              <w:rPr>
                <w:rFonts w:ascii="Arial" w:hAnsi="Arial"/>
              </w:rPr>
              <w:t>7,660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53" w:type="dxa"/>
            <w:tcBorders/>
            <w:shd w:fill="E5FFFF" w:val="clear"/>
            <w:vAlign w:val="bottom"/>
          </w:tcPr>
          <w:p>
            <w:pPr>
              <w:pStyle w:val="TableContents"/>
              <w:spacing w:before="0" w:after="283"/>
              <w:jc w:val="right"/>
              <w:rPr>
                <w:rFonts w:ascii="Arial" w:hAnsi="Arial"/>
              </w:rPr>
            </w:pPr>
            <w:r>
              <w:rPr>
                <w:rFonts w:ascii="Arial" w:hAnsi="Arial"/>
              </w:rPr>
              <w:t>$</w:t>
            </w:r>
          </w:p>
        </w:tc>
        <w:tc>
          <w:tcPr>
            <w:tcW w:w="969" w:type="dxa"/>
            <w:tcBorders/>
            <w:shd w:fill="E5FFFF" w:val="clear"/>
            <w:vAlign w:val="bottom"/>
          </w:tcPr>
          <w:p>
            <w:pPr>
              <w:pStyle w:val="TableContents"/>
              <w:spacing w:before="0" w:after="283"/>
              <w:jc w:val="right"/>
              <w:rPr>
                <w:rFonts w:ascii="Arial" w:hAnsi="Arial"/>
              </w:rPr>
            </w:pPr>
            <w:r>
              <w:rPr>
                <w:rFonts w:ascii="Arial" w:hAnsi="Arial"/>
              </w:rPr>
              <w:t>652</w:t>
            </w:r>
          </w:p>
        </w:tc>
        <w:tc>
          <w:tcPr>
            <w:tcW w:w="13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420" w:type="dxa"/>
            <w:tcBorders/>
            <w:shd w:fill="E5FFFF" w:val="clear"/>
            <w:vAlign w:val="bottom"/>
          </w:tcPr>
          <w:p>
            <w:pPr>
              <w:pStyle w:val="TableContents"/>
              <w:spacing w:before="0" w:after="283"/>
              <w:jc w:val="right"/>
              <w:rPr>
                <w:rFonts w:ascii="Arial" w:hAnsi="Arial"/>
              </w:rPr>
            </w:pPr>
            <w:r>
              <w:rPr>
                <w:rFonts w:ascii="Arial" w:hAnsi="Arial"/>
              </w:rPr>
              <w:t>$</w:t>
            </w:r>
          </w:p>
        </w:tc>
        <w:tc>
          <w:tcPr>
            <w:tcW w:w="706" w:type="dxa"/>
            <w:tcBorders/>
            <w:shd w:fill="E5FFFF" w:val="clear"/>
            <w:vAlign w:val="bottom"/>
          </w:tcPr>
          <w:p>
            <w:pPr>
              <w:pStyle w:val="TableContents"/>
              <w:spacing w:before="0" w:after="283"/>
              <w:jc w:val="right"/>
              <w:rPr>
                <w:rFonts w:ascii="Arial" w:hAnsi="Arial"/>
              </w:rPr>
            </w:pPr>
            <w:r>
              <w:rPr>
                <w:rFonts w:ascii="Arial" w:hAnsi="Arial"/>
              </w:rPr>
              <w:t>(4</w:t>
            </w:r>
          </w:p>
        </w:tc>
        <w:tc>
          <w:tcPr>
            <w:tcW w:w="259"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411" w:type="dxa"/>
            <w:tcBorders/>
            <w:shd w:fill="E5FFFF" w:val="clear"/>
            <w:vAlign w:val="bottom"/>
          </w:tcPr>
          <w:p>
            <w:pPr>
              <w:pStyle w:val="TableContents"/>
              <w:spacing w:before="0" w:after="283"/>
              <w:jc w:val="right"/>
              <w:rPr>
                <w:rFonts w:ascii="Arial" w:hAnsi="Arial"/>
              </w:rPr>
            </w:pPr>
            <w:r>
              <w:rPr>
                <w:rFonts w:ascii="Arial" w:hAnsi="Arial"/>
              </w:rPr>
              <w:t>$</w:t>
            </w:r>
          </w:p>
        </w:tc>
        <w:tc>
          <w:tcPr>
            <w:tcW w:w="769" w:type="dxa"/>
            <w:tcBorders/>
            <w:shd w:fill="E5FFFF" w:val="clear"/>
            <w:vAlign w:val="bottom"/>
          </w:tcPr>
          <w:p>
            <w:pPr>
              <w:pStyle w:val="TableContents"/>
              <w:spacing w:before="0" w:after="283"/>
              <w:jc w:val="right"/>
              <w:rPr>
                <w:rFonts w:ascii="Arial" w:hAnsi="Arial"/>
              </w:rPr>
            </w:pPr>
            <w:r>
              <w:rPr>
                <w:rFonts w:ascii="Arial" w:hAnsi="Arial"/>
              </w:rPr>
              <w:t>95</w:t>
            </w:r>
          </w:p>
        </w:tc>
        <w:tc>
          <w:tcPr>
            <w:tcW w:w="1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bottom"/>
          </w:tcPr>
          <w:p>
            <w:pPr>
              <w:pStyle w:val="TableContents"/>
              <w:spacing w:before="0" w:after="283"/>
              <w:jc w:val="right"/>
              <w:rPr>
                <w:rFonts w:ascii="Arial" w:hAnsi="Arial"/>
              </w:rPr>
            </w:pPr>
            <w:r>
              <w:rPr>
                <w:rFonts w:ascii="Arial" w:hAnsi="Arial"/>
              </w:rPr>
              <w:t>$</w:t>
            </w:r>
          </w:p>
        </w:tc>
        <w:tc>
          <w:tcPr>
            <w:tcW w:w="972" w:type="dxa"/>
            <w:tcBorders/>
            <w:shd w:fill="E5FFFF" w:val="clear"/>
            <w:vAlign w:val="bottom"/>
          </w:tcPr>
          <w:p>
            <w:pPr>
              <w:pStyle w:val="TableContents"/>
              <w:spacing w:before="0" w:after="283"/>
              <w:jc w:val="right"/>
              <w:rPr>
                <w:rFonts w:ascii="Arial" w:hAnsi="Arial"/>
              </w:rPr>
            </w:pPr>
            <w:r>
              <w:rPr>
                <w:rFonts w:ascii="Arial" w:hAnsi="Arial"/>
              </w:rPr>
              <w:t>8,403</w:t>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3" w:type="dxa"/>
            <w:tcBorders/>
            <w:shd w:fill="FFFFFF" w:val="clear"/>
            <w:vAlign w:val="center"/>
          </w:tcPr>
          <w:p>
            <w:pPr>
              <w:pStyle w:val="TableContents"/>
              <w:spacing w:before="0" w:after="283"/>
              <w:rPr/>
            </w:pPr>
            <w:r>
              <w:rPr/>
              <w:t> </w:t>
            </w:r>
          </w:p>
        </w:tc>
        <w:tc>
          <w:tcPr>
            <w:tcW w:w="969" w:type="dxa"/>
            <w:tcBorders/>
            <w:shd w:fill="FFFFFF" w:val="clear"/>
            <w:vAlign w:val="bottom"/>
          </w:tcPr>
          <w:p>
            <w:pPr>
              <w:pStyle w:val="HorizontalLine"/>
              <w:pBdr>
                <w:bottom w:val="single" w:sz="18" w:space="0" w:color="000000"/>
              </w:pBdr>
              <w:spacing w:before="0" w:after="283"/>
              <w:rPr/>
            </w:pPr>
            <w:r>
              <w:rPr/>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20" w:type="dxa"/>
            <w:tcBorders/>
            <w:shd w:fill="FFFFFF" w:val="clear"/>
            <w:vAlign w:val="center"/>
          </w:tcPr>
          <w:p>
            <w:pPr>
              <w:pStyle w:val="TableContents"/>
              <w:spacing w:before="0" w:after="283"/>
              <w:rPr/>
            </w:pPr>
            <w:r>
              <w:rPr/>
              <w:t> </w:t>
            </w:r>
          </w:p>
        </w:tc>
        <w:tc>
          <w:tcPr>
            <w:tcW w:w="706" w:type="dxa"/>
            <w:tcBorders/>
            <w:shd w:fill="FFFFFF" w:val="clear"/>
            <w:vAlign w:val="bottom"/>
          </w:tcPr>
          <w:p>
            <w:pPr>
              <w:pStyle w:val="HorizontalLine"/>
              <w:pBdr>
                <w:bottom w:val="single" w:sz="18" w:space="0" w:color="000000"/>
              </w:pBdr>
              <w:spacing w:before="0" w:after="283"/>
              <w:rPr/>
            </w:pPr>
            <w:r>
              <w:rPr/>
            </w:r>
          </w:p>
        </w:tc>
        <w:tc>
          <w:tcPr>
            <w:tcW w:w="25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411" w:type="dxa"/>
            <w:tcBorders/>
            <w:shd w:fill="FFFFFF" w:val="clear"/>
            <w:vAlign w:val="center"/>
          </w:tcPr>
          <w:p>
            <w:pPr>
              <w:pStyle w:val="TableContents"/>
              <w:spacing w:before="0" w:after="283"/>
              <w:rPr/>
            </w:pPr>
            <w:r>
              <w:rPr/>
              <w:t> </w:t>
            </w:r>
          </w:p>
        </w:tc>
        <w:tc>
          <w:tcPr>
            <w:tcW w:w="769" w:type="dxa"/>
            <w:tcBorders/>
            <w:shd w:fill="FFFFFF" w:val="clear"/>
            <w:vAlign w:val="bottom"/>
          </w:tcPr>
          <w:p>
            <w:pPr>
              <w:pStyle w:val="HorizontalLine"/>
              <w:pBdr>
                <w:bottom w:val="single" w:sz="18" w:space="0" w:color="000000"/>
              </w:pBdr>
              <w:spacing w:before="0" w:after="283"/>
              <w:rPr/>
            </w:pPr>
            <w:r>
              <w:rPr/>
            </w:r>
          </w:p>
        </w:tc>
        <w:tc>
          <w:tcPr>
            <w:tcW w:w="1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HorizontalLine"/>
              <w:pBdr>
                <w:bottom w:val="single" w:sz="18" w:space="0" w:color="000000"/>
              </w:pBdr>
              <w:spacing w:before="0" w:after="283"/>
              <w:rPr/>
            </w:pPr>
            <w:r>
              <w:rPr/>
            </w:r>
          </w:p>
        </w:tc>
        <w:tc>
          <w:tcPr>
            <w:tcW w:w="100" w:type="dxa"/>
            <w:tcBorders/>
            <w:shd w:fill="FFFFFF" w:val="clear"/>
            <w:vAlign w:val="center"/>
          </w:tcPr>
          <w:p>
            <w:pPr>
              <w:pStyle w:val="TableContents"/>
              <w:spacing w:before="0" w:after="283"/>
              <w:rPr/>
            </w:pPr>
            <w:r>
              <w:rPr/>
              <w:t> </w:t>
            </w:r>
          </w:p>
        </w:tc>
      </w:tr>
      <w:tr>
        <w:trPr/>
        <w:tc>
          <w:tcPr>
            <w:tcW w:w="2197"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53" w:type="dxa"/>
            <w:tcBorders/>
            <w:shd w:fill="FFFFFF" w:val="clear"/>
            <w:vAlign w:val="center"/>
          </w:tcPr>
          <w:p>
            <w:pPr>
              <w:pStyle w:val="TableContents"/>
              <w:spacing w:before="0" w:after="283"/>
              <w:rPr/>
            </w:pPr>
            <w:r>
              <w:rPr/>
              <w:t> </w:t>
            </w:r>
          </w:p>
        </w:tc>
        <w:tc>
          <w:tcPr>
            <w:tcW w:w="969"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706"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411" w:type="dxa"/>
            <w:tcBorders/>
            <w:shd w:fill="FFFFFF" w:val="clear"/>
            <w:vAlign w:val="center"/>
          </w:tcPr>
          <w:p>
            <w:pPr>
              <w:pStyle w:val="TableContents"/>
              <w:spacing w:before="0" w:after="283"/>
              <w:rPr/>
            </w:pPr>
            <w:r>
              <w:rPr/>
              <w:t> </w:t>
            </w:r>
          </w:p>
        </w:tc>
        <w:tc>
          <w:tcPr>
            <w:tcW w:w="769"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64</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tbl>
      <w:tblPr>
        <w:tblW w:w="5000" w:type="pct"/>
        <w:jc w:val="left"/>
        <w:tblInd w:w="0" w:type="dxa"/>
        <w:tblCellMar>
          <w:top w:w="0" w:type="dxa"/>
          <w:left w:w="0" w:type="dxa"/>
          <w:bottom w:w="0" w:type="dxa"/>
          <w:right w:w="0" w:type="dxa"/>
        </w:tblCellMar>
      </w:tblPr>
      <w:tblGrid>
        <w:gridCol w:w="2197"/>
        <w:gridCol w:w="240"/>
        <w:gridCol w:w="242"/>
        <w:gridCol w:w="972"/>
        <w:gridCol w:w="95"/>
        <w:gridCol w:w="240"/>
        <w:gridCol w:w="271"/>
        <w:gridCol w:w="1084"/>
        <w:gridCol w:w="105"/>
        <w:gridCol w:w="240"/>
        <w:gridCol w:w="349"/>
        <w:gridCol w:w="821"/>
        <w:gridCol w:w="215"/>
        <w:gridCol w:w="240"/>
        <w:gridCol w:w="337"/>
        <w:gridCol w:w="795"/>
        <w:gridCol w:w="208"/>
        <w:gridCol w:w="240"/>
        <w:gridCol w:w="242"/>
        <w:gridCol w:w="972"/>
        <w:gridCol w:w="100"/>
      </w:tblGrid>
      <w:tr>
        <w:trPr/>
        <w:tc>
          <w:tcPr>
            <w:tcW w:w="219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309" w:type="dxa"/>
            <w:gridSpan w:val="3"/>
            <w:tcBorders/>
            <w:shd w:fill="FFFFFF" w:val="clear"/>
            <w:vAlign w:val="bottom"/>
          </w:tcPr>
          <w:p>
            <w:pPr>
              <w:pStyle w:val="TableContents"/>
              <w:spacing w:before="0" w:after="0"/>
              <w:jc w:val="center"/>
              <w:rPr>
                <w:rFonts w:ascii="Arial" w:hAnsi="Arial"/>
                <w:b/>
              </w:rPr>
            </w:pPr>
            <w:r>
              <w:rPr>
                <w:rFonts w:ascii="Arial" w:hAnsi="Arial"/>
                <w:b/>
              </w:rPr>
              <w:t>December 31,</w:t>
              <w:br/>
              <w:t>2004</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460" w:type="dxa"/>
            <w:gridSpan w:val="3"/>
            <w:tcBorders/>
            <w:shd w:fill="FFFFFF" w:val="clear"/>
            <w:vAlign w:val="bottom"/>
          </w:tcPr>
          <w:p>
            <w:pPr>
              <w:pStyle w:val="TableContents"/>
              <w:spacing w:before="0" w:after="0"/>
              <w:jc w:val="center"/>
              <w:rPr>
                <w:rFonts w:ascii="Arial" w:hAnsi="Arial"/>
                <w:b/>
              </w:rPr>
            </w:pPr>
            <w:r>
              <w:rPr>
                <w:rFonts w:ascii="Arial" w:hAnsi="Arial"/>
                <w:b/>
              </w:rPr>
              <w:t>Acquisitions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85" w:type="dxa"/>
            <w:gridSpan w:val="3"/>
            <w:tcBorders/>
            <w:shd w:fill="FFFFFF" w:val="clear"/>
            <w:vAlign w:val="bottom"/>
          </w:tcPr>
          <w:p>
            <w:pPr>
              <w:pStyle w:val="TableContents"/>
              <w:spacing w:before="0" w:after="0"/>
              <w:jc w:val="center"/>
              <w:rPr>
                <w:rFonts w:ascii="Arial" w:hAnsi="Arial"/>
                <w:b/>
              </w:rPr>
            </w:pPr>
            <w:r>
              <w:rPr>
                <w:rFonts w:ascii="Arial" w:hAnsi="Arial"/>
                <w:b/>
              </w:rPr>
              <w:t>Divestitures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40" w:type="dxa"/>
            <w:gridSpan w:val="3"/>
            <w:tcBorders/>
            <w:shd w:fill="FFFFFF" w:val="clear"/>
            <w:vAlign w:val="bottom"/>
          </w:tcPr>
          <w:p>
            <w:pPr>
              <w:pStyle w:val="TableContents"/>
              <w:spacing w:before="0" w:after="0"/>
              <w:jc w:val="center"/>
              <w:rPr>
                <w:rFonts w:ascii="Arial" w:hAnsi="Arial"/>
                <w:b/>
              </w:rPr>
            </w:pPr>
            <w:r>
              <w:rPr>
                <w:rFonts w:ascii="Arial" w:hAnsi="Arial"/>
                <w:b/>
              </w:rPr>
              <w:t>Currency</w:t>
              <w:br/>
              <w:t>Translation</w:t>
              <w:br/>
              <w:t>Adjustment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314" w:type="dxa"/>
            <w:gridSpan w:val="3"/>
            <w:tcBorders/>
            <w:shd w:fill="FFFFFF" w:val="clear"/>
            <w:vAlign w:val="bottom"/>
          </w:tcPr>
          <w:p>
            <w:pPr>
              <w:pStyle w:val="TableContents"/>
              <w:spacing w:before="0" w:after="0"/>
              <w:jc w:val="center"/>
              <w:rPr>
                <w:rFonts w:ascii="Arial" w:hAnsi="Arial"/>
                <w:b/>
              </w:rPr>
            </w:pPr>
            <w:r>
              <w:rPr>
                <w:rFonts w:ascii="Arial" w:hAnsi="Arial"/>
                <w:b/>
              </w:rPr>
              <w:t>December 31,</w:t>
              <w:br/>
              <w:t>2005</w:t>
            </w:r>
          </w:p>
          <w:p>
            <w:pPr>
              <w:pStyle w:val="HorizontalLine"/>
              <w:pBdr>
                <w:bottom w:val="single" w:sz="6" w:space="0" w:color="000000"/>
              </w:pBdr>
              <w:spacing w:before="0" w:after="283"/>
              <w:rPr/>
            </w:pPr>
            <w:r>
              <w:rPr/>
            </w:r>
          </w:p>
        </w:tc>
      </w:tr>
      <w:tr>
        <w:trPr/>
        <w:tc>
          <w:tcPr>
            <w:tcW w:w="2197" w:type="dxa"/>
            <w:tcBorders/>
            <w:shd w:fill="E5FFFF" w:val="clear"/>
            <w:vAlign w:val="bottom"/>
          </w:tcPr>
          <w:p>
            <w:pPr>
              <w:pStyle w:val="TableContents"/>
              <w:spacing w:before="0" w:after="283"/>
              <w:jc w:val="left"/>
              <w:rPr>
                <w:rFonts w:ascii="Arial" w:hAnsi="Arial"/>
              </w:rPr>
            </w:pPr>
            <w:r>
              <w:rPr>
                <w:rFonts w:ascii="Arial" w:hAnsi="Arial"/>
              </w:rPr>
              <w:t>Aerospace</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bottom"/>
          </w:tcPr>
          <w:p>
            <w:pPr>
              <w:pStyle w:val="TableContents"/>
              <w:spacing w:before="0" w:after="283"/>
              <w:jc w:val="right"/>
              <w:rPr>
                <w:rFonts w:ascii="Arial" w:hAnsi="Arial"/>
              </w:rPr>
            </w:pPr>
            <w:r>
              <w:rPr>
                <w:rFonts w:ascii="Arial" w:hAnsi="Arial"/>
              </w:rPr>
              <w:t>$</w:t>
            </w:r>
          </w:p>
        </w:tc>
        <w:tc>
          <w:tcPr>
            <w:tcW w:w="972" w:type="dxa"/>
            <w:tcBorders/>
            <w:shd w:fill="E5FFFF" w:val="clear"/>
            <w:vAlign w:val="bottom"/>
          </w:tcPr>
          <w:p>
            <w:pPr>
              <w:pStyle w:val="TableContents"/>
              <w:spacing w:before="0" w:after="283"/>
              <w:jc w:val="right"/>
              <w:rPr>
                <w:rFonts w:ascii="Arial" w:hAnsi="Arial"/>
              </w:rPr>
            </w:pPr>
            <w:r>
              <w:rPr>
                <w:rFonts w:ascii="Arial" w:hAnsi="Arial"/>
              </w:rPr>
              <w:t>1,721</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71" w:type="dxa"/>
            <w:tcBorders/>
            <w:shd w:fill="E5FFFF" w:val="clear"/>
            <w:vAlign w:val="bottom"/>
          </w:tcPr>
          <w:p>
            <w:pPr>
              <w:pStyle w:val="TableContents"/>
              <w:spacing w:before="0" w:after="283"/>
              <w:jc w:val="right"/>
              <w:rPr>
                <w:rFonts w:ascii="Arial" w:hAnsi="Arial"/>
              </w:rPr>
            </w:pPr>
            <w:r>
              <w:rPr>
                <w:rFonts w:ascii="Arial" w:hAnsi="Arial"/>
              </w:rPr>
              <w:t>$</w:t>
            </w:r>
          </w:p>
        </w:tc>
        <w:tc>
          <w:tcPr>
            <w:tcW w:w="1084" w:type="dxa"/>
            <w:tcBorders/>
            <w:shd w:fill="E5FFFF" w:val="clear"/>
            <w:vAlign w:val="bottom"/>
          </w:tcPr>
          <w:p>
            <w:pPr>
              <w:pStyle w:val="TableContents"/>
              <w:spacing w:before="0" w:after="283"/>
              <w:jc w:val="right"/>
              <w:rPr>
                <w:rFonts w:ascii="Arial" w:hAnsi="Arial"/>
              </w:rPr>
            </w:pPr>
            <w:r>
              <w:rPr>
                <w:rFonts w:ascii="Arial" w:hAnsi="Arial"/>
              </w:rPr>
              <w:t>11</w:t>
            </w:r>
          </w:p>
        </w:tc>
        <w:tc>
          <w:tcPr>
            <w:tcW w:w="10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49" w:type="dxa"/>
            <w:tcBorders/>
            <w:shd w:fill="E5FFFF" w:val="clear"/>
            <w:vAlign w:val="bottom"/>
          </w:tcPr>
          <w:p>
            <w:pPr>
              <w:pStyle w:val="TableContents"/>
              <w:spacing w:before="0" w:after="283"/>
              <w:jc w:val="right"/>
              <w:rPr>
                <w:rFonts w:ascii="Arial" w:hAnsi="Arial"/>
              </w:rPr>
            </w:pPr>
            <w:r>
              <w:rPr>
                <w:rFonts w:ascii="Arial" w:hAnsi="Arial"/>
              </w:rPr>
              <w:t>$</w:t>
            </w:r>
          </w:p>
        </w:tc>
        <w:tc>
          <w:tcPr>
            <w:tcW w:w="821" w:type="dxa"/>
            <w:tcBorders/>
            <w:shd w:fill="E5FFFF" w:val="clear"/>
            <w:vAlign w:val="bottom"/>
          </w:tcPr>
          <w:p>
            <w:pPr>
              <w:pStyle w:val="TableContents"/>
              <w:spacing w:before="0" w:after="283"/>
              <w:jc w:val="right"/>
              <w:rPr/>
            </w:pPr>
            <w:r>
              <w:rPr/>
              <w:t>—</w:t>
            </w:r>
          </w:p>
        </w:tc>
        <w:tc>
          <w:tcPr>
            <w:tcW w:w="2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37" w:type="dxa"/>
            <w:tcBorders/>
            <w:shd w:fill="E5FFFF" w:val="clear"/>
            <w:vAlign w:val="bottom"/>
          </w:tcPr>
          <w:p>
            <w:pPr>
              <w:pStyle w:val="TableContents"/>
              <w:spacing w:before="0" w:after="283"/>
              <w:jc w:val="right"/>
              <w:rPr>
                <w:rFonts w:ascii="Arial" w:hAnsi="Arial"/>
              </w:rPr>
            </w:pPr>
            <w:r>
              <w:rPr>
                <w:rFonts w:ascii="Arial" w:hAnsi="Arial"/>
              </w:rPr>
              <w:t>$</w:t>
            </w:r>
          </w:p>
        </w:tc>
        <w:tc>
          <w:tcPr>
            <w:tcW w:w="795" w:type="dxa"/>
            <w:tcBorders/>
            <w:shd w:fill="E5FFFF" w:val="clear"/>
            <w:vAlign w:val="bottom"/>
          </w:tcPr>
          <w:p>
            <w:pPr>
              <w:pStyle w:val="TableContents"/>
              <w:spacing w:before="0" w:after="283"/>
              <w:jc w:val="right"/>
              <w:rPr>
                <w:rFonts w:ascii="Arial" w:hAnsi="Arial"/>
              </w:rPr>
            </w:pPr>
            <w:r>
              <w:rPr>
                <w:rFonts w:ascii="Arial" w:hAnsi="Arial"/>
              </w:rPr>
              <w:t>(9</w:t>
            </w:r>
          </w:p>
        </w:tc>
        <w:tc>
          <w:tcPr>
            <w:tcW w:w="208"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bottom"/>
          </w:tcPr>
          <w:p>
            <w:pPr>
              <w:pStyle w:val="TableContents"/>
              <w:spacing w:before="0" w:after="283"/>
              <w:jc w:val="right"/>
              <w:rPr>
                <w:rFonts w:ascii="Arial" w:hAnsi="Arial"/>
              </w:rPr>
            </w:pPr>
            <w:r>
              <w:rPr>
                <w:rFonts w:ascii="Arial" w:hAnsi="Arial"/>
              </w:rPr>
              <w:t>$</w:t>
            </w:r>
          </w:p>
        </w:tc>
        <w:tc>
          <w:tcPr>
            <w:tcW w:w="972" w:type="dxa"/>
            <w:tcBorders/>
            <w:shd w:fill="E5FFFF" w:val="clear"/>
            <w:vAlign w:val="bottom"/>
          </w:tcPr>
          <w:p>
            <w:pPr>
              <w:pStyle w:val="TableContents"/>
              <w:spacing w:before="0" w:after="283"/>
              <w:jc w:val="right"/>
              <w:rPr>
                <w:rFonts w:ascii="Arial" w:hAnsi="Arial"/>
              </w:rPr>
            </w:pPr>
            <w:r>
              <w:rPr>
                <w:rFonts w:ascii="Arial" w:hAnsi="Arial"/>
              </w:rPr>
              <w:t>1,723</w:t>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bottom"/>
          </w:tcPr>
          <w:p>
            <w:pPr>
              <w:pStyle w:val="TableContents"/>
              <w:spacing w:before="0" w:after="283"/>
              <w:jc w:val="left"/>
              <w:rPr>
                <w:rFonts w:ascii="Arial" w:hAnsi="Arial"/>
              </w:rPr>
            </w:pPr>
            <w:r>
              <w:rPr>
                <w:rFonts w:ascii="Arial" w:hAnsi="Arial"/>
              </w:rPr>
              <w:t>Automation and Control Solutions</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TableContents"/>
              <w:spacing w:before="0" w:after="283"/>
              <w:jc w:val="right"/>
              <w:rPr>
                <w:rFonts w:ascii="Arial" w:hAnsi="Arial"/>
              </w:rPr>
            </w:pPr>
            <w:r>
              <w:rPr>
                <w:rFonts w:ascii="Arial" w:hAnsi="Arial"/>
              </w:rPr>
              <w:t>2,954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71" w:type="dxa"/>
            <w:tcBorders/>
            <w:shd w:fill="FFFFFF" w:val="clear"/>
            <w:vAlign w:val="center"/>
          </w:tcPr>
          <w:p>
            <w:pPr>
              <w:pStyle w:val="TableContents"/>
              <w:spacing w:before="0" w:after="283"/>
              <w:rPr/>
            </w:pPr>
            <w:r>
              <w:rPr/>
              <w:t> </w:t>
            </w:r>
          </w:p>
        </w:tc>
        <w:tc>
          <w:tcPr>
            <w:tcW w:w="1084" w:type="dxa"/>
            <w:tcBorders/>
            <w:shd w:fill="FFFFFF" w:val="clear"/>
            <w:vAlign w:val="bottom"/>
          </w:tcPr>
          <w:p>
            <w:pPr>
              <w:pStyle w:val="TableContents"/>
              <w:spacing w:before="0" w:after="283"/>
              <w:jc w:val="right"/>
              <w:rPr>
                <w:rFonts w:ascii="Arial" w:hAnsi="Arial"/>
              </w:rPr>
            </w:pPr>
            <w:r>
              <w:rPr>
                <w:rFonts w:ascii="Arial" w:hAnsi="Arial"/>
              </w:rPr>
              <w:t>1,407</w:t>
            </w:r>
          </w:p>
        </w:tc>
        <w:tc>
          <w:tcPr>
            <w:tcW w:w="10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49" w:type="dxa"/>
            <w:tcBorders/>
            <w:shd w:fill="FFFFFF" w:val="clear"/>
            <w:vAlign w:val="center"/>
          </w:tcPr>
          <w:p>
            <w:pPr>
              <w:pStyle w:val="TableContents"/>
              <w:spacing w:before="0" w:after="283"/>
              <w:rPr/>
            </w:pPr>
            <w:r>
              <w:rPr/>
              <w:t> </w:t>
            </w:r>
          </w:p>
        </w:tc>
        <w:tc>
          <w:tcPr>
            <w:tcW w:w="821" w:type="dxa"/>
            <w:tcBorders/>
            <w:shd w:fill="FFFFFF" w:val="clear"/>
            <w:vAlign w:val="bottom"/>
          </w:tcPr>
          <w:p>
            <w:pPr>
              <w:pStyle w:val="TableContents"/>
              <w:spacing w:before="0" w:after="283"/>
              <w:jc w:val="right"/>
              <w:rPr/>
            </w:pPr>
            <w:r>
              <w:rPr/>
              <w:t>—</w:t>
            </w:r>
          </w:p>
        </w:tc>
        <w:tc>
          <w:tcPr>
            <w:tcW w:w="2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37" w:type="dxa"/>
            <w:tcBorders/>
            <w:shd w:fill="FFFFFF" w:val="clear"/>
            <w:vAlign w:val="center"/>
          </w:tcPr>
          <w:p>
            <w:pPr>
              <w:pStyle w:val="TableContents"/>
              <w:spacing w:before="0" w:after="283"/>
              <w:rPr/>
            </w:pPr>
            <w:r>
              <w:rPr/>
              <w:t> </w:t>
            </w:r>
          </w:p>
        </w:tc>
        <w:tc>
          <w:tcPr>
            <w:tcW w:w="795" w:type="dxa"/>
            <w:tcBorders/>
            <w:shd w:fill="FFFFFF" w:val="clear"/>
            <w:vAlign w:val="bottom"/>
          </w:tcPr>
          <w:p>
            <w:pPr>
              <w:pStyle w:val="TableContents"/>
              <w:spacing w:before="0" w:after="283"/>
              <w:jc w:val="right"/>
              <w:rPr>
                <w:rFonts w:ascii="Arial" w:hAnsi="Arial"/>
              </w:rPr>
            </w:pPr>
            <w:r>
              <w:rPr>
                <w:rFonts w:ascii="Arial" w:hAnsi="Arial"/>
              </w:rPr>
              <w:t>(28</w:t>
            </w:r>
          </w:p>
        </w:tc>
        <w:tc>
          <w:tcPr>
            <w:tcW w:w="208"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TableContents"/>
              <w:spacing w:before="0" w:after="283"/>
              <w:jc w:val="right"/>
              <w:rPr>
                <w:rFonts w:ascii="Arial" w:hAnsi="Arial"/>
              </w:rPr>
            </w:pPr>
            <w:r>
              <w:rPr>
                <w:rFonts w:ascii="Arial" w:hAnsi="Arial"/>
              </w:rPr>
              <w:t>4,333</w:t>
            </w:r>
          </w:p>
        </w:tc>
        <w:tc>
          <w:tcPr>
            <w:tcW w:w="100" w:type="dxa"/>
            <w:tcBorders/>
            <w:shd w:fill="FFFFFF" w:val="clear"/>
            <w:vAlign w:val="center"/>
          </w:tcPr>
          <w:p>
            <w:pPr>
              <w:pStyle w:val="TableContents"/>
              <w:spacing w:before="0" w:after="283"/>
              <w:rPr/>
            </w:pPr>
            <w:r>
              <w:rPr/>
              <w:t> </w:t>
            </w:r>
          </w:p>
        </w:tc>
      </w:tr>
      <w:tr>
        <w:trPr/>
        <w:tc>
          <w:tcPr>
            <w:tcW w:w="2197" w:type="dxa"/>
            <w:tcBorders/>
            <w:shd w:fill="E5FFFF" w:val="clear"/>
            <w:vAlign w:val="bottom"/>
          </w:tcPr>
          <w:p>
            <w:pPr>
              <w:pStyle w:val="TableContents"/>
              <w:spacing w:before="0" w:after="283"/>
              <w:jc w:val="left"/>
              <w:rPr>
                <w:rFonts w:ascii="Arial" w:hAnsi="Arial"/>
              </w:rPr>
            </w:pPr>
            <w:r>
              <w:rPr>
                <w:rFonts w:ascii="Arial" w:hAnsi="Arial"/>
              </w:rPr>
              <w:t>Specialty Materials</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TableContents"/>
              <w:spacing w:before="0" w:after="283"/>
              <w:jc w:val="right"/>
              <w:rPr>
                <w:rFonts w:ascii="Arial" w:hAnsi="Arial"/>
              </w:rPr>
            </w:pPr>
            <w:r>
              <w:rPr>
                <w:rFonts w:ascii="Arial" w:hAnsi="Arial"/>
              </w:rPr>
              <w:t>779</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71" w:type="dxa"/>
            <w:tcBorders/>
            <w:shd w:fill="E5FFFF" w:val="clear"/>
            <w:vAlign w:val="center"/>
          </w:tcPr>
          <w:p>
            <w:pPr>
              <w:pStyle w:val="TableContents"/>
              <w:spacing w:before="0" w:after="283"/>
              <w:rPr/>
            </w:pPr>
            <w:r>
              <w:rPr/>
              <w:t> </w:t>
            </w:r>
          </w:p>
        </w:tc>
        <w:tc>
          <w:tcPr>
            <w:tcW w:w="1084" w:type="dxa"/>
            <w:tcBorders/>
            <w:shd w:fill="E5FFFF" w:val="clear"/>
            <w:vAlign w:val="bottom"/>
          </w:tcPr>
          <w:p>
            <w:pPr>
              <w:pStyle w:val="TableContents"/>
              <w:spacing w:before="0" w:after="283"/>
              <w:jc w:val="right"/>
              <w:rPr>
                <w:rFonts w:ascii="Arial" w:hAnsi="Arial"/>
              </w:rPr>
            </w:pPr>
            <w:r>
              <w:rPr>
                <w:rFonts w:ascii="Arial" w:hAnsi="Arial"/>
              </w:rPr>
              <w:t>353</w:t>
            </w:r>
          </w:p>
        </w:tc>
        <w:tc>
          <w:tcPr>
            <w:tcW w:w="10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49" w:type="dxa"/>
            <w:tcBorders/>
            <w:shd w:fill="E5FFFF" w:val="clear"/>
            <w:vAlign w:val="center"/>
          </w:tcPr>
          <w:p>
            <w:pPr>
              <w:pStyle w:val="TableContents"/>
              <w:spacing w:before="0" w:after="283"/>
              <w:rPr/>
            </w:pPr>
            <w:r>
              <w:rPr/>
              <w:t> </w:t>
            </w:r>
          </w:p>
        </w:tc>
        <w:tc>
          <w:tcPr>
            <w:tcW w:w="821" w:type="dxa"/>
            <w:tcBorders/>
            <w:shd w:fill="E5FFFF" w:val="clear"/>
            <w:vAlign w:val="bottom"/>
          </w:tcPr>
          <w:p>
            <w:pPr>
              <w:pStyle w:val="TableContents"/>
              <w:spacing w:before="0" w:after="283"/>
              <w:jc w:val="right"/>
              <w:rPr>
                <w:rFonts w:ascii="Arial" w:hAnsi="Arial"/>
              </w:rPr>
            </w:pPr>
            <w:r>
              <w:rPr>
                <w:rFonts w:ascii="Arial" w:hAnsi="Arial"/>
              </w:rPr>
              <w:t>(48</w:t>
            </w:r>
          </w:p>
        </w:tc>
        <w:tc>
          <w:tcPr>
            <w:tcW w:w="21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337" w:type="dxa"/>
            <w:tcBorders/>
            <w:shd w:fill="E5FFFF" w:val="clear"/>
            <w:vAlign w:val="center"/>
          </w:tcPr>
          <w:p>
            <w:pPr>
              <w:pStyle w:val="TableContents"/>
              <w:spacing w:before="0" w:after="283"/>
              <w:rPr/>
            </w:pPr>
            <w:r>
              <w:rPr/>
              <w:t> </w:t>
            </w:r>
          </w:p>
        </w:tc>
        <w:tc>
          <w:tcPr>
            <w:tcW w:w="795" w:type="dxa"/>
            <w:tcBorders/>
            <w:shd w:fill="E5FFFF" w:val="clear"/>
            <w:vAlign w:val="bottom"/>
          </w:tcPr>
          <w:p>
            <w:pPr>
              <w:pStyle w:val="TableContents"/>
              <w:spacing w:before="0" w:after="283"/>
              <w:jc w:val="right"/>
              <w:rPr>
                <w:rFonts w:ascii="Arial" w:hAnsi="Arial"/>
              </w:rPr>
            </w:pPr>
            <w:r>
              <w:rPr>
                <w:rFonts w:ascii="Arial" w:hAnsi="Arial"/>
              </w:rPr>
              <w:t>(18</w:t>
            </w:r>
          </w:p>
        </w:tc>
        <w:tc>
          <w:tcPr>
            <w:tcW w:w="208"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TableContents"/>
              <w:spacing w:before="0" w:after="283"/>
              <w:jc w:val="right"/>
              <w:rPr>
                <w:rFonts w:ascii="Arial" w:hAnsi="Arial"/>
              </w:rPr>
            </w:pPr>
            <w:r>
              <w:rPr>
                <w:rFonts w:ascii="Arial" w:hAnsi="Arial"/>
              </w:rPr>
              <w:t>1,066</w:t>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bottom"/>
          </w:tcPr>
          <w:p>
            <w:pPr>
              <w:pStyle w:val="TableContents"/>
              <w:spacing w:before="0" w:after="283"/>
              <w:jc w:val="left"/>
              <w:rPr>
                <w:rFonts w:ascii="Arial" w:hAnsi="Arial"/>
              </w:rPr>
            </w:pPr>
            <w:r>
              <w:rPr>
                <w:rFonts w:ascii="Arial" w:hAnsi="Arial"/>
              </w:rPr>
              <w:t>Transportation Systems</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TableContents"/>
              <w:spacing w:before="0" w:after="283"/>
              <w:jc w:val="right"/>
              <w:rPr>
                <w:rFonts w:ascii="Arial" w:hAnsi="Arial"/>
              </w:rPr>
            </w:pPr>
            <w:r>
              <w:rPr>
                <w:rFonts w:ascii="Arial" w:hAnsi="Arial"/>
              </w:rPr>
              <w:t>559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71" w:type="dxa"/>
            <w:tcBorders/>
            <w:shd w:fill="FFFFFF" w:val="clear"/>
            <w:vAlign w:val="center"/>
          </w:tcPr>
          <w:p>
            <w:pPr>
              <w:pStyle w:val="TableContents"/>
              <w:spacing w:before="0" w:after="283"/>
              <w:rPr/>
            </w:pPr>
            <w:r>
              <w:rPr/>
              <w:t> </w:t>
            </w:r>
          </w:p>
        </w:tc>
        <w:tc>
          <w:tcPr>
            <w:tcW w:w="1084" w:type="dxa"/>
            <w:tcBorders/>
            <w:shd w:fill="FFFFFF" w:val="clear"/>
            <w:vAlign w:val="bottom"/>
          </w:tcPr>
          <w:p>
            <w:pPr>
              <w:pStyle w:val="TableContents"/>
              <w:spacing w:before="0" w:after="283"/>
              <w:jc w:val="right"/>
              <w:rPr/>
            </w:pPr>
            <w:r>
              <w:rPr/>
              <w:t>—</w:t>
            </w:r>
          </w:p>
        </w:tc>
        <w:tc>
          <w:tcPr>
            <w:tcW w:w="10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49" w:type="dxa"/>
            <w:tcBorders/>
            <w:shd w:fill="FFFFFF" w:val="clear"/>
            <w:vAlign w:val="center"/>
          </w:tcPr>
          <w:p>
            <w:pPr>
              <w:pStyle w:val="TableContents"/>
              <w:spacing w:before="0" w:after="283"/>
              <w:rPr/>
            </w:pPr>
            <w:r>
              <w:rPr/>
              <w:t> </w:t>
            </w:r>
          </w:p>
        </w:tc>
        <w:tc>
          <w:tcPr>
            <w:tcW w:w="821" w:type="dxa"/>
            <w:tcBorders/>
            <w:shd w:fill="FFFFFF" w:val="clear"/>
            <w:vAlign w:val="bottom"/>
          </w:tcPr>
          <w:p>
            <w:pPr>
              <w:pStyle w:val="TableContents"/>
              <w:spacing w:before="0" w:after="283"/>
              <w:jc w:val="right"/>
              <w:rPr/>
            </w:pPr>
            <w:r>
              <w:rPr/>
              <w:t>—</w:t>
            </w:r>
          </w:p>
        </w:tc>
        <w:tc>
          <w:tcPr>
            <w:tcW w:w="2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37" w:type="dxa"/>
            <w:tcBorders/>
            <w:shd w:fill="FFFFFF" w:val="clear"/>
            <w:vAlign w:val="center"/>
          </w:tcPr>
          <w:p>
            <w:pPr>
              <w:pStyle w:val="TableContents"/>
              <w:spacing w:before="0" w:after="283"/>
              <w:rPr/>
            </w:pPr>
            <w:r>
              <w:rPr/>
              <w:t> </w:t>
            </w:r>
          </w:p>
        </w:tc>
        <w:tc>
          <w:tcPr>
            <w:tcW w:w="795" w:type="dxa"/>
            <w:tcBorders/>
            <w:shd w:fill="FFFFFF" w:val="clear"/>
            <w:vAlign w:val="bottom"/>
          </w:tcPr>
          <w:p>
            <w:pPr>
              <w:pStyle w:val="TableContents"/>
              <w:spacing w:before="0" w:after="283"/>
              <w:jc w:val="right"/>
              <w:rPr>
                <w:rFonts w:ascii="Arial" w:hAnsi="Arial"/>
              </w:rPr>
            </w:pPr>
            <w:r>
              <w:rPr>
                <w:rFonts w:ascii="Arial" w:hAnsi="Arial"/>
              </w:rPr>
              <w:t>(21</w:t>
            </w:r>
          </w:p>
        </w:tc>
        <w:tc>
          <w:tcPr>
            <w:tcW w:w="208"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bottom"/>
          </w:tcPr>
          <w:p>
            <w:pPr>
              <w:pStyle w:val="TableContents"/>
              <w:spacing w:before="0" w:after="283"/>
              <w:jc w:val="right"/>
              <w:rPr>
                <w:rFonts w:ascii="Arial" w:hAnsi="Arial"/>
              </w:rPr>
            </w:pPr>
            <w:r>
              <w:rPr>
                <w:rFonts w:ascii="Arial" w:hAnsi="Arial"/>
              </w:rPr>
              <w:t>538</w:t>
            </w:r>
          </w:p>
        </w:tc>
        <w:tc>
          <w:tcPr>
            <w:tcW w:w="100" w:type="dxa"/>
            <w:tcBorders/>
            <w:shd w:fill="FFFFFF" w:val="clear"/>
            <w:vAlign w:val="center"/>
          </w:tcPr>
          <w:p>
            <w:pPr>
              <w:pStyle w:val="TableContents"/>
              <w:spacing w:before="0" w:after="283"/>
              <w:rPr/>
            </w:pPr>
            <w:r>
              <w:rPr/>
              <w:t> </w:t>
            </w:r>
          </w:p>
        </w:tc>
      </w:tr>
      <w:tr>
        <w:trPr/>
        <w:tc>
          <w:tcPr>
            <w:tcW w:w="219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71" w:type="dxa"/>
            <w:tcBorders/>
            <w:shd w:fill="E5FFFF" w:val="clear"/>
            <w:vAlign w:val="center"/>
          </w:tcPr>
          <w:p>
            <w:pPr>
              <w:pStyle w:val="TableContents"/>
              <w:spacing w:before="0" w:after="283"/>
              <w:rPr/>
            </w:pPr>
            <w:r>
              <w:rPr/>
              <w:t> </w:t>
            </w:r>
          </w:p>
        </w:tc>
        <w:tc>
          <w:tcPr>
            <w:tcW w:w="1084" w:type="dxa"/>
            <w:tcBorders/>
            <w:shd w:fill="E5FFFF" w:val="clear"/>
            <w:vAlign w:val="bottom"/>
          </w:tcPr>
          <w:p>
            <w:pPr>
              <w:pStyle w:val="HorizontalLine"/>
              <w:pBdr>
                <w:bottom w:val="single" w:sz="6" w:space="0" w:color="000000"/>
              </w:pBdr>
              <w:spacing w:before="0" w:after="283"/>
              <w:rPr/>
            </w:pPr>
            <w:r>
              <w:rPr/>
            </w:r>
          </w:p>
        </w:tc>
        <w:tc>
          <w:tcPr>
            <w:tcW w:w="10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49" w:type="dxa"/>
            <w:tcBorders/>
            <w:shd w:fill="E5FFFF" w:val="clear"/>
            <w:vAlign w:val="center"/>
          </w:tcPr>
          <w:p>
            <w:pPr>
              <w:pStyle w:val="TableContents"/>
              <w:spacing w:before="0" w:after="283"/>
              <w:rPr/>
            </w:pPr>
            <w:r>
              <w:rPr/>
              <w:t> </w:t>
            </w:r>
          </w:p>
        </w:tc>
        <w:tc>
          <w:tcPr>
            <w:tcW w:w="821" w:type="dxa"/>
            <w:tcBorders/>
            <w:shd w:fill="E5FFFF" w:val="clear"/>
            <w:vAlign w:val="bottom"/>
          </w:tcPr>
          <w:p>
            <w:pPr>
              <w:pStyle w:val="HorizontalLine"/>
              <w:pBdr>
                <w:bottom w:val="single" w:sz="6" w:space="0" w:color="000000"/>
              </w:pBdr>
              <w:spacing w:before="0" w:after="283"/>
              <w:rPr/>
            </w:pPr>
            <w:r>
              <w:rPr/>
            </w:r>
          </w:p>
        </w:tc>
        <w:tc>
          <w:tcPr>
            <w:tcW w:w="2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37" w:type="dxa"/>
            <w:tcBorders/>
            <w:shd w:fill="E5FFFF" w:val="clear"/>
            <w:vAlign w:val="center"/>
          </w:tcPr>
          <w:p>
            <w:pPr>
              <w:pStyle w:val="TableContents"/>
              <w:spacing w:before="0" w:after="283"/>
              <w:rPr/>
            </w:pPr>
            <w:r>
              <w:rPr/>
              <w:t> </w:t>
            </w:r>
          </w:p>
        </w:tc>
        <w:tc>
          <w:tcPr>
            <w:tcW w:w="795" w:type="dxa"/>
            <w:tcBorders/>
            <w:shd w:fill="E5FFFF" w:val="clear"/>
            <w:vAlign w:val="bottom"/>
          </w:tcPr>
          <w:p>
            <w:pPr>
              <w:pStyle w:val="HorizontalLine"/>
              <w:pBdr>
                <w:bottom w:val="single" w:sz="6" w:space="0" w:color="000000"/>
              </w:pBdr>
              <w:spacing w:before="0" w:after="283"/>
              <w:rPr/>
            </w:pPr>
            <w:r>
              <w:rPr/>
            </w:r>
          </w:p>
        </w:tc>
        <w:tc>
          <w:tcPr>
            <w:tcW w:w="2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HorizontalLine"/>
              <w:pBdr>
                <w:bottom w:val="single" w:sz="6" w:space="0" w:color="000000"/>
              </w:pBdr>
              <w:spacing w:before="0" w:after="283"/>
              <w:rPr/>
            </w:pPr>
            <w:r>
              <w:rPr/>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bottom"/>
          </w:tcPr>
          <w:p>
            <w:pPr>
              <w:pStyle w:val="TableContents"/>
              <w:spacing w:before="0" w:after="283"/>
              <w:jc w:val="right"/>
              <w:rPr>
                <w:rFonts w:ascii="Arial" w:hAnsi="Arial"/>
              </w:rPr>
            </w:pPr>
            <w:r>
              <w:rPr>
                <w:rFonts w:ascii="Arial" w:hAnsi="Arial"/>
              </w:rPr>
              <w:t>$</w:t>
            </w:r>
          </w:p>
        </w:tc>
        <w:tc>
          <w:tcPr>
            <w:tcW w:w="972" w:type="dxa"/>
            <w:tcBorders/>
            <w:shd w:fill="FFFFFF" w:val="clear"/>
            <w:vAlign w:val="bottom"/>
          </w:tcPr>
          <w:p>
            <w:pPr>
              <w:pStyle w:val="TableContents"/>
              <w:spacing w:before="0" w:after="283"/>
              <w:jc w:val="right"/>
              <w:rPr>
                <w:rFonts w:ascii="Arial" w:hAnsi="Arial"/>
              </w:rPr>
            </w:pPr>
            <w:r>
              <w:rPr>
                <w:rFonts w:ascii="Arial" w:hAnsi="Arial"/>
              </w:rPr>
              <w:t>6,013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71" w:type="dxa"/>
            <w:tcBorders/>
            <w:shd w:fill="FFFFFF" w:val="clear"/>
            <w:vAlign w:val="bottom"/>
          </w:tcPr>
          <w:p>
            <w:pPr>
              <w:pStyle w:val="TableContents"/>
              <w:spacing w:before="0" w:after="283"/>
              <w:jc w:val="right"/>
              <w:rPr>
                <w:rFonts w:ascii="Arial" w:hAnsi="Arial"/>
              </w:rPr>
            </w:pPr>
            <w:r>
              <w:rPr>
                <w:rFonts w:ascii="Arial" w:hAnsi="Arial"/>
              </w:rPr>
              <w:t>$</w:t>
            </w:r>
          </w:p>
        </w:tc>
        <w:tc>
          <w:tcPr>
            <w:tcW w:w="1084" w:type="dxa"/>
            <w:tcBorders/>
            <w:shd w:fill="FFFFFF" w:val="clear"/>
            <w:vAlign w:val="bottom"/>
          </w:tcPr>
          <w:p>
            <w:pPr>
              <w:pStyle w:val="TableContents"/>
              <w:spacing w:before="0" w:after="283"/>
              <w:jc w:val="right"/>
              <w:rPr>
                <w:rFonts w:ascii="Arial" w:hAnsi="Arial"/>
              </w:rPr>
            </w:pPr>
            <w:r>
              <w:rPr>
                <w:rFonts w:ascii="Arial" w:hAnsi="Arial"/>
              </w:rPr>
              <w:t>1,771</w:t>
            </w:r>
          </w:p>
        </w:tc>
        <w:tc>
          <w:tcPr>
            <w:tcW w:w="10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49" w:type="dxa"/>
            <w:tcBorders/>
            <w:shd w:fill="FFFFFF" w:val="clear"/>
            <w:vAlign w:val="bottom"/>
          </w:tcPr>
          <w:p>
            <w:pPr>
              <w:pStyle w:val="TableContents"/>
              <w:spacing w:before="0" w:after="283"/>
              <w:jc w:val="right"/>
              <w:rPr>
                <w:rFonts w:ascii="Arial" w:hAnsi="Arial"/>
              </w:rPr>
            </w:pPr>
            <w:r>
              <w:rPr>
                <w:rFonts w:ascii="Arial" w:hAnsi="Arial"/>
              </w:rPr>
              <w:t>$</w:t>
            </w:r>
          </w:p>
        </w:tc>
        <w:tc>
          <w:tcPr>
            <w:tcW w:w="821" w:type="dxa"/>
            <w:tcBorders/>
            <w:shd w:fill="FFFFFF" w:val="clear"/>
            <w:vAlign w:val="bottom"/>
          </w:tcPr>
          <w:p>
            <w:pPr>
              <w:pStyle w:val="TableContents"/>
              <w:spacing w:before="0" w:after="283"/>
              <w:jc w:val="right"/>
              <w:rPr>
                <w:rFonts w:ascii="Arial" w:hAnsi="Arial"/>
              </w:rPr>
            </w:pPr>
            <w:r>
              <w:rPr>
                <w:rFonts w:ascii="Arial" w:hAnsi="Arial"/>
              </w:rPr>
              <w:t>(48</w:t>
            </w:r>
          </w:p>
        </w:tc>
        <w:tc>
          <w:tcPr>
            <w:tcW w:w="21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337" w:type="dxa"/>
            <w:tcBorders/>
            <w:shd w:fill="FFFFFF" w:val="clear"/>
            <w:vAlign w:val="bottom"/>
          </w:tcPr>
          <w:p>
            <w:pPr>
              <w:pStyle w:val="TableContents"/>
              <w:spacing w:before="0" w:after="283"/>
              <w:jc w:val="right"/>
              <w:rPr>
                <w:rFonts w:ascii="Arial" w:hAnsi="Arial"/>
              </w:rPr>
            </w:pPr>
            <w:r>
              <w:rPr>
                <w:rFonts w:ascii="Arial" w:hAnsi="Arial"/>
              </w:rPr>
              <w:t>$</w:t>
            </w:r>
          </w:p>
        </w:tc>
        <w:tc>
          <w:tcPr>
            <w:tcW w:w="795" w:type="dxa"/>
            <w:tcBorders/>
            <w:shd w:fill="FFFFFF" w:val="clear"/>
            <w:vAlign w:val="bottom"/>
          </w:tcPr>
          <w:p>
            <w:pPr>
              <w:pStyle w:val="TableContents"/>
              <w:spacing w:before="0" w:after="283"/>
              <w:jc w:val="right"/>
              <w:rPr>
                <w:rFonts w:ascii="Arial" w:hAnsi="Arial"/>
              </w:rPr>
            </w:pPr>
            <w:r>
              <w:rPr>
                <w:rFonts w:ascii="Arial" w:hAnsi="Arial"/>
              </w:rPr>
              <w:t>(76</w:t>
            </w:r>
          </w:p>
        </w:tc>
        <w:tc>
          <w:tcPr>
            <w:tcW w:w="208"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242" w:type="dxa"/>
            <w:tcBorders/>
            <w:shd w:fill="FFFFFF" w:val="clear"/>
            <w:vAlign w:val="bottom"/>
          </w:tcPr>
          <w:p>
            <w:pPr>
              <w:pStyle w:val="TableContents"/>
              <w:spacing w:before="0" w:after="283"/>
              <w:jc w:val="right"/>
              <w:rPr>
                <w:rFonts w:ascii="Arial" w:hAnsi="Arial"/>
              </w:rPr>
            </w:pPr>
            <w:r>
              <w:rPr>
                <w:rFonts w:ascii="Arial" w:hAnsi="Arial"/>
              </w:rPr>
              <w:t>$</w:t>
            </w:r>
          </w:p>
        </w:tc>
        <w:tc>
          <w:tcPr>
            <w:tcW w:w="972" w:type="dxa"/>
            <w:tcBorders/>
            <w:shd w:fill="FFFFFF" w:val="clear"/>
            <w:vAlign w:val="bottom"/>
          </w:tcPr>
          <w:p>
            <w:pPr>
              <w:pStyle w:val="TableContents"/>
              <w:spacing w:before="0" w:after="283"/>
              <w:jc w:val="right"/>
              <w:rPr>
                <w:rFonts w:ascii="Arial" w:hAnsi="Arial"/>
              </w:rPr>
            </w:pPr>
            <w:r>
              <w:rPr>
                <w:rFonts w:ascii="Arial" w:hAnsi="Arial"/>
              </w:rPr>
              <w:t>7,660</w:t>
            </w:r>
          </w:p>
        </w:tc>
        <w:tc>
          <w:tcPr>
            <w:tcW w:w="100" w:type="dxa"/>
            <w:tcBorders/>
            <w:shd w:fill="FFFFFF" w:val="clear"/>
            <w:vAlign w:val="center"/>
          </w:tcPr>
          <w:p>
            <w:pPr>
              <w:pStyle w:val="TableContents"/>
              <w:spacing w:before="0" w:after="283"/>
              <w:rPr/>
            </w:pPr>
            <w:r>
              <w:rPr/>
              <w:t> </w:t>
            </w:r>
          </w:p>
        </w:tc>
      </w:tr>
      <w:tr>
        <w:trPr/>
        <w:tc>
          <w:tcPr>
            <w:tcW w:w="2197"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71" w:type="dxa"/>
            <w:tcBorders/>
            <w:shd w:fill="E5FFFF" w:val="clear"/>
            <w:vAlign w:val="center"/>
          </w:tcPr>
          <w:p>
            <w:pPr>
              <w:pStyle w:val="TableContents"/>
              <w:spacing w:before="0" w:after="283"/>
              <w:rPr/>
            </w:pPr>
            <w:r>
              <w:rPr/>
              <w:t> </w:t>
            </w:r>
          </w:p>
        </w:tc>
        <w:tc>
          <w:tcPr>
            <w:tcW w:w="1084" w:type="dxa"/>
            <w:tcBorders/>
            <w:shd w:fill="E5FFFF" w:val="clear"/>
            <w:vAlign w:val="bottom"/>
          </w:tcPr>
          <w:p>
            <w:pPr>
              <w:pStyle w:val="HorizontalLine"/>
              <w:pBdr>
                <w:bottom w:val="single" w:sz="18" w:space="0" w:color="000000"/>
              </w:pBdr>
              <w:spacing w:before="0" w:after="283"/>
              <w:rPr/>
            </w:pPr>
            <w:r>
              <w:rPr/>
            </w:r>
          </w:p>
        </w:tc>
        <w:tc>
          <w:tcPr>
            <w:tcW w:w="10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49" w:type="dxa"/>
            <w:tcBorders/>
            <w:shd w:fill="E5FFFF" w:val="clear"/>
            <w:vAlign w:val="center"/>
          </w:tcPr>
          <w:p>
            <w:pPr>
              <w:pStyle w:val="TableContents"/>
              <w:spacing w:before="0" w:after="283"/>
              <w:rPr/>
            </w:pPr>
            <w:r>
              <w:rPr/>
              <w:t> </w:t>
            </w:r>
          </w:p>
        </w:tc>
        <w:tc>
          <w:tcPr>
            <w:tcW w:w="821" w:type="dxa"/>
            <w:tcBorders/>
            <w:shd w:fill="E5FFFF" w:val="clear"/>
            <w:vAlign w:val="bottom"/>
          </w:tcPr>
          <w:p>
            <w:pPr>
              <w:pStyle w:val="HorizontalLine"/>
              <w:pBdr>
                <w:bottom w:val="single" w:sz="18" w:space="0" w:color="000000"/>
              </w:pBdr>
              <w:spacing w:before="0" w:after="283"/>
              <w:rPr/>
            </w:pPr>
            <w:r>
              <w:rPr/>
            </w:r>
          </w:p>
        </w:tc>
        <w:tc>
          <w:tcPr>
            <w:tcW w:w="2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37" w:type="dxa"/>
            <w:tcBorders/>
            <w:shd w:fill="E5FFFF" w:val="clear"/>
            <w:vAlign w:val="center"/>
          </w:tcPr>
          <w:p>
            <w:pPr>
              <w:pStyle w:val="TableContents"/>
              <w:spacing w:before="0" w:after="283"/>
              <w:rPr/>
            </w:pPr>
            <w:r>
              <w:rPr/>
              <w:t> </w:t>
            </w:r>
          </w:p>
        </w:tc>
        <w:tc>
          <w:tcPr>
            <w:tcW w:w="795" w:type="dxa"/>
            <w:tcBorders/>
            <w:shd w:fill="E5FFFF" w:val="clear"/>
            <w:vAlign w:val="bottom"/>
          </w:tcPr>
          <w:p>
            <w:pPr>
              <w:pStyle w:val="HorizontalLine"/>
              <w:pBdr>
                <w:bottom w:val="single" w:sz="18" w:space="0" w:color="000000"/>
              </w:pBdr>
              <w:spacing w:before="0" w:after="283"/>
              <w:rPr/>
            </w:pPr>
            <w:r>
              <w:rPr/>
            </w:r>
          </w:p>
        </w:tc>
        <w:tc>
          <w:tcPr>
            <w:tcW w:w="20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42" w:type="dxa"/>
            <w:tcBorders/>
            <w:shd w:fill="E5FFFF" w:val="clear"/>
            <w:vAlign w:val="center"/>
          </w:tcPr>
          <w:p>
            <w:pPr>
              <w:pStyle w:val="TableContents"/>
              <w:spacing w:before="0" w:after="283"/>
              <w:rPr/>
            </w:pPr>
            <w:r>
              <w:rPr/>
              <w:t> </w:t>
            </w:r>
          </w:p>
        </w:tc>
        <w:tc>
          <w:tcPr>
            <w:tcW w:w="972" w:type="dxa"/>
            <w:tcBorders/>
            <w:shd w:fill="E5FFFF" w:val="clear"/>
            <w:vAlign w:val="bottom"/>
          </w:tcPr>
          <w:p>
            <w:pPr>
              <w:pStyle w:val="HorizontalLine"/>
              <w:pBdr>
                <w:bottom w:val="single" w:sz="18" w:space="0" w:color="000000"/>
              </w:pBdr>
              <w:spacing w:before="0" w:after="283"/>
              <w:rPr/>
            </w:pPr>
            <w:r>
              <w:rPr/>
            </w:r>
          </w:p>
        </w:tc>
        <w:tc>
          <w:tcPr>
            <w:tcW w:w="100" w:type="dxa"/>
            <w:tcBorders/>
            <w:shd w:fill="E5FFFF" w:val="clear"/>
            <w:vAlign w:val="center"/>
          </w:tcPr>
          <w:p>
            <w:pPr>
              <w:pStyle w:val="TableContents"/>
              <w:spacing w:before="0" w:after="283"/>
              <w:rPr/>
            </w:pPr>
            <w:r>
              <w:rPr/>
              <w:t> </w:t>
            </w:r>
          </w:p>
        </w:tc>
      </w:tr>
      <w:tr>
        <w:trPr/>
        <w:tc>
          <w:tcPr>
            <w:tcW w:w="2197"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71" w:type="dxa"/>
            <w:tcBorders/>
            <w:shd w:fill="FFFFFF" w:val="clear"/>
            <w:vAlign w:val="center"/>
          </w:tcPr>
          <w:p>
            <w:pPr>
              <w:pStyle w:val="TableContents"/>
              <w:spacing w:before="0" w:after="283"/>
              <w:rPr/>
            </w:pPr>
            <w:r>
              <w:rPr/>
              <w:t> </w:t>
            </w:r>
          </w:p>
        </w:tc>
        <w:tc>
          <w:tcPr>
            <w:tcW w:w="1084"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49" w:type="dxa"/>
            <w:tcBorders/>
            <w:shd w:fill="FFFFFF" w:val="clear"/>
            <w:vAlign w:val="center"/>
          </w:tcPr>
          <w:p>
            <w:pPr>
              <w:pStyle w:val="TableContents"/>
              <w:spacing w:before="0" w:after="283"/>
              <w:rPr/>
            </w:pPr>
            <w:r>
              <w:rPr/>
              <w:t> </w:t>
            </w:r>
          </w:p>
        </w:tc>
        <w:tc>
          <w:tcPr>
            <w:tcW w:w="821"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37" w:type="dxa"/>
            <w:tcBorders/>
            <w:shd w:fill="FFFFFF" w:val="clear"/>
            <w:vAlign w:val="center"/>
          </w:tcPr>
          <w:p>
            <w:pPr>
              <w:pStyle w:val="TableContents"/>
              <w:spacing w:before="0" w:after="283"/>
              <w:rPr/>
            </w:pPr>
            <w:r>
              <w:rPr/>
              <w:t> </w:t>
            </w:r>
          </w:p>
        </w:tc>
        <w:tc>
          <w:tcPr>
            <w:tcW w:w="795"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972"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Intangible assets are comprised of:</w:t>
      </w:r>
    </w:p>
    <w:tbl>
      <w:tblPr>
        <w:tblW w:w="5000" w:type="pct"/>
        <w:jc w:val="left"/>
        <w:tblInd w:w="0" w:type="dxa"/>
        <w:tblCellMar>
          <w:top w:w="0" w:type="dxa"/>
          <w:left w:w="0" w:type="dxa"/>
          <w:bottom w:w="0" w:type="dxa"/>
          <w:right w:w="0" w:type="dxa"/>
        </w:tblCellMar>
      </w:tblPr>
      <w:tblGrid>
        <w:gridCol w:w="1654"/>
        <w:gridCol w:w="240"/>
        <w:gridCol w:w="187"/>
        <w:gridCol w:w="749"/>
        <w:gridCol w:w="74"/>
        <w:gridCol w:w="240"/>
        <w:gridCol w:w="317"/>
        <w:gridCol w:w="1023"/>
        <w:gridCol w:w="195"/>
        <w:gridCol w:w="240"/>
        <w:gridCol w:w="187"/>
        <w:gridCol w:w="749"/>
        <w:gridCol w:w="73"/>
        <w:gridCol w:w="240"/>
        <w:gridCol w:w="187"/>
        <w:gridCol w:w="749"/>
        <w:gridCol w:w="74"/>
        <w:gridCol w:w="240"/>
        <w:gridCol w:w="317"/>
        <w:gridCol w:w="1023"/>
        <w:gridCol w:w="195"/>
        <w:gridCol w:w="240"/>
        <w:gridCol w:w="187"/>
        <w:gridCol w:w="749"/>
        <w:gridCol w:w="76"/>
      </w:tblGrid>
      <w:tr>
        <w:trPr/>
        <w:tc>
          <w:tcPr>
            <w:tcW w:w="165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4034" w:type="dxa"/>
            <w:gridSpan w:val="11"/>
            <w:tcBorders/>
            <w:shd w:fill="FFFFFF" w:val="clear"/>
            <w:vAlign w:val="bottom"/>
          </w:tcPr>
          <w:p>
            <w:pPr>
              <w:pStyle w:val="TableContents"/>
              <w:spacing w:before="0" w:after="0"/>
              <w:jc w:val="center"/>
              <w:rPr>
                <w:rFonts w:ascii="Arial" w:hAnsi="Arial"/>
                <w:b/>
              </w:rPr>
            </w:pPr>
            <w:r>
              <w:rPr>
                <w:rFonts w:ascii="Arial" w:hAnsi="Arial"/>
                <w:b/>
              </w:rPr>
              <w:t>December 31, 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4037" w:type="dxa"/>
            <w:gridSpan w:val="11"/>
            <w:tcBorders/>
            <w:shd w:fill="FFFFFF" w:val="clear"/>
            <w:vAlign w:val="bottom"/>
          </w:tcPr>
          <w:p>
            <w:pPr>
              <w:pStyle w:val="TableContents"/>
              <w:spacing w:before="0" w:after="0"/>
              <w:jc w:val="center"/>
              <w:rPr>
                <w:rFonts w:ascii="Arial" w:hAnsi="Arial"/>
                <w:b/>
              </w:rPr>
            </w:pPr>
            <w:r>
              <w:rPr>
                <w:rFonts w:ascii="Arial" w:hAnsi="Arial"/>
                <w:b/>
              </w:rPr>
              <w:t>December 31, 2005</w:t>
            </w:r>
          </w:p>
          <w:p>
            <w:pPr>
              <w:pStyle w:val="HorizontalLine"/>
              <w:pBdr>
                <w:bottom w:val="single" w:sz="6" w:space="0" w:color="000000"/>
              </w:pBdr>
              <w:spacing w:before="0" w:after="283"/>
              <w:rPr/>
            </w:pPr>
            <w:r>
              <w:rPr/>
            </w:r>
          </w:p>
        </w:tc>
      </w:tr>
      <w:tr>
        <w:trPr/>
        <w:tc>
          <w:tcPr>
            <w:tcW w:w="165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10" w:type="dxa"/>
            <w:gridSpan w:val="3"/>
            <w:tcBorders/>
            <w:shd w:fill="FFFFFF" w:val="clear"/>
            <w:vAlign w:val="bottom"/>
          </w:tcPr>
          <w:p>
            <w:pPr>
              <w:pStyle w:val="TableContents"/>
              <w:spacing w:before="0" w:after="0"/>
              <w:jc w:val="center"/>
              <w:rPr>
                <w:rFonts w:ascii="Arial" w:hAnsi="Arial"/>
                <w:b/>
              </w:rPr>
            </w:pPr>
            <w:r>
              <w:rPr>
                <w:rFonts w:ascii="Arial" w:hAnsi="Arial"/>
                <w:b/>
              </w:rPr>
              <w:t>Gross</w:t>
              <w:br/>
              <w:t>Carrying</w:t>
              <w:br/>
              <w:t>Amount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535" w:type="dxa"/>
            <w:gridSpan w:val="3"/>
            <w:tcBorders/>
            <w:shd w:fill="FFFFFF" w:val="clear"/>
            <w:vAlign w:val="bottom"/>
          </w:tcPr>
          <w:p>
            <w:pPr>
              <w:pStyle w:val="TableContents"/>
              <w:spacing w:before="0" w:after="0"/>
              <w:jc w:val="center"/>
              <w:rPr>
                <w:rFonts w:ascii="Arial" w:hAnsi="Arial"/>
                <w:b/>
              </w:rPr>
            </w:pPr>
            <w:r>
              <w:rPr>
                <w:rFonts w:ascii="Arial" w:hAnsi="Arial"/>
                <w:b/>
              </w:rPr>
              <w:t>Accumulated</w:t>
              <w:br/>
              <w:t>Amortization</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09" w:type="dxa"/>
            <w:gridSpan w:val="3"/>
            <w:tcBorders/>
            <w:shd w:fill="FFFFFF" w:val="clear"/>
            <w:vAlign w:val="bottom"/>
          </w:tcPr>
          <w:p>
            <w:pPr>
              <w:pStyle w:val="TableContents"/>
              <w:spacing w:before="0" w:after="0"/>
              <w:jc w:val="center"/>
              <w:rPr>
                <w:rFonts w:ascii="Arial" w:hAnsi="Arial"/>
                <w:b/>
              </w:rPr>
            </w:pPr>
            <w:r>
              <w:rPr>
                <w:rFonts w:ascii="Arial" w:hAnsi="Arial"/>
                <w:b/>
              </w:rPr>
              <w:t>Net</w:t>
              <w:br/>
              <w:t>Carrying</w:t>
              <w:br/>
              <w:t>Amount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10" w:type="dxa"/>
            <w:gridSpan w:val="3"/>
            <w:tcBorders/>
            <w:shd w:fill="FFFFFF" w:val="clear"/>
            <w:vAlign w:val="bottom"/>
          </w:tcPr>
          <w:p>
            <w:pPr>
              <w:pStyle w:val="TableContents"/>
              <w:spacing w:before="0" w:after="0"/>
              <w:jc w:val="center"/>
              <w:rPr>
                <w:rFonts w:ascii="Arial" w:hAnsi="Arial"/>
                <w:b/>
              </w:rPr>
            </w:pPr>
            <w:r>
              <w:rPr>
                <w:rFonts w:ascii="Arial" w:hAnsi="Arial"/>
                <w:b/>
              </w:rPr>
              <w:t>Gross</w:t>
              <w:br/>
              <w:t>Carrying</w:t>
              <w:br/>
              <w:t>Amount</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535" w:type="dxa"/>
            <w:gridSpan w:val="3"/>
            <w:tcBorders/>
            <w:shd w:fill="FFFFFF" w:val="clear"/>
            <w:vAlign w:val="bottom"/>
          </w:tcPr>
          <w:p>
            <w:pPr>
              <w:pStyle w:val="TableContents"/>
              <w:spacing w:before="0" w:after="0"/>
              <w:jc w:val="center"/>
              <w:rPr>
                <w:rFonts w:ascii="Arial" w:hAnsi="Arial"/>
                <w:b/>
              </w:rPr>
            </w:pPr>
            <w:r>
              <w:rPr>
                <w:rFonts w:ascii="Arial" w:hAnsi="Arial"/>
                <w:b/>
              </w:rPr>
              <w:t>Accumulated</w:t>
              <w:br/>
              <w:t>Amortization</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12" w:type="dxa"/>
            <w:gridSpan w:val="3"/>
            <w:tcBorders/>
            <w:shd w:fill="FFFFFF" w:val="clear"/>
            <w:vAlign w:val="bottom"/>
          </w:tcPr>
          <w:p>
            <w:pPr>
              <w:pStyle w:val="TableContents"/>
              <w:spacing w:before="0" w:after="0"/>
              <w:jc w:val="center"/>
              <w:rPr>
                <w:rFonts w:ascii="Arial" w:hAnsi="Arial"/>
                <w:b/>
              </w:rPr>
            </w:pPr>
            <w:r>
              <w:rPr>
                <w:rFonts w:ascii="Arial" w:hAnsi="Arial"/>
                <w:b/>
              </w:rPr>
              <w:t>Net</w:t>
              <w:br/>
              <w:t>Carrying</w:t>
              <w:br/>
              <w:t>Amount</w:t>
            </w:r>
          </w:p>
          <w:p>
            <w:pPr>
              <w:pStyle w:val="HorizontalLine"/>
              <w:pBdr>
                <w:bottom w:val="single" w:sz="6" w:space="0" w:color="000000"/>
              </w:pBdr>
              <w:spacing w:before="0" w:after="283"/>
              <w:rPr/>
            </w:pPr>
            <w:r>
              <w:rPr/>
            </w:r>
          </w:p>
        </w:tc>
      </w:tr>
      <w:tr>
        <w:trPr/>
        <w:tc>
          <w:tcPr>
            <w:tcW w:w="1654" w:type="dxa"/>
            <w:tcBorders/>
            <w:shd w:fill="FFFFFF" w:val="clear"/>
            <w:vAlign w:val="bottom"/>
          </w:tcPr>
          <w:p>
            <w:pPr>
              <w:pStyle w:val="TableContents"/>
              <w:spacing w:before="0" w:after="283"/>
              <w:jc w:val="left"/>
              <w:rPr>
                <w:rFonts w:ascii="Arial" w:hAnsi="Arial"/>
              </w:rPr>
            </w:pPr>
            <w:r>
              <w:rPr>
                <w:rFonts w:ascii="Arial" w:hAnsi="Arial"/>
              </w:rPr>
              <w:t>Intangible assets with determinable lives:</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r>
      <w:tr>
        <w:trPr/>
        <w:tc>
          <w:tcPr>
            <w:tcW w:w="1654" w:type="dxa"/>
            <w:tcBorders/>
            <w:shd w:fill="E5FFFF" w:val="clear"/>
            <w:vAlign w:val="bottom"/>
          </w:tcPr>
          <w:p>
            <w:pPr>
              <w:pStyle w:val="TableContents"/>
              <w:spacing w:before="0" w:after="283"/>
              <w:jc w:val="left"/>
              <w:rPr>
                <w:rFonts w:ascii="Arial" w:hAnsi="Arial"/>
              </w:rPr>
            </w:pPr>
            <w:r>
              <w:rPr>
                <w:rFonts w:ascii="Arial" w:hAnsi="Arial"/>
              </w:rPr>
              <w:t>Patents and technology</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bottom"/>
          </w:tcPr>
          <w:p>
            <w:pPr>
              <w:pStyle w:val="TableContents"/>
              <w:spacing w:before="0" w:after="283"/>
              <w:jc w:val="right"/>
              <w:rPr>
                <w:rFonts w:ascii="Arial" w:hAnsi="Arial"/>
              </w:rPr>
            </w:pPr>
            <w:r>
              <w:rPr>
                <w:rFonts w:ascii="Arial" w:hAnsi="Arial"/>
              </w:rPr>
              <w:t>$</w:t>
            </w:r>
          </w:p>
        </w:tc>
        <w:tc>
          <w:tcPr>
            <w:tcW w:w="749" w:type="dxa"/>
            <w:tcBorders/>
            <w:shd w:fill="E5FFFF" w:val="clear"/>
            <w:vAlign w:val="bottom"/>
          </w:tcPr>
          <w:p>
            <w:pPr>
              <w:pStyle w:val="TableContents"/>
              <w:spacing w:before="0" w:after="283"/>
              <w:jc w:val="right"/>
              <w:rPr>
                <w:rFonts w:ascii="Arial" w:hAnsi="Arial"/>
              </w:rPr>
            </w:pPr>
            <w:r>
              <w:rPr>
                <w:rFonts w:ascii="Arial" w:hAnsi="Arial"/>
              </w:rPr>
              <w:t>895</w:t>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bottom"/>
          </w:tcPr>
          <w:p>
            <w:pPr>
              <w:pStyle w:val="TableContents"/>
              <w:spacing w:before="0" w:after="283"/>
              <w:jc w:val="right"/>
              <w:rPr>
                <w:rFonts w:ascii="Arial" w:hAnsi="Arial"/>
              </w:rPr>
            </w:pPr>
            <w:r>
              <w:rPr>
                <w:rFonts w:ascii="Arial" w:hAnsi="Arial"/>
              </w:rPr>
              <w:t>$</w:t>
            </w:r>
          </w:p>
        </w:tc>
        <w:tc>
          <w:tcPr>
            <w:tcW w:w="1023" w:type="dxa"/>
            <w:tcBorders/>
            <w:shd w:fill="E5FFFF" w:val="clear"/>
            <w:vAlign w:val="bottom"/>
          </w:tcPr>
          <w:p>
            <w:pPr>
              <w:pStyle w:val="TableContents"/>
              <w:spacing w:before="0" w:after="283"/>
              <w:jc w:val="right"/>
              <w:rPr>
                <w:rFonts w:ascii="Arial" w:hAnsi="Arial"/>
              </w:rPr>
            </w:pPr>
            <w:r>
              <w:rPr>
                <w:rFonts w:ascii="Arial" w:hAnsi="Arial"/>
              </w:rPr>
              <w:t>(395</w:t>
            </w:r>
          </w:p>
        </w:tc>
        <w:tc>
          <w:tcPr>
            <w:tcW w:w="1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bottom"/>
          </w:tcPr>
          <w:p>
            <w:pPr>
              <w:pStyle w:val="TableContents"/>
              <w:spacing w:before="0" w:after="283"/>
              <w:jc w:val="right"/>
              <w:rPr>
                <w:rFonts w:ascii="Arial" w:hAnsi="Arial"/>
              </w:rPr>
            </w:pPr>
            <w:r>
              <w:rPr>
                <w:rFonts w:ascii="Arial" w:hAnsi="Arial"/>
              </w:rPr>
              <w:t>$</w:t>
            </w:r>
          </w:p>
        </w:tc>
        <w:tc>
          <w:tcPr>
            <w:tcW w:w="749" w:type="dxa"/>
            <w:tcBorders/>
            <w:shd w:fill="E5FFFF" w:val="clear"/>
            <w:vAlign w:val="bottom"/>
          </w:tcPr>
          <w:p>
            <w:pPr>
              <w:pStyle w:val="TableContents"/>
              <w:spacing w:before="0" w:after="283"/>
              <w:jc w:val="right"/>
              <w:rPr>
                <w:rFonts w:ascii="Arial" w:hAnsi="Arial"/>
              </w:rPr>
            </w:pPr>
            <w:r>
              <w:rPr>
                <w:rFonts w:ascii="Arial" w:hAnsi="Arial"/>
              </w:rPr>
              <w:t>500</w:t>
            </w:r>
          </w:p>
        </w:tc>
        <w:tc>
          <w:tcPr>
            <w:tcW w:w="7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bottom"/>
          </w:tcPr>
          <w:p>
            <w:pPr>
              <w:pStyle w:val="TableContents"/>
              <w:spacing w:before="0" w:after="283"/>
              <w:jc w:val="right"/>
              <w:rPr>
                <w:rFonts w:ascii="Arial" w:hAnsi="Arial"/>
              </w:rPr>
            </w:pPr>
            <w:r>
              <w:rPr>
                <w:rFonts w:ascii="Arial" w:hAnsi="Arial"/>
              </w:rPr>
              <w:t>$</w:t>
            </w:r>
          </w:p>
        </w:tc>
        <w:tc>
          <w:tcPr>
            <w:tcW w:w="749" w:type="dxa"/>
            <w:tcBorders/>
            <w:shd w:fill="E5FFFF" w:val="clear"/>
            <w:vAlign w:val="bottom"/>
          </w:tcPr>
          <w:p>
            <w:pPr>
              <w:pStyle w:val="TableContents"/>
              <w:spacing w:before="0" w:after="283"/>
              <w:jc w:val="right"/>
              <w:rPr>
                <w:rFonts w:ascii="Arial" w:hAnsi="Arial"/>
              </w:rPr>
            </w:pPr>
            <w:r>
              <w:rPr>
                <w:rFonts w:ascii="Arial" w:hAnsi="Arial"/>
              </w:rPr>
              <w:t>821</w:t>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bottom"/>
          </w:tcPr>
          <w:p>
            <w:pPr>
              <w:pStyle w:val="TableContents"/>
              <w:spacing w:before="0" w:after="283"/>
              <w:jc w:val="right"/>
              <w:rPr>
                <w:rFonts w:ascii="Arial" w:hAnsi="Arial"/>
              </w:rPr>
            </w:pPr>
            <w:r>
              <w:rPr>
                <w:rFonts w:ascii="Arial" w:hAnsi="Arial"/>
              </w:rPr>
              <w:t>$</w:t>
            </w:r>
          </w:p>
        </w:tc>
        <w:tc>
          <w:tcPr>
            <w:tcW w:w="1023" w:type="dxa"/>
            <w:tcBorders/>
            <w:shd w:fill="E5FFFF" w:val="clear"/>
            <w:vAlign w:val="bottom"/>
          </w:tcPr>
          <w:p>
            <w:pPr>
              <w:pStyle w:val="TableContents"/>
              <w:spacing w:before="0" w:after="283"/>
              <w:jc w:val="right"/>
              <w:rPr>
                <w:rFonts w:ascii="Arial" w:hAnsi="Arial"/>
              </w:rPr>
            </w:pPr>
            <w:r>
              <w:rPr>
                <w:rFonts w:ascii="Arial" w:hAnsi="Arial"/>
              </w:rPr>
              <w:t>(329</w:t>
            </w:r>
          </w:p>
        </w:tc>
        <w:tc>
          <w:tcPr>
            <w:tcW w:w="1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bottom"/>
          </w:tcPr>
          <w:p>
            <w:pPr>
              <w:pStyle w:val="TableContents"/>
              <w:spacing w:before="0" w:after="283"/>
              <w:jc w:val="right"/>
              <w:rPr>
                <w:rFonts w:ascii="Arial" w:hAnsi="Arial"/>
              </w:rPr>
            </w:pPr>
            <w:r>
              <w:rPr>
                <w:rFonts w:ascii="Arial" w:hAnsi="Arial"/>
              </w:rPr>
              <w:t>$</w:t>
            </w:r>
          </w:p>
        </w:tc>
        <w:tc>
          <w:tcPr>
            <w:tcW w:w="749" w:type="dxa"/>
            <w:tcBorders/>
            <w:shd w:fill="E5FFFF" w:val="clear"/>
            <w:vAlign w:val="bottom"/>
          </w:tcPr>
          <w:p>
            <w:pPr>
              <w:pStyle w:val="TableContents"/>
              <w:spacing w:before="0" w:after="283"/>
              <w:jc w:val="right"/>
              <w:rPr>
                <w:rFonts w:ascii="Arial" w:hAnsi="Arial"/>
              </w:rPr>
            </w:pPr>
            <w:r>
              <w:rPr>
                <w:rFonts w:ascii="Arial" w:hAnsi="Arial"/>
              </w:rPr>
              <w:t>492</w:t>
            </w:r>
          </w:p>
        </w:tc>
        <w:tc>
          <w:tcPr>
            <w:tcW w:w="76" w:type="dxa"/>
            <w:tcBorders/>
            <w:shd w:fill="E5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jc w:val="left"/>
              <w:rPr>
                <w:rFonts w:ascii="Arial" w:hAnsi="Arial"/>
              </w:rPr>
            </w:pPr>
            <w:r>
              <w:rPr>
                <w:rFonts w:ascii="Arial" w:hAnsi="Arial"/>
              </w:rPr>
              <w:t>Customer relationships</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462</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rFonts w:ascii="Arial" w:hAnsi="Arial"/>
              </w:rPr>
            </w:pPr>
            <w:r>
              <w:rPr>
                <w:rFonts w:ascii="Arial" w:hAnsi="Arial"/>
              </w:rPr>
              <w:t>(60</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402</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260</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rFonts w:ascii="Arial" w:hAnsi="Arial"/>
              </w:rPr>
            </w:pPr>
            <w:r>
              <w:rPr>
                <w:rFonts w:ascii="Arial" w:hAnsi="Arial"/>
              </w:rPr>
              <w:t>(15</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245</w:t>
            </w:r>
          </w:p>
        </w:tc>
        <w:tc>
          <w:tcPr>
            <w:tcW w:w="76" w:type="dxa"/>
            <w:tcBorders/>
            <w:shd w:fill="FFFFFF" w:val="clear"/>
            <w:vAlign w:val="center"/>
          </w:tcPr>
          <w:p>
            <w:pPr>
              <w:pStyle w:val="TableContents"/>
              <w:spacing w:before="0" w:after="283"/>
              <w:rPr/>
            </w:pPr>
            <w:r>
              <w:rPr/>
              <w:t> </w:t>
            </w:r>
          </w:p>
        </w:tc>
      </w:tr>
      <w:tr>
        <w:trPr/>
        <w:tc>
          <w:tcPr>
            <w:tcW w:w="1654" w:type="dxa"/>
            <w:tcBorders/>
            <w:shd w:fill="E5FFFF" w:val="clear"/>
            <w:vAlign w:val="bottom"/>
          </w:tcPr>
          <w:p>
            <w:pPr>
              <w:pStyle w:val="TableContents"/>
              <w:spacing w:before="0" w:after="283"/>
              <w:jc w:val="left"/>
              <w:rPr>
                <w:rFonts w:ascii="Arial" w:hAnsi="Arial"/>
              </w:rPr>
            </w:pPr>
            <w:r>
              <w:rPr>
                <w:rFonts w:ascii="Arial" w:hAnsi="Arial"/>
              </w:rPr>
              <w:t>Trademarks</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TableContents"/>
              <w:spacing w:before="0" w:after="283"/>
              <w:jc w:val="right"/>
              <w:rPr>
                <w:rFonts w:ascii="Arial" w:hAnsi="Arial"/>
              </w:rPr>
            </w:pPr>
            <w:r>
              <w:rPr>
                <w:rFonts w:ascii="Arial" w:hAnsi="Arial"/>
              </w:rPr>
              <w:t>101</w:t>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TableContents"/>
              <w:spacing w:before="0" w:after="283"/>
              <w:jc w:val="right"/>
              <w:rPr>
                <w:rFonts w:ascii="Arial" w:hAnsi="Arial"/>
              </w:rPr>
            </w:pPr>
            <w:r>
              <w:rPr>
                <w:rFonts w:ascii="Arial" w:hAnsi="Arial"/>
              </w:rPr>
              <w:t>(16</w:t>
            </w:r>
          </w:p>
        </w:tc>
        <w:tc>
          <w:tcPr>
            <w:tcW w:w="1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TableContents"/>
              <w:spacing w:before="0" w:after="283"/>
              <w:jc w:val="right"/>
              <w:rPr>
                <w:rFonts w:ascii="Arial" w:hAnsi="Arial"/>
              </w:rPr>
            </w:pPr>
            <w:r>
              <w:rPr>
                <w:rFonts w:ascii="Arial" w:hAnsi="Arial"/>
              </w:rPr>
              <w:t>85</w:t>
            </w:r>
          </w:p>
        </w:tc>
        <w:tc>
          <w:tcPr>
            <w:tcW w:w="7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TableContents"/>
              <w:spacing w:before="0" w:after="283"/>
              <w:jc w:val="right"/>
              <w:rPr>
                <w:rFonts w:ascii="Arial" w:hAnsi="Arial"/>
              </w:rPr>
            </w:pPr>
            <w:r>
              <w:rPr>
                <w:rFonts w:ascii="Arial" w:hAnsi="Arial"/>
              </w:rPr>
              <w:t>75</w:t>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TableContents"/>
              <w:spacing w:before="0" w:after="283"/>
              <w:jc w:val="right"/>
              <w:rPr>
                <w:rFonts w:ascii="Arial" w:hAnsi="Arial"/>
              </w:rPr>
            </w:pPr>
            <w:r>
              <w:rPr>
                <w:rFonts w:ascii="Arial" w:hAnsi="Arial"/>
              </w:rPr>
              <w:t>(6</w:t>
            </w:r>
          </w:p>
        </w:tc>
        <w:tc>
          <w:tcPr>
            <w:tcW w:w="1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TableContents"/>
              <w:spacing w:before="0" w:after="283"/>
              <w:jc w:val="right"/>
              <w:rPr>
                <w:rFonts w:ascii="Arial" w:hAnsi="Arial"/>
              </w:rPr>
            </w:pPr>
            <w:r>
              <w:rPr>
                <w:rFonts w:ascii="Arial" w:hAnsi="Arial"/>
              </w:rPr>
              <w:t>69</w:t>
            </w:r>
          </w:p>
        </w:tc>
        <w:tc>
          <w:tcPr>
            <w:tcW w:w="76" w:type="dxa"/>
            <w:tcBorders/>
            <w:shd w:fill="E5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jc w:val="left"/>
              <w:rPr>
                <w:rFonts w:ascii="Arial" w:hAnsi="Arial"/>
              </w:rPr>
            </w:pPr>
            <w:r>
              <w:rPr>
                <w:rFonts w:ascii="Arial" w:hAnsi="Arial"/>
              </w:rPr>
              <w:t>Other</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418</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rFonts w:ascii="Arial" w:hAnsi="Arial"/>
              </w:rPr>
            </w:pPr>
            <w:r>
              <w:rPr>
                <w:rFonts w:ascii="Arial" w:hAnsi="Arial"/>
              </w:rPr>
              <w:t>(265</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153</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505</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rFonts w:ascii="Arial" w:hAnsi="Arial"/>
              </w:rPr>
            </w:pPr>
            <w:r>
              <w:rPr>
                <w:rFonts w:ascii="Arial" w:hAnsi="Arial"/>
              </w:rPr>
              <w:t>(245</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260</w:t>
            </w:r>
          </w:p>
        </w:tc>
        <w:tc>
          <w:tcPr>
            <w:tcW w:w="76" w:type="dxa"/>
            <w:tcBorders/>
            <w:shd w:fill="FFFFFF" w:val="clear"/>
            <w:vAlign w:val="center"/>
          </w:tcPr>
          <w:p>
            <w:pPr>
              <w:pStyle w:val="TableContents"/>
              <w:spacing w:before="0" w:after="283"/>
              <w:rPr/>
            </w:pPr>
            <w:r>
              <w:rPr/>
              <w:t> </w:t>
            </w:r>
          </w:p>
        </w:tc>
      </w:tr>
      <w:tr>
        <w:trPr/>
        <w:tc>
          <w:tcPr>
            <w:tcW w:w="165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6"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6"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6" w:type="dxa"/>
            <w:tcBorders/>
            <w:shd w:fill="E5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1,876</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rFonts w:ascii="Arial" w:hAnsi="Arial"/>
              </w:rPr>
            </w:pPr>
            <w:r>
              <w:rPr>
                <w:rFonts w:ascii="Arial" w:hAnsi="Arial"/>
              </w:rPr>
              <w:t>(736</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1,140</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1,661</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rFonts w:ascii="Arial" w:hAnsi="Arial"/>
              </w:rPr>
            </w:pPr>
            <w:r>
              <w:rPr>
                <w:rFonts w:ascii="Arial" w:hAnsi="Arial"/>
              </w:rPr>
              <w:t>(595</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1,066</w:t>
            </w:r>
          </w:p>
        </w:tc>
        <w:tc>
          <w:tcPr>
            <w:tcW w:w="76" w:type="dxa"/>
            <w:tcBorders/>
            <w:shd w:fill="FFFFFF" w:val="clear"/>
            <w:vAlign w:val="center"/>
          </w:tcPr>
          <w:p>
            <w:pPr>
              <w:pStyle w:val="TableContents"/>
              <w:spacing w:before="0" w:after="283"/>
              <w:rPr/>
            </w:pPr>
            <w:r>
              <w:rPr/>
              <w:t> </w:t>
            </w:r>
          </w:p>
        </w:tc>
      </w:tr>
      <w:tr>
        <w:trPr/>
        <w:tc>
          <w:tcPr>
            <w:tcW w:w="165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6"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6"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6" w:type="dxa"/>
            <w:tcBorders/>
            <w:shd w:fill="E5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jc w:val="left"/>
              <w:rPr>
                <w:rFonts w:ascii="Arial" w:hAnsi="Arial"/>
              </w:rPr>
            </w:pPr>
            <w:r>
              <w:rPr>
                <w:rFonts w:ascii="Arial" w:hAnsi="Arial"/>
              </w:rPr>
              <w:t>Trademarks with indefinite lives</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107</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pPr>
            <w:r>
              <w:rPr/>
              <w:t>—</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107</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107</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bottom"/>
          </w:tcPr>
          <w:p>
            <w:pPr>
              <w:pStyle w:val="TableContents"/>
              <w:spacing w:before="0" w:after="283"/>
              <w:jc w:val="right"/>
              <w:rPr/>
            </w:pPr>
            <w:r>
              <w:rPr/>
              <w:t>—</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bottom"/>
          </w:tcPr>
          <w:p>
            <w:pPr>
              <w:pStyle w:val="TableContents"/>
              <w:spacing w:before="0" w:after="283"/>
              <w:jc w:val="right"/>
              <w:rPr>
                <w:rFonts w:ascii="Arial" w:hAnsi="Arial"/>
              </w:rPr>
            </w:pPr>
            <w:r>
              <w:rPr>
                <w:rFonts w:ascii="Arial" w:hAnsi="Arial"/>
              </w:rPr>
              <w:t>107</w:t>
            </w:r>
          </w:p>
        </w:tc>
        <w:tc>
          <w:tcPr>
            <w:tcW w:w="76" w:type="dxa"/>
            <w:tcBorders/>
            <w:shd w:fill="FFFFFF" w:val="clear"/>
            <w:vAlign w:val="center"/>
          </w:tcPr>
          <w:p>
            <w:pPr>
              <w:pStyle w:val="TableContents"/>
              <w:spacing w:before="0" w:after="283"/>
              <w:rPr/>
            </w:pPr>
            <w:r>
              <w:rPr/>
              <w:t> </w:t>
            </w:r>
          </w:p>
        </w:tc>
      </w:tr>
      <w:tr>
        <w:trPr/>
        <w:tc>
          <w:tcPr>
            <w:tcW w:w="165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6"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6"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6" w:space="0" w:color="000000"/>
              </w:pBdr>
              <w:spacing w:before="0" w:after="283"/>
              <w:rPr/>
            </w:pPr>
            <w:r>
              <w:rPr/>
            </w:r>
          </w:p>
        </w:tc>
        <w:tc>
          <w:tcPr>
            <w:tcW w:w="76" w:type="dxa"/>
            <w:tcBorders/>
            <w:shd w:fill="E5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right"/>
              <w:rPr>
                <w:rFonts w:ascii="Arial" w:hAnsi="Arial"/>
              </w:rPr>
            </w:pPr>
            <w:r>
              <w:rPr>
                <w:rFonts w:ascii="Arial" w:hAnsi="Arial"/>
              </w:rPr>
              <w:t>$</w:t>
            </w:r>
          </w:p>
        </w:tc>
        <w:tc>
          <w:tcPr>
            <w:tcW w:w="749" w:type="dxa"/>
            <w:tcBorders/>
            <w:shd w:fill="FFFFFF" w:val="clear"/>
            <w:vAlign w:val="bottom"/>
          </w:tcPr>
          <w:p>
            <w:pPr>
              <w:pStyle w:val="TableContents"/>
              <w:spacing w:before="0" w:after="283"/>
              <w:jc w:val="right"/>
              <w:rPr>
                <w:rFonts w:ascii="Arial" w:hAnsi="Arial"/>
              </w:rPr>
            </w:pPr>
            <w:r>
              <w:rPr>
                <w:rFonts w:ascii="Arial" w:hAnsi="Arial"/>
              </w:rPr>
              <w:t>1,983</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bottom"/>
          </w:tcPr>
          <w:p>
            <w:pPr>
              <w:pStyle w:val="TableContents"/>
              <w:spacing w:before="0" w:after="283"/>
              <w:jc w:val="right"/>
              <w:rPr>
                <w:rFonts w:ascii="Arial" w:hAnsi="Arial"/>
              </w:rPr>
            </w:pPr>
            <w:r>
              <w:rPr>
                <w:rFonts w:ascii="Arial" w:hAnsi="Arial"/>
              </w:rPr>
              <w:t>$</w:t>
            </w:r>
          </w:p>
        </w:tc>
        <w:tc>
          <w:tcPr>
            <w:tcW w:w="1023" w:type="dxa"/>
            <w:tcBorders/>
            <w:shd w:fill="FFFFFF" w:val="clear"/>
            <w:vAlign w:val="bottom"/>
          </w:tcPr>
          <w:p>
            <w:pPr>
              <w:pStyle w:val="TableContents"/>
              <w:spacing w:before="0" w:after="283"/>
              <w:jc w:val="right"/>
              <w:rPr>
                <w:rFonts w:ascii="Arial" w:hAnsi="Arial"/>
              </w:rPr>
            </w:pPr>
            <w:r>
              <w:rPr>
                <w:rFonts w:ascii="Arial" w:hAnsi="Arial"/>
              </w:rPr>
              <w:t>(736</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right"/>
              <w:rPr>
                <w:rFonts w:ascii="Arial" w:hAnsi="Arial"/>
              </w:rPr>
            </w:pPr>
            <w:r>
              <w:rPr>
                <w:rFonts w:ascii="Arial" w:hAnsi="Arial"/>
              </w:rPr>
              <w:t>$</w:t>
            </w:r>
          </w:p>
        </w:tc>
        <w:tc>
          <w:tcPr>
            <w:tcW w:w="749" w:type="dxa"/>
            <w:tcBorders/>
            <w:shd w:fill="FFFFFF" w:val="clear"/>
            <w:vAlign w:val="bottom"/>
          </w:tcPr>
          <w:p>
            <w:pPr>
              <w:pStyle w:val="TableContents"/>
              <w:spacing w:before="0" w:after="283"/>
              <w:jc w:val="right"/>
              <w:rPr>
                <w:rFonts w:ascii="Arial" w:hAnsi="Arial"/>
              </w:rPr>
            </w:pPr>
            <w:r>
              <w:rPr>
                <w:rFonts w:ascii="Arial" w:hAnsi="Arial"/>
              </w:rPr>
              <w:t>1,247</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right"/>
              <w:rPr>
                <w:rFonts w:ascii="Arial" w:hAnsi="Arial"/>
              </w:rPr>
            </w:pPr>
            <w:r>
              <w:rPr>
                <w:rFonts w:ascii="Arial" w:hAnsi="Arial"/>
              </w:rPr>
              <w:t>$</w:t>
            </w:r>
          </w:p>
        </w:tc>
        <w:tc>
          <w:tcPr>
            <w:tcW w:w="749" w:type="dxa"/>
            <w:tcBorders/>
            <w:shd w:fill="FFFFFF" w:val="clear"/>
            <w:vAlign w:val="bottom"/>
          </w:tcPr>
          <w:p>
            <w:pPr>
              <w:pStyle w:val="TableContents"/>
              <w:spacing w:before="0" w:after="283"/>
              <w:jc w:val="right"/>
              <w:rPr>
                <w:rFonts w:ascii="Arial" w:hAnsi="Arial"/>
              </w:rPr>
            </w:pPr>
            <w:r>
              <w:rPr>
                <w:rFonts w:ascii="Arial" w:hAnsi="Arial"/>
              </w:rPr>
              <w:t>1,768</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17" w:type="dxa"/>
            <w:tcBorders/>
            <w:shd w:fill="FFFFFF" w:val="clear"/>
            <w:vAlign w:val="bottom"/>
          </w:tcPr>
          <w:p>
            <w:pPr>
              <w:pStyle w:val="TableContents"/>
              <w:spacing w:before="0" w:after="283"/>
              <w:jc w:val="right"/>
              <w:rPr>
                <w:rFonts w:ascii="Arial" w:hAnsi="Arial"/>
              </w:rPr>
            </w:pPr>
            <w:r>
              <w:rPr>
                <w:rFonts w:ascii="Arial" w:hAnsi="Arial"/>
              </w:rPr>
              <w:t>$</w:t>
            </w:r>
          </w:p>
        </w:tc>
        <w:tc>
          <w:tcPr>
            <w:tcW w:w="1023" w:type="dxa"/>
            <w:tcBorders/>
            <w:shd w:fill="FFFFFF" w:val="clear"/>
            <w:vAlign w:val="bottom"/>
          </w:tcPr>
          <w:p>
            <w:pPr>
              <w:pStyle w:val="TableContents"/>
              <w:spacing w:before="0" w:after="283"/>
              <w:jc w:val="right"/>
              <w:rPr>
                <w:rFonts w:ascii="Arial" w:hAnsi="Arial"/>
              </w:rPr>
            </w:pPr>
            <w:r>
              <w:rPr>
                <w:rFonts w:ascii="Arial" w:hAnsi="Arial"/>
              </w:rPr>
              <w:t>(595</w:t>
            </w:r>
          </w:p>
        </w:tc>
        <w:tc>
          <w:tcPr>
            <w:tcW w:w="1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right"/>
              <w:rPr>
                <w:rFonts w:ascii="Arial" w:hAnsi="Arial"/>
              </w:rPr>
            </w:pPr>
            <w:r>
              <w:rPr>
                <w:rFonts w:ascii="Arial" w:hAnsi="Arial"/>
              </w:rPr>
              <w:t>$</w:t>
            </w:r>
          </w:p>
        </w:tc>
        <w:tc>
          <w:tcPr>
            <w:tcW w:w="749" w:type="dxa"/>
            <w:tcBorders/>
            <w:shd w:fill="FFFFFF" w:val="clear"/>
            <w:vAlign w:val="bottom"/>
          </w:tcPr>
          <w:p>
            <w:pPr>
              <w:pStyle w:val="TableContents"/>
              <w:spacing w:before="0" w:after="283"/>
              <w:jc w:val="right"/>
              <w:rPr>
                <w:rFonts w:ascii="Arial" w:hAnsi="Arial"/>
              </w:rPr>
            </w:pPr>
            <w:r>
              <w:rPr>
                <w:rFonts w:ascii="Arial" w:hAnsi="Arial"/>
              </w:rPr>
              <w:t>1,173</w:t>
            </w:r>
          </w:p>
        </w:tc>
        <w:tc>
          <w:tcPr>
            <w:tcW w:w="76" w:type="dxa"/>
            <w:tcBorders/>
            <w:shd w:fill="FFFFFF" w:val="clear"/>
            <w:vAlign w:val="center"/>
          </w:tcPr>
          <w:p>
            <w:pPr>
              <w:pStyle w:val="TableContents"/>
              <w:spacing w:before="0" w:after="283"/>
              <w:rPr/>
            </w:pPr>
            <w:r>
              <w:rPr/>
              <w:t> </w:t>
            </w:r>
          </w:p>
        </w:tc>
      </w:tr>
      <w:tr>
        <w:trPr/>
        <w:tc>
          <w:tcPr>
            <w:tcW w:w="165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18"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18"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18" w:space="0" w:color="000000"/>
              </w:pBdr>
              <w:spacing w:before="0" w:after="283"/>
              <w:rPr/>
            </w:pPr>
            <w:r>
              <w:rPr/>
            </w:r>
          </w:p>
        </w:tc>
        <w:tc>
          <w:tcPr>
            <w:tcW w:w="73"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18" w:space="0" w:color="000000"/>
              </w:pBdr>
              <w:spacing w:before="0" w:after="283"/>
              <w:rPr/>
            </w:pPr>
            <w:r>
              <w:rPr/>
            </w:r>
          </w:p>
        </w:tc>
        <w:tc>
          <w:tcPr>
            <w:tcW w:w="7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17" w:type="dxa"/>
            <w:tcBorders/>
            <w:shd w:fill="E5FFFF" w:val="clear"/>
            <w:vAlign w:val="center"/>
          </w:tcPr>
          <w:p>
            <w:pPr>
              <w:pStyle w:val="TableContents"/>
              <w:spacing w:before="0" w:after="283"/>
              <w:rPr/>
            </w:pPr>
            <w:r>
              <w:rPr/>
              <w:t> </w:t>
            </w:r>
          </w:p>
        </w:tc>
        <w:tc>
          <w:tcPr>
            <w:tcW w:w="1023" w:type="dxa"/>
            <w:tcBorders/>
            <w:shd w:fill="E5FFFF" w:val="clear"/>
            <w:vAlign w:val="bottom"/>
          </w:tcPr>
          <w:p>
            <w:pPr>
              <w:pStyle w:val="HorizontalLine"/>
              <w:pBdr>
                <w:bottom w:val="single" w:sz="18" w:space="0" w:color="000000"/>
              </w:pBdr>
              <w:spacing w:before="0" w:after="283"/>
              <w:rPr/>
            </w:pPr>
            <w:r>
              <w:rPr/>
            </w:r>
          </w:p>
        </w:tc>
        <w:tc>
          <w:tcPr>
            <w:tcW w:w="1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749" w:type="dxa"/>
            <w:tcBorders/>
            <w:shd w:fill="E5FFFF" w:val="clear"/>
            <w:vAlign w:val="bottom"/>
          </w:tcPr>
          <w:p>
            <w:pPr>
              <w:pStyle w:val="HorizontalLine"/>
              <w:pBdr>
                <w:bottom w:val="single" w:sz="18" w:space="0" w:color="000000"/>
              </w:pBdr>
              <w:spacing w:before="0" w:after="283"/>
              <w:rPr/>
            </w:pPr>
            <w:r>
              <w:rPr/>
            </w:r>
          </w:p>
        </w:tc>
        <w:tc>
          <w:tcPr>
            <w:tcW w:w="76" w:type="dxa"/>
            <w:tcBorders/>
            <w:shd w:fill="E5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r>
      <w:tr>
        <w:trPr/>
        <w:tc>
          <w:tcPr>
            <w:tcW w:w="16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17" w:type="dxa"/>
            <w:tcBorders/>
            <w:shd w:fill="FFFFFF" w:val="clear"/>
            <w:vAlign w:val="center"/>
          </w:tcPr>
          <w:p>
            <w:pPr>
              <w:pStyle w:val="TableContents"/>
              <w:spacing w:before="0" w:after="283"/>
              <w:rPr/>
            </w:pPr>
            <w:r>
              <w:rPr/>
              <w:t> </w:t>
            </w:r>
          </w:p>
        </w:tc>
        <w:tc>
          <w:tcPr>
            <w:tcW w:w="1023"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749"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Intangible assets amortization expense was $144, $75 and $42 million in 2006, 2005 and 2004, respectively. Estimated intangible assets amortization expense for each of the next five years approximates $150 million in 2007, $140 million in 2008, $140 million in 2009, $130 million in 2010 and $120 million in 2011.</w:t>
      </w:r>
    </w:p>
    <w:p>
      <w:pPr>
        <w:pStyle w:val="TextBody"/>
        <w:jc w:val="left"/>
        <w:rPr>
          <w:rFonts w:ascii="Arial" w:hAnsi="Arial"/>
          <w:b/>
        </w:rPr>
      </w:pPr>
      <w:r>
        <w:rPr>
          <w:rFonts w:ascii="Arial" w:hAnsi="Arial"/>
          <w:b/>
        </w:rPr>
        <w:t>Note 13—Accrued Liabilities</w:t>
      </w:r>
    </w:p>
    <w:tbl>
      <w:tblPr>
        <w:tblW w:w="5000" w:type="pct"/>
        <w:jc w:val="left"/>
        <w:tblInd w:w="0" w:type="dxa"/>
        <w:tblCellMar>
          <w:top w:w="0" w:type="dxa"/>
          <w:left w:w="0" w:type="dxa"/>
          <w:bottom w:w="0" w:type="dxa"/>
          <w:right w:w="0" w:type="dxa"/>
        </w:tblCellMar>
      </w:tblPr>
      <w:tblGrid>
        <w:gridCol w:w="414"/>
        <w:gridCol w:w="6209"/>
        <w:gridCol w:w="829"/>
        <w:gridCol w:w="179"/>
        <w:gridCol w:w="714"/>
        <w:gridCol w:w="69"/>
        <w:gridCol w:w="829"/>
        <w:gridCol w:w="178"/>
        <w:gridCol w:w="715"/>
        <w:gridCol w:w="69"/>
      </w:tblGrid>
      <w:tr>
        <w:trPr/>
        <w:tc>
          <w:tcPr>
            <w:tcW w:w="414" w:type="dxa"/>
            <w:tcBorders/>
            <w:shd w:fill="FFFFFF" w:val="clear"/>
            <w:vAlign w:val="center"/>
          </w:tcPr>
          <w:p>
            <w:pPr>
              <w:pStyle w:val="TableContents"/>
              <w:spacing w:before="0" w:after="283"/>
              <w:rPr/>
            </w:pPr>
            <w:r>
              <w:rPr/>
              <w:t> </w:t>
            </w:r>
          </w:p>
        </w:tc>
        <w:tc>
          <w:tcPr>
            <w:tcW w:w="6209"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2753"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414" w:type="dxa"/>
            <w:tcBorders/>
            <w:shd w:fill="FFFFFF" w:val="clear"/>
            <w:vAlign w:val="center"/>
          </w:tcPr>
          <w:p>
            <w:pPr>
              <w:pStyle w:val="TableContents"/>
              <w:spacing w:before="0" w:after="283"/>
              <w:rPr/>
            </w:pPr>
            <w:r>
              <w:rPr/>
              <w:t> </w:t>
            </w:r>
          </w:p>
        </w:tc>
        <w:tc>
          <w:tcPr>
            <w:tcW w:w="6209"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96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829" w:type="dxa"/>
            <w:tcBorders/>
            <w:shd w:fill="FFFFFF" w:val="clear"/>
            <w:vAlign w:val="center"/>
          </w:tcPr>
          <w:p>
            <w:pPr>
              <w:pStyle w:val="TableContents"/>
              <w:spacing w:before="0" w:after="283"/>
              <w:rPr/>
            </w:pPr>
            <w:r>
              <w:rPr/>
              <w:t> </w:t>
            </w:r>
          </w:p>
        </w:tc>
        <w:tc>
          <w:tcPr>
            <w:tcW w:w="96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jc w:val="left"/>
              <w:rPr>
                <w:rFonts w:ascii="Arial" w:hAnsi="Arial"/>
              </w:rPr>
            </w:pPr>
            <w:r>
              <w:rPr>
                <w:rFonts w:ascii="Arial" w:hAnsi="Arial"/>
              </w:rPr>
              <w:t>Compensation, benefit and other employee related</w:t>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bottom"/>
          </w:tcPr>
          <w:p>
            <w:pPr>
              <w:pStyle w:val="TableContents"/>
              <w:spacing w:before="0" w:after="283"/>
              <w:jc w:val="right"/>
              <w:rPr>
                <w:rFonts w:ascii="Arial" w:hAnsi="Arial"/>
              </w:rPr>
            </w:pPr>
            <w:r>
              <w:rPr>
                <w:rFonts w:ascii="Arial" w:hAnsi="Arial"/>
              </w:rPr>
              <w:t>$</w:t>
            </w:r>
          </w:p>
        </w:tc>
        <w:tc>
          <w:tcPr>
            <w:tcW w:w="714" w:type="dxa"/>
            <w:tcBorders/>
            <w:shd w:fill="E5FFFF" w:val="clear"/>
            <w:vAlign w:val="bottom"/>
          </w:tcPr>
          <w:p>
            <w:pPr>
              <w:pStyle w:val="TableContents"/>
              <w:spacing w:before="0" w:after="283"/>
              <w:jc w:val="right"/>
              <w:rPr>
                <w:rFonts w:ascii="Arial" w:hAnsi="Arial"/>
              </w:rPr>
            </w:pPr>
            <w:r>
              <w:rPr>
                <w:rFonts w:ascii="Arial" w:hAnsi="Arial"/>
              </w:rPr>
              <w:t>1,138</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bottom"/>
          </w:tcPr>
          <w:p>
            <w:pPr>
              <w:pStyle w:val="TableContents"/>
              <w:spacing w:before="0" w:after="283"/>
              <w:jc w:val="right"/>
              <w:rPr>
                <w:rFonts w:ascii="Arial" w:hAnsi="Arial"/>
              </w:rPr>
            </w:pPr>
            <w:r>
              <w:rPr>
                <w:rFonts w:ascii="Arial" w:hAnsi="Arial"/>
              </w:rPr>
              <w:t>$</w:t>
            </w:r>
          </w:p>
        </w:tc>
        <w:tc>
          <w:tcPr>
            <w:tcW w:w="715" w:type="dxa"/>
            <w:tcBorders/>
            <w:shd w:fill="E5FFFF" w:val="clear"/>
            <w:vAlign w:val="bottom"/>
          </w:tcPr>
          <w:p>
            <w:pPr>
              <w:pStyle w:val="TableContents"/>
              <w:spacing w:before="0" w:after="283"/>
              <w:jc w:val="right"/>
              <w:rPr>
                <w:rFonts w:ascii="Arial" w:hAnsi="Arial"/>
              </w:rPr>
            </w:pPr>
            <w:r>
              <w:rPr>
                <w:rFonts w:ascii="Arial" w:hAnsi="Arial"/>
              </w:rPr>
              <w:t>996</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6209" w:type="dxa"/>
            <w:tcBorders/>
            <w:shd w:fill="FFFFFF" w:val="clear"/>
            <w:vAlign w:val="bottom"/>
          </w:tcPr>
          <w:p>
            <w:pPr>
              <w:pStyle w:val="TableContents"/>
              <w:spacing w:before="0" w:after="283"/>
              <w:jc w:val="left"/>
              <w:rPr>
                <w:rFonts w:ascii="Arial" w:hAnsi="Arial"/>
              </w:rPr>
            </w:pPr>
            <w:r>
              <w:rPr>
                <w:rFonts w:ascii="Arial" w:hAnsi="Arial"/>
              </w:rPr>
              <w:t>Customer advances and deferred income</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TableContents"/>
              <w:spacing w:before="0" w:after="283"/>
              <w:jc w:val="right"/>
              <w:rPr>
                <w:rFonts w:ascii="Arial" w:hAnsi="Arial"/>
              </w:rPr>
            </w:pPr>
            <w:r>
              <w:rPr>
                <w:rFonts w:ascii="Arial" w:hAnsi="Arial"/>
              </w:rPr>
              <w:t>1,067</w:t>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TableContents"/>
              <w:spacing w:before="0" w:after="283"/>
              <w:jc w:val="right"/>
              <w:rPr>
                <w:rFonts w:ascii="Arial" w:hAnsi="Arial"/>
              </w:rPr>
            </w:pPr>
            <w:r>
              <w:rPr>
                <w:rFonts w:ascii="Arial" w:hAnsi="Arial"/>
              </w:rPr>
              <w:t>932</w:t>
            </w:r>
          </w:p>
        </w:tc>
        <w:tc>
          <w:tcPr>
            <w:tcW w:w="69"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jc w:val="left"/>
              <w:rPr>
                <w:rFonts w:ascii="Arial" w:hAnsi="Arial"/>
              </w:rPr>
            </w:pPr>
            <w:r>
              <w:rPr>
                <w:rFonts w:ascii="Arial" w:hAnsi="Arial"/>
              </w:rPr>
              <w:t>Income taxes</w:t>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4" w:type="dxa"/>
            <w:tcBorders/>
            <w:shd w:fill="E5FFFF" w:val="clear"/>
            <w:vAlign w:val="bottom"/>
          </w:tcPr>
          <w:p>
            <w:pPr>
              <w:pStyle w:val="TableContents"/>
              <w:spacing w:before="0" w:after="283"/>
              <w:jc w:val="right"/>
              <w:rPr>
                <w:rFonts w:ascii="Arial" w:hAnsi="Arial"/>
              </w:rPr>
            </w:pPr>
            <w:r>
              <w:rPr>
                <w:rFonts w:ascii="Arial" w:hAnsi="Arial"/>
              </w:rPr>
              <w:t>418</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715" w:type="dxa"/>
            <w:tcBorders/>
            <w:shd w:fill="E5FFFF" w:val="clear"/>
            <w:vAlign w:val="bottom"/>
          </w:tcPr>
          <w:p>
            <w:pPr>
              <w:pStyle w:val="TableContents"/>
              <w:spacing w:before="0" w:after="283"/>
              <w:jc w:val="right"/>
              <w:rPr>
                <w:rFonts w:ascii="Arial" w:hAnsi="Arial"/>
              </w:rPr>
            </w:pPr>
            <w:r>
              <w:rPr>
                <w:rFonts w:ascii="Arial" w:hAnsi="Arial"/>
              </w:rPr>
              <w:t>633</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6209" w:type="dxa"/>
            <w:tcBorders/>
            <w:shd w:fill="FFFFFF" w:val="clear"/>
            <w:vAlign w:val="bottom"/>
          </w:tcPr>
          <w:p>
            <w:pPr>
              <w:pStyle w:val="TableContents"/>
              <w:spacing w:before="0" w:after="283"/>
              <w:jc w:val="left"/>
              <w:rPr>
                <w:rFonts w:ascii="Arial" w:hAnsi="Arial"/>
              </w:rPr>
            </w:pPr>
            <w:r>
              <w:rPr>
                <w:rFonts w:ascii="Arial" w:hAnsi="Arial"/>
              </w:rPr>
              <w:t>Environmental costs</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TableContents"/>
              <w:spacing w:before="0" w:after="283"/>
              <w:jc w:val="right"/>
              <w:rPr>
                <w:rFonts w:ascii="Arial" w:hAnsi="Arial"/>
              </w:rPr>
            </w:pPr>
            <w:r>
              <w:rPr>
                <w:rFonts w:ascii="Arial" w:hAnsi="Arial"/>
              </w:rPr>
              <w:t>251</w:t>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TableContents"/>
              <w:spacing w:before="0" w:after="283"/>
              <w:jc w:val="right"/>
              <w:rPr>
                <w:rFonts w:ascii="Arial" w:hAnsi="Arial"/>
              </w:rPr>
            </w:pPr>
            <w:r>
              <w:rPr>
                <w:rFonts w:ascii="Arial" w:hAnsi="Arial"/>
              </w:rPr>
              <w:t>237</w:t>
            </w:r>
          </w:p>
        </w:tc>
        <w:tc>
          <w:tcPr>
            <w:tcW w:w="69"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jc w:val="left"/>
              <w:rPr>
                <w:rFonts w:ascii="Arial" w:hAnsi="Arial"/>
              </w:rPr>
            </w:pPr>
            <w:r>
              <w:rPr>
                <w:rFonts w:ascii="Arial" w:hAnsi="Arial"/>
              </w:rPr>
              <w:t>Asbestos related liabilities</w:t>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4" w:type="dxa"/>
            <w:tcBorders/>
            <w:shd w:fill="E5FFFF" w:val="clear"/>
            <w:vAlign w:val="bottom"/>
          </w:tcPr>
          <w:p>
            <w:pPr>
              <w:pStyle w:val="TableContents"/>
              <w:spacing w:before="0" w:after="283"/>
              <w:jc w:val="right"/>
              <w:rPr>
                <w:rFonts w:ascii="Arial" w:hAnsi="Arial"/>
              </w:rPr>
            </w:pPr>
            <w:r>
              <w:rPr>
                <w:rFonts w:ascii="Arial" w:hAnsi="Arial"/>
              </w:rPr>
              <w:t>557</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715" w:type="dxa"/>
            <w:tcBorders/>
            <w:shd w:fill="E5FFFF" w:val="clear"/>
            <w:vAlign w:val="bottom"/>
          </w:tcPr>
          <w:p>
            <w:pPr>
              <w:pStyle w:val="TableContents"/>
              <w:spacing w:before="0" w:after="283"/>
              <w:jc w:val="right"/>
              <w:rPr>
                <w:rFonts w:ascii="Arial" w:hAnsi="Arial"/>
              </w:rPr>
            </w:pPr>
            <w:r>
              <w:rPr>
                <w:rFonts w:ascii="Arial" w:hAnsi="Arial"/>
              </w:rPr>
              <w:t>520</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6209" w:type="dxa"/>
            <w:tcBorders/>
            <w:shd w:fill="FFFFFF" w:val="clear"/>
            <w:vAlign w:val="bottom"/>
          </w:tcPr>
          <w:p>
            <w:pPr>
              <w:pStyle w:val="TableContents"/>
              <w:spacing w:before="0" w:after="283"/>
              <w:jc w:val="left"/>
              <w:rPr>
                <w:rFonts w:ascii="Arial" w:hAnsi="Arial"/>
              </w:rPr>
            </w:pPr>
            <w:r>
              <w:rPr>
                <w:rFonts w:ascii="Arial" w:hAnsi="Arial"/>
              </w:rPr>
              <w:t>Product warranties and performance guarantees</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TableContents"/>
              <w:spacing w:before="0" w:after="283"/>
              <w:jc w:val="right"/>
              <w:rPr>
                <w:rFonts w:ascii="Arial" w:hAnsi="Arial"/>
              </w:rPr>
            </w:pPr>
            <w:r>
              <w:rPr>
                <w:rFonts w:ascii="Arial" w:hAnsi="Arial"/>
              </w:rPr>
              <w:t>347</w:t>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TableContents"/>
              <w:spacing w:before="0" w:after="283"/>
              <w:jc w:val="right"/>
              <w:rPr>
                <w:rFonts w:ascii="Arial" w:hAnsi="Arial"/>
              </w:rPr>
            </w:pPr>
            <w:r>
              <w:rPr>
                <w:rFonts w:ascii="Arial" w:hAnsi="Arial"/>
              </w:rPr>
              <w:t>322</w:t>
            </w:r>
          </w:p>
        </w:tc>
        <w:tc>
          <w:tcPr>
            <w:tcW w:w="69"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jc w:val="left"/>
              <w:rPr>
                <w:rFonts w:ascii="Arial" w:hAnsi="Arial"/>
              </w:rPr>
            </w:pPr>
            <w:r>
              <w:rPr>
                <w:rFonts w:ascii="Arial" w:hAnsi="Arial"/>
              </w:rPr>
              <w:t>Restructuring</w:t>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4" w:type="dxa"/>
            <w:tcBorders/>
            <w:shd w:fill="E5FFFF" w:val="clear"/>
            <w:vAlign w:val="bottom"/>
          </w:tcPr>
          <w:p>
            <w:pPr>
              <w:pStyle w:val="TableContents"/>
              <w:spacing w:before="0" w:after="283"/>
              <w:jc w:val="right"/>
              <w:rPr>
                <w:rFonts w:ascii="Arial" w:hAnsi="Arial"/>
              </w:rPr>
            </w:pPr>
            <w:r>
              <w:rPr>
                <w:rFonts w:ascii="Arial" w:hAnsi="Arial"/>
              </w:rPr>
              <w:t>127</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715" w:type="dxa"/>
            <w:tcBorders/>
            <w:shd w:fill="E5FFFF" w:val="clear"/>
            <w:vAlign w:val="bottom"/>
          </w:tcPr>
          <w:p>
            <w:pPr>
              <w:pStyle w:val="TableContents"/>
              <w:spacing w:before="0" w:after="283"/>
              <w:jc w:val="right"/>
              <w:rPr>
                <w:rFonts w:ascii="Arial" w:hAnsi="Arial"/>
              </w:rPr>
            </w:pPr>
            <w:r>
              <w:rPr>
                <w:rFonts w:ascii="Arial" w:hAnsi="Arial"/>
              </w:rPr>
              <w:t>182</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6209" w:type="dxa"/>
            <w:tcBorders/>
            <w:shd w:fill="FFFFFF" w:val="clear"/>
            <w:vAlign w:val="bottom"/>
          </w:tcPr>
          <w:p>
            <w:pPr>
              <w:pStyle w:val="TableContents"/>
              <w:spacing w:before="0" w:after="283"/>
              <w:jc w:val="left"/>
              <w:rPr>
                <w:rFonts w:ascii="Arial" w:hAnsi="Arial"/>
              </w:rPr>
            </w:pPr>
            <w:r>
              <w:rPr>
                <w:rFonts w:ascii="Arial" w:hAnsi="Arial"/>
              </w:rPr>
              <w:t>Other taxes (payroll, sales, VAT etc.)</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TableContents"/>
              <w:spacing w:before="0" w:after="283"/>
              <w:jc w:val="right"/>
              <w:rPr>
                <w:rFonts w:ascii="Arial" w:hAnsi="Arial"/>
              </w:rPr>
            </w:pPr>
            <w:r>
              <w:rPr>
                <w:rFonts w:ascii="Arial" w:hAnsi="Arial"/>
              </w:rPr>
              <w:t>124</w:t>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TableContents"/>
              <w:spacing w:before="0" w:after="283"/>
              <w:jc w:val="right"/>
              <w:rPr>
                <w:rFonts w:ascii="Arial" w:hAnsi="Arial"/>
              </w:rPr>
            </w:pPr>
            <w:r>
              <w:rPr>
                <w:rFonts w:ascii="Arial" w:hAnsi="Arial"/>
              </w:rPr>
              <w:t>102</w:t>
            </w:r>
          </w:p>
        </w:tc>
        <w:tc>
          <w:tcPr>
            <w:tcW w:w="69"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jc w:val="left"/>
              <w:rPr>
                <w:rFonts w:ascii="Arial" w:hAnsi="Arial"/>
              </w:rPr>
            </w:pPr>
            <w:r>
              <w:rPr>
                <w:rFonts w:ascii="Arial" w:hAnsi="Arial"/>
              </w:rPr>
              <w:t>Insurance</w:t>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4" w:type="dxa"/>
            <w:tcBorders/>
            <w:shd w:fill="E5FFFF" w:val="clear"/>
            <w:vAlign w:val="bottom"/>
          </w:tcPr>
          <w:p>
            <w:pPr>
              <w:pStyle w:val="TableContents"/>
              <w:spacing w:before="0" w:after="283"/>
              <w:jc w:val="right"/>
              <w:rPr>
                <w:rFonts w:ascii="Arial" w:hAnsi="Arial"/>
              </w:rPr>
            </w:pPr>
            <w:r>
              <w:rPr>
                <w:rFonts w:ascii="Arial" w:hAnsi="Arial"/>
              </w:rPr>
              <w:t>110</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715" w:type="dxa"/>
            <w:tcBorders/>
            <w:shd w:fill="E5FFFF" w:val="clear"/>
            <w:vAlign w:val="bottom"/>
          </w:tcPr>
          <w:p>
            <w:pPr>
              <w:pStyle w:val="TableContents"/>
              <w:spacing w:before="0" w:after="283"/>
              <w:jc w:val="right"/>
              <w:rPr>
                <w:rFonts w:ascii="Arial" w:hAnsi="Arial"/>
              </w:rPr>
            </w:pPr>
            <w:r>
              <w:rPr>
                <w:rFonts w:ascii="Arial" w:hAnsi="Arial"/>
              </w:rPr>
              <w:t>127</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6209" w:type="dxa"/>
            <w:tcBorders/>
            <w:shd w:fill="FFFFFF" w:val="clear"/>
            <w:vAlign w:val="bottom"/>
          </w:tcPr>
          <w:p>
            <w:pPr>
              <w:pStyle w:val="TableContents"/>
              <w:spacing w:before="0" w:after="283"/>
              <w:jc w:val="left"/>
              <w:rPr>
                <w:rFonts w:ascii="Arial" w:hAnsi="Arial"/>
              </w:rPr>
            </w:pPr>
            <w:r>
              <w:rPr>
                <w:rFonts w:ascii="Arial" w:hAnsi="Arial"/>
              </w:rPr>
              <w:t>Accrued interest</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TableContents"/>
              <w:spacing w:before="0" w:after="283"/>
              <w:jc w:val="right"/>
              <w:rPr>
                <w:rFonts w:ascii="Arial" w:hAnsi="Arial"/>
              </w:rPr>
            </w:pPr>
            <w:r>
              <w:rPr>
                <w:rFonts w:ascii="Arial" w:hAnsi="Arial"/>
              </w:rPr>
              <w:t>116</w:t>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TableContents"/>
              <w:spacing w:before="0" w:after="283"/>
              <w:jc w:val="right"/>
              <w:rPr>
                <w:rFonts w:ascii="Arial" w:hAnsi="Arial"/>
              </w:rPr>
            </w:pPr>
            <w:r>
              <w:rPr>
                <w:rFonts w:ascii="Arial" w:hAnsi="Arial"/>
              </w:rPr>
              <w:t>110</w:t>
            </w:r>
          </w:p>
        </w:tc>
        <w:tc>
          <w:tcPr>
            <w:tcW w:w="69"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jc w:val="left"/>
              <w:rPr>
                <w:rFonts w:ascii="Arial" w:hAnsi="Arial"/>
              </w:rPr>
            </w:pPr>
            <w:r>
              <w:rPr>
                <w:rFonts w:ascii="Arial" w:hAnsi="Arial"/>
              </w:rPr>
              <w:t>Other (primarily operating expenses)</w:t>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4" w:type="dxa"/>
            <w:tcBorders/>
            <w:shd w:fill="E5FFFF" w:val="clear"/>
            <w:vAlign w:val="bottom"/>
          </w:tcPr>
          <w:p>
            <w:pPr>
              <w:pStyle w:val="TableContents"/>
              <w:spacing w:before="0" w:after="283"/>
              <w:jc w:val="right"/>
              <w:rPr>
                <w:rFonts w:ascii="Arial" w:hAnsi="Arial"/>
              </w:rPr>
            </w:pPr>
            <w:r>
              <w:rPr>
                <w:rFonts w:ascii="Arial" w:hAnsi="Arial"/>
              </w:rPr>
              <w:t>1,200</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715" w:type="dxa"/>
            <w:tcBorders/>
            <w:shd w:fill="E5FFFF" w:val="clear"/>
            <w:vAlign w:val="bottom"/>
          </w:tcPr>
          <w:p>
            <w:pPr>
              <w:pStyle w:val="TableContents"/>
              <w:spacing w:before="0" w:after="283"/>
              <w:jc w:val="right"/>
              <w:rPr>
                <w:rFonts w:ascii="Arial" w:hAnsi="Arial"/>
              </w:rPr>
            </w:pPr>
            <w:r>
              <w:rPr>
                <w:rFonts w:ascii="Arial" w:hAnsi="Arial"/>
              </w:rPr>
              <w:t>1,198</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center"/>
          </w:tcPr>
          <w:p>
            <w:pPr>
              <w:pStyle w:val="TableContents"/>
              <w:spacing w:before="0" w:after="283"/>
              <w:rPr/>
            </w:pPr>
            <w:r>
              <w:rPr/>
              <w:t> </w:t>
            </w:r>
          </w:p>
        </w:tc>
        <w:tc>
          <w:tcPr>
            <w:tcW w:w="620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HorizontalLine"/>
              <w:pBdr>
                <w:bottom w:val="single" w:sz="6" w:space="0" w:color="000000"/>
              </w:pBdr>
              <w:spacing w:before="0" w:after="283"/>
              <w:rPr/>
            </w:pPr>
            <w:r>
              <w:rPr/>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HorizontalLine"/>
              <w:pBdr>
                <w:bottom w:val="single" w:sz="6" w:space="0" w:color="000000"/>
              </w:pBdr>
              <w:spacing w:before="0" w:after="283"/>
              <w:rPr/>
            </w:pPr>
            <w:r>
              <w:rPr/>
            </w:r>
          </w:p>
        </w:tc>
        <w:tc>
          <w:tcPr>
            <w:tcW w:w="69"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6209" w:type="dxa"/>
            <w:tcBorders/>
            <w:shd w:fill="E5FFFF" w:val="clear"/>
            <w:vAlign w:val="bottom"/>
          </w:tcPr>
          <w:p>
            <w:pPr>
              <w:pStyle w:val="TableContents"/>
              <w:spacing w:before="0" w:after="283"/>
              <w:rPr>
                <w:sz w:val="4"/>
                <w:szCs w:val="4"/>
              </w:rPr>
            </w:pPr>
            <w:r>
              <w:rPr>
                <w:sz w:val="4"/>
                <w:szCs w:val="4"/>
              </w:rPr>
            </w:r>
          </w:p>
        </w:tc>
        <w:tc>
          <w:tcPr>
            <w:tcW w:w="829" w:type="dxa"/>
            <w:tcBorders/>
            <w:shd w:fill="E5FFFF" w:val="clear"/>
            <w:vAlign w:val="bottom"/>
          </w:tcPr>
          <w:p>
            <w:pPr>
              <w:pStyle w:val="TableContents"/>
              <w:spacing w:before="0" w:after="283"/>
              <w:jc w:val="right"/>
              <w:rPr/>
            </w:pPr>
            <w:r>
              <w:rPr/>
              <w:t>            </w:t>
            </w:r>
          </w:p>
        </w:tc>
        <w:tc>
          <w:tcPr>
            <w:tcW w:w="179" w:type="dxa"/>
            <w:tcBorders/>
            <w:shd w:fill="E5FFFF" w:val="clear"/>
            <w:vAlign w:val="bottom"/>
          </w:tcPr>
          <w:p>
            <w:pPr>
              <w:pStyle w:val="TableContents"/>
              <w:spacing w:before="0" w:after="283"/>
              <w:jc w:val="right"/>
              <w:rPr>
                <w:rFonts w:ascii="Arial" w:hAnsi="Arial"/>
              </w:rPr>
            </w:pPr>
            <w:r>
              <w:rPr>
                <w:rFonts w:ascii="Arial" w:hAnsi="Arial"/>
              </w:rPr>
              <w:t>$</w:t>
            </w:r>
          </w:p>
        </w:tc>
        <w:tc>
          <w:tcPr>
            <w:tcW w:w="714" w:type="dxa"/>
            <w:tcBorders/>
            <w:shd w:fill="E5FFFF" w:val="clear"/>
            <w:vAlign w:val="bottom"/>
          </w:tcPr>
          <w:p>
            <w:pPr>
              <w:pStyle w:val="TableContents"/>
              <w:spacing w:before="0" w:after="283"/>
              <w:jc w:val="right"/>
              <w:rPr>
                <w:rFonts w:ascii="Arial" w:hAnsi="Arial"/>
              </w:rPr>
            </w:pPr>
            <w:r>
              <w:rPr>
                <w:rFonts w:ascii="Arial" w:hAnsi="Arial"/>
              </w:rPr>
              <w:t>5,455</w:t>
            </w:r>
          </w:p>
        </w:tc>
        <w:tc>
          <w:tcPr>
            <w:tcW w:w="69" w:type="dxa"/>
            <w:tcBorders/>
            <w:shd w:fill="E5FFFF" w:val="clear"/>
            <w:vAlign w:val="center"/>
          </w:tcPr>
          <w:p>
            <w:pPr>
              <w:pStyle w:val="TableContents"/>
              <w:spacing w:before="0" w:after="283"/>
              <w:rPr/>
            </w:pPr>
            <w:r>
              <w:rPr/>
              <w:t> </w:t>
            </w:r>
          </w:p>
        </w:tc>
        <w:tc>
          <w:tcPr>
            <w:tcW w:w="829" w:type="dxa"/>
            <w:tcBorders/>
            <w:shd w:fill="E5FFFF" w:val="clear"/>
            <w:vAlign w:val="bottom"/>
          </w:tcPr>
          <w:p>
            <w:pPr>
              <w:pStyle w:val="TableContents"/>
              <w:spacing w:before="0" w:after="283"/>
              <w:jc w:val="right"/>
              <w:rPr/>
            </w:pPr>
            <w:r>
              <w:rPr/>
              <w:t>            </w:t>
            </w:r>
          </w:p>
        </w:tc>
        <w:tc>
          <w:tcPr>
            <w:tcW w:w="178" w:type="dxa"/>
            <w:tcBorders/>
            <w:shd w:fill="E5FFFF" w:val="clear"/>
            <w:vAlign w:val="bottom"/>
          </w:tcPr>
          <w:p>
            <w:pPr>
              <w:pStyle w:val="TableContents"/>
              <w:spacing w:before="0" w:after="283"/>
              <w:jc w:val="right"/>
              <w:rPr>
                <w:rFonts w:ascii="Arial" w:hAnsi="Arial"/>
              </w:rPr>
            </w:pPr>
            <w:r>
              <w:rPr>
                <w:rFonts w:ascii="Arial" w:hAnsi="Arial"/>
              </w:rPr>
              <w:t>$</w:t>
            </w:r>
          </w:p>
        </w:tc>
        <w:tc>
          <w:tcPr>
            <w:tcW w:w="715" w:type="dxa"/>
            <w:tcBorders/>
            <w:shd w:fill="E5FFFF" w:val="clear"/>
            <w:vAlign w:val="bottom"/>
          </w:tcPr>
          <w:p>
            <w:pPr>
              <w:pStyle w:val="TableContents"/>
              <w:spacing w:before="0" w:after="283"/>
              <w:jc w:val="right"/>
              <w:rPr>
                <w:rFonts w:ascii="Arial" w:hAnsi="Arial"/>
              </w:rPr>
            </w:pPr>
            <w:r>
              <w:rPr>
                <w:rFonts w:ascii="Arial" w:hAnsi="Arial"/>
              </w:rPr>
              <w:t>5,359</w:t>
            </w:r>
          </w:p>
        </w:tc>
        <w:tc>
          <w:tcPr>
            <w:tcW w:w="69" w:type="dxa"/>
            <w:tcBorders/>
            <w:shd w:fill="E5FFFF" w:val="clear"/>
            <w:vAlign w:val="center"/>
          </w:tcPr>
          <w:p>
            <w:pPr>
              <w:pStyle w:val="TableContents"/>
              <w:spacing w:before="0" w:after="283"/>
              <w:rPr/>
            </w:pPr>
            <w:r>
              <w:rPr/>
              <w:t> </w:t>
            </w:r>
          </w:p>
        </w:tc>
      </w:tr>
      <w:tr>
        <w:trPr/>
        <w:tc>
          <w:tcPr>
            <w:tcW w:w="414" w:type="dxa"/>
            <w:tcBorders/>
            <w:shd w:fill="FFFFFF" w:val="clear"/>
            <w:vAlign w:val="center"/>
          </w:tcPr>
          <w:p>
            <w:pPr>
              <w:pStyle w:val="TableContents"/>
              <w:spacing w:before="0" w:after="283"/>
              <w:rPr/>
            </w:pPr>
            <w:r>
              <w:rPr/>
              <w:t> </w:t>
            </w:r>
          </w:p>
        </w:tc>
        <w:tc>
          <w:tcPr>
            <w:tcW w:w="620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bottom"/>
          </w:tcPr>
          <w:p>
            <w:pPr>
              <w:pStyle w:val="HorizontalLine"/>
              <w:pBdr>
                <w:bottom w:val="single" w:sz="18" w:space="0" w:color="000000"/>
              </w:pBdr>
              <w:spacing w:before="0" w:after="283"/>
              <w:rPr/>
            </w:pPr>
            <w:r>
              <w:rPr/>
            </w:r>
          </w:p>
        </w:tc>
        <w:tc>
          <w:tcPr>
            <w:tcW w:w="69" w:type="dxa"/>
            <w:tcBorders/>
            <w:shd w:fill="FFFFFF" w:val="clear"/>
            <w:vAlign w:val="center"/>
          </w:tcPr>
          <w:p>
            <w:pPr>
              <w:pStyle w:val="TableContents"/>
              <w:spacing w:before="0" w:after="283"/>
              <w:rPr/>
            </w:pPr>
            <w:r>
              <w:rPr/>
              <w:t> </w:t>
            </w:r>
          </w:p>
        </w:tc>
        <w:tc>
          <w:tcPr>
            <w:tcW w:w="829"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bottom"/>
          </w:tcPr>
          <w:p>
            <w:pPr>
              <w:pStyle w:val="HorizontalLine"/>
              <w:pBdr>
                <w:bottom w:val="single" w:sz="18" w:space="0" w:color="000000"/>
              </w:pBdr>
              <w:spacing w:before="0" w:after="283"/>
              <w:rPr/>
            </w:pPr>
            <w:r>
              <w:rPr/>
            </w:r>
          </w:p>
        </w:tc>
        <w:tc>
          <w:tcPr>
            <w:tcW w:w="69" w:type="dxa"/>
            <w:tcBorders/>
            <w:shd w:fill="FF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6209" w:type="dxa"/>
            <w:tcBorders/>
            <w:shd w:fill="FFFFFF" w:val="clear"/>
            <w:vAlign w:val="bottom"/>
          </w:tcPr>
          <w:p>
            <w:pPr>
              <w:pStyle w:val="TableContents"/>
              <w:spacing w:before="0" w:after="283"/>
              <w:rPr>
                <w:sz w:val="4"/>
                <w:szCs w:val="4"/>
              </w:rPr>
            </w:pPr>
            <w:r>
              <w:rPr>
                <w:sz w:val="4"/>
                <w:szCs w:val="4"/>
              </w:rPr>
            </w:r>
          </w:p>
        </w:tc>
        <w:tc>
          <w:tcPr>
            <w:tcW w:w="829"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829"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65</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Note 14—Long-term Debt and Credit Agreements</w:t>
      </w:r>
    </w:p>
    <w:tbl>
      <w:tblPr>
        <w:tblW w:w="5000" w:type="pct"/>
        <w:jc w:val="left"/>
        <w:tblInd w:w="0" w:type="dxa"/>
        <w:tblCellMar>
          <w:top w:w="0" w:type="dxa"/>
          <w:left w:w="0" w:type="dxa"/>
          <w:bottom w:w="0" w:type="dxa"/>
          <w:right w:w="0" w:type="dxa"/>
        </w:tblCellMar>
      </w:tblPr>
      <w:tblGrid>
        <w:gridCol w:w="614"/>
        <w:gridCol w:w="4945"/>
        <w:gridCol w:w="727"/>
        <w:gridCol w:w="200"/>
        <w:gridCol w:w="1249"/>
        <w:gridCol w:w="144"/>
        <w:gridCol w:w="727"/>
        <w:gridCol w:w="200"/>
        <w:gridCol w:w="1249"/>
        <w:gridCol w:w="150"/>
      </w:tblGrid>
      <w:tr>
        <w:trPr/>
        <w:tc>
          <w:tcPr>
            <w:tcW w:w="614" w:type="dxa"/>
            <w:tcBorders/>
            <w:shd w:fill="FFFFFF" w:val="clear"/>
            <w:vAlign w:val="center"/>
          </w:tcPr>
          <w:p>
            <w:pPr>
              <w:pStyle w:val="TableContents"/>
              <w:spacing w:before="0" w:after="283"/>
              <w:rPr/>
            </w:pPr>
            <w:r>
              <w:rPr/>
              <w:t> </w:t>
            </w:r>
          </w:p>
        </w:tc>
        <w:tc>
          <w:tcPr>
            <w:tcW w:w="4945" w:type="dxa"/>
            <w:tcBorders/>
            <w:shd w:fill="FFFFFF" w:val="clear"/>
            <w:vAlign w:val="center"/>
          </w:tcPr>
          <w:p>
            <w:pPr>
              <w:pStyle w:val="TableContents"/>
              <w:spacing w:before="0" w:after="283"/>
              <w:rPr/>
            </w:pPr>
            <w:r>
              <w:rPr/>
              <w:t> </w:t>
            </w:r>
          </w:p>
        </w:tc>
        <w:tc>
          <w:tcPr>
            <w:tcW w:w="727" w:type="dxa"/>
            <w:tcBorders/>
            <w:shd w:fill="FFFFFF" w:val="clear"/>
            <w:vAlign w:val="center"/>
          </w:tcPr>
          <w:p>
            <w:pPr>
              <w:pStyle w:val="TableContents"/>
              <w:spacing w:before="0" w:after="283"/>
              <w:rPr/>
            </w:pPr>
            <w:r>
              <w:rPr/>
              <w:t> </w:t>
            </w:r>
          </w:p>
        </w:tc>
        <w:tc>
          <w:tcPr>
            <w:tcW w:w="3919"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14" w:type="dxa"/>
            <w:tcBorders/>
            <w:shd w:fill="FFFFFF" w:val="clear"/>
            <w:vAlign w:val="center"/>
          </w:tcPr>
          <w:p>
            <w:pPr>
              <w:pStyle w:val="TableContents"/>
              <w:spacing w:before="0" w:after="283"/>
              <w:rPr/>
            </w:pPr>
            <w:r>
              <w:rPr/>
              <w:t> </w:t>
            </w:r>
          </w:p>
        </w:tc>
        <w:tc>
          <w:tcPr>
            <w:tcW w:w="4945" w:type="dxa"/>
            <w:tcBorders/>
            <w:shd w:fill="FFFFFF" w:val="clear"/>
            <w:vAlign w:val="center"/>
          </w:tcPr>
          <w:p>
            <w:pPr>
              <w:pStyle w:val="TableContents"/>
              <w:spacing w:before="0" w:after="283"/>
              <w:rPr/>
            </w:pPr>
            <w:r>
              <w:rPr/>
              <w:t> </w:t>
            </w:r>
          </w:p>
        </w:tc>
        <w:tc>
          <w:tcPr>
            <w:tcW w:w="727" w:type="dxa"/>
            <w:tcBorders/>
            <w:shd w:fill="FFFFFF" w:val="clear"/>
            <w:vAlign w:val="center"/>
          </w:tcPr>
          <w:p>
            <w:pPr>
              <w:pStyle w:val="TableContents"/>
              <w:spacing w:before="0" w:after="283"/>
              <w:rPr/>
            </w:pPr>
            <w:r>
              <w:rPr/>
              <w:t> </w:t>
            </w:r>
          </w:p>
        </w:tc>
        <w:tc>
          <w:tcPr>
            <w:tcW w:w="1593"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727" w:type="dxa"/>
            <w:tcBorders/>
            <w:shd w:fill="FFFFFF" w:val="clear"/>
            <w:vAlign w:val="center"/>
          </w:tcPr>
          <w:p>
            <w:pPr>
              <w:pStyle w:val="TableContents"/>
              <w:spacing w:before="0" w:after="283"/>
              <w:rPr/>
            </w:pPr>
            <w:r>
              <w:rPr/>
              <w:t> </w:t>
            </w:r>
          </w:p>
        </w:tc>
        <w:tc>
          <w:tcPr>
            <w:tcW w:w="1599"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pPr>
            <w:r>
              <w:rPr>
                <w:rFonts w:ascii="Arial" w:hAnsi="Arial"/>
              </w:rPr>
              <w:t>8</w:t>
            </w:r>
            <w:r>
              <w:rPr>
                <w:rFonts w:ascii="Arial" w:hAnsi="Arial"/>
                <w:position w:val="5"/>
                <w:sz w:val="11"/>
                <w:sz w:val="14"/>
              </w:rPr>
              <w:t>5</w:t>
            </w:r>
            <w:r>
              <w:rPr/>
              <w:t>⁄</w:t>
            </w:r>
            <w:r>
              <w:rPr>
                <w:rFonts w:ascii="Arial" w:hAnsi="Arial"/>
                <w:sz w:val="14"/>
              </w:rPr>
              <w:t>8</w:t>
            </w:r>
            <w:r>
              <w:rPr>
                <w:rFonts w:ascii="Arial" w:hAnsi="Arial"/>
              </w:rPr>
              <w:t>% debentures due 2006</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bottom"/>
          </w:tcPr>
          <w:p>
            <w:pPr>
              <w:pStyle w:val="TableContents"/>
              <w:spacing w:before="0" w:after="283"/>
              <w:jc w:val="right"/>
              <w:rPr>
                <w:rFonts w:ascii="Arial" w:hAnsi="Arial"/>
              </w:rPr>
            </w:pPr>
            <w:r>
              <w:rPr>
                <w:rFonts w:ascii="Arial" w:hAnsi="Arial"/>
              </w:rPr>
              <w:t>$</w:t>
            </w:r>
          </w:p>
        </w:tc>
        <w:tc>
          <w:tcPr>
            <w:tcW w:w="1249" w:type="dxa"/>
            <w:tcBorders/>
            <w:shd w:fill="E5FFFF" w:val="clear"/>
            <w:vAlign w:val="bottom"/>
          </w:tcPr>
          <w:p>
            <w:pPr>
              <w:pStyle w:val="TableContents"/>
              <w:spacing w:before="0" w:after="283"/>
              <w:jc w:val="right"/>
              <w:rPr/>
            </w:pPr>
            <w:r>
              <w:rPr/>
              <w:t>—</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bottom"/>
          </w:tcPr>
          <w:p>
            <w:pPr>
              <w:pStyle w:val="TableContents"/>
              <w:spacing w:before="0" w:after="283"/>
              <w:jc w:val="right"/>
              <w:rPr>
                <w:rFonts w:ascii="Arial" w:hAnsi="Arial"/>
              </w:rPr>
            </w:pPr>
            <w:r>
              <w:rPr>
                <w:rFonts w:ascii="Arial" w:hAnsi="Arial"/>
              </w:rPr>
              <w:t>$</w:t>
            </w:r>
          </w:p>
        </w:tc>
        <w:tc>
          <w:tcPr>
            <w:tcW w:w="1249" w:type="dxa"/>
            <w:tcBorders/>
            <w:shd w:fill="E5FFFF" w:val="clear"/>
            <w:vAlign w:val="bottom"/>
          </w:tcPr>
          <w:p>
            <w:pPr>
              <w:pStyle w:val="TableContents"/>
              <w:spacing w:before="0" w:after="283"/>
              <w:jc w:val="right"/>
              <w:rPr>
                <w:rFonts w:ascii="Arial" w:hAnsi="Arial"/>
              </w:rPr>
            </w:pPr>
            <w:r>
              <w:rPr>
                <w:rFonts w:ascii="Arial" w:hAnsi="Arial"/>
              </w:rPr>
              <w:t>100</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5.25% notes due 2006</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pPr>
            <w:r>
              <w:rPr/>
              <w:t>—</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336</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pPr>
            <w:r>
              <w:rPr>
                <w:rFonts w:ascii="Arial" w:hAnsi="Arial"/>
              </w:rPr>
              <w:t>5</w:t>
            </w:r>
            <w:r>
              <w:rPr>
                <w:rFonts w:ascii="Arial" w:hAnsi="Arial"/>
                <w:position w:val="5"/>
                <w:sz w:val="11"/>
                <w:sz w:val="14"/>
              </w:rPr>
              <w:t>1</w:t>
            </w:r>
            <w:r>
              <w:rPr/>
              <w:t>⁄</w:t>
            </w:r>
            <w:r>
              <w:rPr>
                <w:rFonts w:ascii="Arial" w:hAnsi="Arial"/>
                <w:sz w:val="14"/>
              </w:rPr>
              <w:t>8</w:t>
            </w:r>
            <w:r>
              <w:rPr>
                <w:rFonts w:ascii="Arial" w:hAnsi="Arial"/>
              </w:rPr>
              <w:t>% notes due 2006</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pPr>
            <w:r>
              <w:rPr/>
              <w:t>—</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500</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7.0% notes due 2007</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350</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350</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pPr>
            <w:r>
              <w:rPr>
                <w:rFonts w:ascii="Arial" w:hAnsi="Arial"/>
              </w:rPr>
              <w:t>7</w:t>
            </w:r>
            <w:r>
              <w:rPr>
                <w:rFonts w:ascii="Arial" w:hAnsi="Arial"/>
                <w:position w:val="5"/>
                <w:sz w:val="11"/>
                <w:sz w:val="14"/>
              </w:rPr>
              <w:t>1</w:t>
            </w:r>
            <w:r>
              <w:rPr/>
              <w:t>⁄</w:t>
            </w:r>
            <w:r>
              <w:rPr>
                <w:rFonts w:ascii="Arial" w:hAnsi="Arial"/>
                <w:sz w:val="14"/>
              </w:rPr>
              <w:t>8</w:t>
            </w:r>
            <w:r>
              <w:rPr>
                <w:rFonts w:ascii="Arial" w:hAnsi="Arial"/>
              </w:rPr>
              <w:t>% notes due 2008</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200</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200</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6.20% notes due 2008</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200</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200</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rFonts w:ascii="Arial" w:hAnsi="Arial"/>
              </w:rPr>
            </w:pPr>
            <w:r>
              <w:rPr>
                <w:rFonts w:ascii="Arial" w:hAnsi="Arial"/>
              </w:rPr>
              <w:t>Floating rate notes due 2009</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300</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pPr>
            <w:r>
              <w:rPr/>
              <w:t>—</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Zero coupon bonds and money multiplier notes,</w:t>
              <w:br/>
              <w:t>13.0%–14.26%, due 2009</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100</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100</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rFonts w:ascii="Arial" w:hAnsi="Arial"/>
              </w:rPr>
            </w:pPr>
            <w:r>
              <w:rPr>
                <w:rFonts w:ascii="Arial" w:hAnsi="Arial"/>
              </w:rPr>
              <w:t>Floating rate notes due 2009-2011</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239</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249</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7.50% notes due 2010</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1,000</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1,000</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pPr>
            <w:r>
              <w:rPr>
                <w:rFonts w:ascii="Arial" w:hAnsi="Arial"/>
              </w:rPr>
              <w:t>6</w:t>
            </w:r>
            <w:r>
              <w:rPr>
                <w:rFonts w:ascii="Arial" w:hAnsi="Arial"/>
                <w:position w:val="5"/>
                <w:sz w:val="11"/>
                <w:sz w:val="14"/>
              </w:rPr>
              <w:t>1</w:t>
            </w:r>
            <w:r>
              <w:rPr/>
              <w:t>⁄</w:t>
            </w:r>
            <w:r>
              <w:rPr>
                <w:rFonts w:ascii="Arial" w:hAnsi="Arial"/>
                <w:sz w:val="14"/>
              </w:rPr>
              <w:t>8</w:t>
            </w:r>
            <w:r>
              <w:rPr>
                <w:rFonts w:ascii="Arial" w:hAnsi="Arial"/>
              </w:rPr>
              <w:t>% notes due 2011</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500</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500</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5.40% notes due 2016</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400</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pPr>
            <w:r>
              <w:rPr/>
              <w:t>—</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rFonts w:ascii="Arial" w:hAnsi="Arial"/>
              </w:rPr>
            </w:pPr>
            <w:r>
              <w:rPr>
                <w:rFonts w:ascii="Arial" w:hAnsi="Arial"/>
              </w:rPr>
              <w:t>Industrial development bond obligations, floating rate</w:t>
              <w:br/>
              <w:t>maturing at various dates through 2037</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65</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65</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pPr>
            <w:r>
              <w:rPr>
                <w:rFonts w:ascii="Arial" w:hAnsi="Arial"/>
              </w:rPr>
              <w:t>6</w:t>
            </w:r>
            <w:r>
              <w:rPr>
                <w:rFonts w:ascii="Arial" w:hAnsi="Arial"/>
                <w:position w:val="5"/>
                <w:sz w:val="11"/>
                <w:sz w:val="14"/>
              </w:rPr>
              <w:t>5</w:t>
            </w:r>
            <w:r>
              <w:rPr/>
              <w:t>⁄</w:t>
            </w:r>
            <w:r>
              <w:rPr>
                <w:rFonts w:ascii="Arial" w:hAnsi="Arial"/>
                <w:sz w:val="14"/>
              </w:rPr>
              <w:t>8</w:t>
            </w:r>
            <w:r>
              <w:rPr>
                <w:rFonts w:ascii="Arial" w:hAnsi="Arial"/>
              </w:rPr>
              <w:t>% debentures due 2028</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216</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216</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rFonts w:ascii="Arial" w:hAnsi="Arial"/>
              </w:rPr>
            </w:pPr>
            <w:r>
              <w:rPr>
                <w:rFonts w:ascii="Arial" w:hAnsi="Arial"/>
              </w:rPr>
              <w:t>9.065% debentures due 2033</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51</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51</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5.70% notes due 2036</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550</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pPr>
            <w:r>
              <w:rPr/>
              <w:t>—</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jc w:val="left"/>
              <w:rPr>
                <w:rFonts w:ascii="Arial" w:hAnsi="Arial"/>
              </w:rPr>
            </w:pPr>
            <w:r>
              <w:rPr>
                <w:rFonts w:ascii="Arial" w:hAnsi="Arial"/>
              </w:rPr>
              <w:t>Other (including capitalized leases), 0.53%–16.40%,</w:t>
              <w:br/>
              <w:t>maturing at various dates through 2016</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161</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210</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center"/>
          </w:tcPr>
          <w:p>
            <w:pPr>
              <w:pStyle w:val="TableContents"/>
              <w:spacing w:before="0" w:after="283"/>
              <w:rPr/>
            </w:pPr>
            <w:r>
              <w:rPr/>
              <w:t> </w:t>
            </w:r>
          </w:p>
        </w:tc>
        <w:tc>
          <w:tcPr>
            <w:tcW w:w="4945"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HorizontalLine"/>
              <w:pBdr>
                <w:bottom w:val="single" w:sz="6" w:space="0" w:color="000000"/>
              </w:pBdr>
              <w:spacing w:before="0" w:after="283"/>
              <w:rPr/>
            </w:pPr>
            <w:r>
              <w:rPr/>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HorizontalLine"/>
              <w:pBdr>
                <w:bottom w:val="single" w:sz="6" w:space="0" w:color="000000"/>
              </w:pBdr>
              <w:spacing w:before="0" w:after="283"/>
              <w:rPr/>
            </w:pPr>
            <w:r>
              <w:rPr/>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bottom"/>
          </w:tcPr>
          <w:p>
            <w:pPr>
              <w:pStyle w:val="TableContents"/>
              <w:spacing w:before="0" w:after="283"/>
              <w:jc w:val="left"/>
              <w:rPr/>
            </w:pPr>
            <w:r>
              <w:rPr/>
              <w:t>      </w:t>
            </w:r>
          </w:p>
        </w:tc>
        <w:tc>
          <w:tcPr>
            <w:tcW w:w="4945" w:type="dxa"/>
            <w:tcBorders/>
            <w:shd w:fill="E5FFFF" w:val="clear"/>
            <w:vAlign w:val="bottom"/>
          </w:tcPr>
          <w:p>
            <w:pPr>
              <w:pStyle w:val="TableContents"/>
              <w:spacing w:before="0" w:after="283"/>
              <w:rPr>
                <w:sz w:val="4"/>
                <w:szCs w:val="4"/>
              </w:rPr>
            </w:pPr>
            <w:r>
              <w:rPr>
                <w:sz w:val="4"/>
                <w:szCs w:val="4"/>
              </w:rPr>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4,332</w:t>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TableContents"/>
              <w:spacing w:before="0" w:after="283"/>
              <w:jc w:val="right"/>
              <w:rPr>
                <w:rFonts w:ascii="Arial" w:hAnsi="Arial"/>
              </w:rPr>
            </w:pPr>
            <w:r>
              <w:rPr>
                <w:rFonts w:ascii="Arial" w:hAnsi="Arial"/>
              </w:rPr>
              <w:t>4,077</w:t>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jc w:val="left"/>
              <w:rPr>
                <w:rFonts w:ascii="Arial" w:hAnsi="Arial"/>
              </w:rPr>
            </w:pPr>
            <w:r>
              <w:rPr>
                <w:rFonts w:ascii="Arial" w:hAnsi="Arial"/>
              </w:rPr>
              <w:t>Less—current portion</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(423</w:t>
            </w:r>
          </w:p>
        </w:tc>
        <w:tc>
          <w:tcPr>
            <w:tcW w:w="144" w:type="dxa"/>
            <w:tcBorders/>
            <w:shd w:fill="FFFFFF" w:val="clear"/>
            <w:vAlign w:val="bottom"/>
          </w:tcPr>
          <w:p>
            <w:pPr>
              <w:pStyle w:val="TableContents"/>
              <w:spacing w:before="0" w:after="283"/>
              <w:jc w:val="left"/>
              <w:rPr>
                <w:rFonts w:ascii="Arial" w:hAnsi="Arial"/>
              </w:rPr>
            </w:pPr>
            <w:r>
              <w:rPr>
                <w:rFonts w:ascii="Arial" w:hAnsi="Arial"/>
              </w:rPr>
              <w:t>)</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bottom"/>
          </w:tcPr>
          <w:p>
            <w:pPr>
              <w:pStyle w:val="TableContents"/>
              <w:spacing w:before="0" w:after="283"/>
              <w:jc w:val="right"/>
              <w:rPr>
                <w:rFonts w:ascii="Arial" w:hAnsi="Arial"/>
              </w:rPr>
            </w:pPr>
            <w:r>
              <w:rPr>
                <w:rFonts w:ascii="Arial" w:hAnsi="Arial"/>
              </w:rPr>
              <w:t>(995</w:t>
            </w:r>
          </w:p>
        </w:tc>
        <w:tc>
          <w:tcPr>
            <w:tcW w:w="15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14" w:type="dxa"/>
            <w:tcBorders/>
            <w:shd w:fill="E5FFFF" w:val="clear"/>
            <w:vAlign w:val="center"/>
          </w:tcPr>
          <w:p>
            <w:pPr>
              <w:pStyle w:val="TableContents"/>
              <w:spacing w:before="0" w:after="283"/>
              <w:rPr/>
            </w:pPr>
            <w:r>
              <w:rPr/>
              <w:t> </w:t>
            </w:r>
          </w:p>
        </w:tc>
        <w:tc>
          <w:tcPr>
            <w:tcW w:w="4945"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HorizontalLine"/>
              <w:pBdr>
                <w:bottom w:val="single" w:sz="6"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HorizontalLine"/>
              <w:pBdr>
                <w:bottom w:val="single" w:sz="6" w:space="0" w:color="000000"/>
              </w:pBdr>
              <w:spacing w:before="0" w:after="283"/>
              <w:rPr/>
            </w:pPr>
            <w:r>
              <w:rPr/>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rPr>
                <w:sz w:val="4"/>
                <w:szCs w:val="4"/>
              </w:rPr>
            </w:pPr>
            <w:r>
              <w:rPr>
                <w:sz w:val="4"/>
                <w:szCs w:val="4"/>
              </w:rPr>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bottom"/>
          </w:tcPr>
          <w:p>
            <w:pPr>
              <w:pStyle w:val="TableContents"/>
              <w:spacing w:before="0" w:after="283"/>
              <w:jc w:val="right"/>
              <w:rPr>
                <w:rFonts w:ascii="Arial" w:hAnsi="Arial"/>
              </w:rPr>
            </w:pPr>
            <w:r>
              <w:rPr>
                <w:rFonts w:ascii="Arial" w:hAnsi="Arial"/>
              </w:rPr>
              <w:t>$</w:t>
            </w:r>
          </w:p>
        </w:tc>
        <w:tc>
          <w:tcPr>
            <w:tcW w:w="1249" w:type="dxa"/>
            <w:tcBorders/>
            <w:shd w:fill="FFFFFF" w:val="clear"/>
            <w:vAlign w:val="bottom"/>
          </w:tcPr>
          <w:p>
            <w:pPr>
              <w:pStyle w:val="TableContents"/>
              <w:spacing w:before="0" w:after="283"/>
              <w:jc w:val="right"/>
              <w:rPr>
                <w:rFonts w:ascii="Arial" w:hAnsi="Arial"/>
              </w:rPr>
            </w:pPr>
            <w:r>
              <w:rPr>
                <w:rFonts w:ascii="Arial" w:hAnsi="Arial"/>
              </w:rPr>
              <w:t>3,909</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bottom"/>
          </w:tcPr>
          <w:p>
            <w:pPr>
              <w:pStyle w:val="TableContents"/>
              <w:spacing w:before="0" w:after="283"/>
              <w:jc w:val="right"/>
              <w:rPr/>
            </w:pPr>
            <w:r>
              <w:rPr/>
              <w:t>            </w:t>
            </w:r>
          </w:p>
        </w:tc>
        <w:tc>
          <w:tcPr>
            <w:tcW w:w="200" w:type="dxa"/>
            <w:tcBorders/>
            <w:shd w:fill="FFFFFF" w:val="clear"/>
            <w:vAlign w:val="bottom"/>
          </w:tcPr>
          <w:p>
            <w:pPr>
              <w:pStyle w:val="TableContents"/>
              <w:spacing w:before="0" w:after="283"/>
              <w:jc w:val="right"/>
              <w:rPr>
                <w:rFonts w:ascii="Arial" w:hAnsi="Arial"/>
              </w:rPr>
            </w:pPr>
            <w:r>
              <w:rPr>
                <w:rFonts w:ascii="Arial" w:hAnsi="Arial"/>
              </w:rPr>
              <w:t>$</w:t>
            </w:r>
          </w:p>
        </w:tc>
        <w:tc>
          <w:tcPr>
            <w:tcW w:w="1249" w:type="dxa"/>
            <w:tcBorders/>
            <w:shd w:fill="FFFFFF" w:val="clear"/>
            <w:vAlign w:val="bottom"/>
          </w:tcPr>
          <w:p>
            <w:pPr>
              <w:pStyle w:val="TableContents"/>
              <w:spacing w:before="0" w:after="283"/>
              <w:jc w:val="right"/>
              <w:rPr>
                <w:rFonts w:ascii="Arial" w:hAnsi="Arial"/>
              </w:rPr>
            </w:pPr>
            <w:r>
              <w:rPr>
                <w:rFonts w:ascii="Arial" w:hAnsi="Arial"/>
              </w:rPr>
              <w:t>3,082</w:t>
            </w:r>
          </w:p>
        </w:tc>
        <w:tc>
          <w:tcPr>
            <w:tcW w:w="150" w:type="dxa"/>
            <w:tcBorders/>
            <w:shd w:fill="FFFFFF" w:val="clear"/>
            <w:vAlign w:val="center"/>
          </w:tcPr>
          <w:p>
            <w:pPr>
              <w:pStyle w:val="TableContents"/>
              <w:spacing w:before="0" w:after="283"/>
              <w:rPr/>
            </w:pPr>
            <w:r>
              <w:rPr/>
              <w:t> </w:t>
            </w:r>
          </w:p>
        </w:tc>
      </w:tr>
      <w:tr>
        <w:trPr/>
        <w:tc>
          <w:tcPr>
            <w:tcW w:w="614" w:type="dxa"/>
            <w:tcBorders/>
            <w:shd w:fill="E5FFFF" w:val="clear"/>
            <w:vAlign w:val="center"/>
          </w:tcPr>
          <w:p>
            <w:pPr>
              <w:pStyle w:val="TableContents"/>
              <w:spacing w:before="0" w:after="283"/>
              <w:rPr/>
            </w:pPr>
            <w:r>
              <w:rPr/>
              <w:t> </w:t>
            </w:r>
          </w:p>
        </w:tc>
        <w:tc>
          <w:tcPr>
            <w:tcW w:w="4945"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HorizontalLine"/>
              <w:pBdr>
                <w:bottom w:val="single" w:sz="18" w:space="0" w:color="000000"/>
              </w:pBdr>
              <w:spacing w:before="0" w:after="283"/>
              <w:rPr/>
            </w:pPr>
            <w:r>
              <w:rPr/>
            </w:r>
          </w:p>
        </w:tc>
        <w:tc>
          <w:tcPr>
            <w:tcW w:w="144" w:type="dxa"/>
            <w:tcBorders/>
            <w:shd w:fill="E5FFFF" w:val="clear"/>
            <w:vAlign w:val="center"/>
          </w:tcPr>
          <w:p>
            <w:pPr>
              <w:pStyle w:val="TableContents"/>
              <w:spacing w:before="0" w:after="283"/>
              <w:rPr/>
            </w:pPr>
            <w:r>
              <w:rPr/>
              <w:t> </w:t>
            </w:r>
          </w:p>
        </w:tc>
        <w:tc>
          <w:tcPr>
            <w:tcW w:w="727" w:type="dxa"/>
            <w:tcBorders/>
            <w:shd w:fill="E5FFFF" w:val="clear"/>
            <w:vAlign w:val="bottom"/>
          </w:tcPr>
          <w:p>
            <w:pPr>
              <w:pStyle w:val="TableContents"/>
              <w:spacing w:before="0" w:after="283"/>
              <w:jc w:val="right"/>
              <w:rPr/>
            </w:pPr>
            <w:r>
              <w:rPr/>
              <w:t>            </w:t>
            </w:r>
          </w:p>
        </w:tc>
        <w:tc>
          <w:tcPr>
            <w:tcW w:w="200" w:type="dxa"/>
            <w:tcBorders/>
            <w:shd w:fill="E5FFFF" w:val="clear"/>
            <w:vAlign w:val="center"/>
          </w:tcPr>
          <w:p>
            <w:pPr>
              <w:pStyle w:val="TableContents"/>
              <w:spacing w:before="0" w:after="283"/>
              <w:rPr/>
            </w:pPr>
            <w:r>
              <w:rPr/>
              <w:t> </w:t>
            </w:r>
          </w:p>
        </w:tc>
        <w:tc>
          <w:tcPr>
            <w:tcW w:w="1249" w:type="dxa"/>
            <w:tcBorders/>
            <w:shd w:fill="E5FFFF" w:val="clear"/>
            <w:vAlign w:val="bottom"/>
          </w:tcPr>
          <w:p>
            <w:pPr>
              <w:pStyle w:val="HorizontalLine"/>
              <w:pBdr>
                <w:bottom w:val="single" w:sz="18" w:space="0" w:color="000000"/>
              </w:pBdr>
              <w:spacing w:before="0" w:after="283"/>
              <w:rPr/>
            </w:pPr>
            <w:r>
              <w:rPr/>
            </w:r>
          </w:p>
        </w:tc>
        <w:tc>
          <w:tcPr>
            <w:tcW w:w="150" w:type="dxa"/>
            <w:tcBorders/>
            <w:shd w:fill="E5FFFF" w:val="clear"/>
            <w:vAlign w:val="center"/>
          </w:tcPr>
          <w:p>
            <w:pPr>
              <w:pStyle w:val="TableContents"/>
              <w:spacing w:before="0" w:after="283"/>
              <w:rPr/>
            </w:pPr>
            <w:r>
              <w:rPr/>
              <w:t> </w:t>
            </w:r>
          </w:p>
        </w:tc>
      </w:tr>
      <w:tr>
        <w:trPr/>
        <w:tc>
          <w:tcPr>
            <w:tcW w:w="614" w:type="dxa"/>
            <w:tcBorders/>
            <w:shd w:fill="FFFFFF" w:val="clear"/>
            <w:vAlign w:val="bottom"/>
          </w:tcPr>
          <w:p>
            <w:pPr>
              <w:pStyle w:val="TableContents"/>
              <w:spacing w:before="0" w:after="283"/>
              <w:jc w:val="left"/>
              <w:rPr/>
            </w:pPr>
            <w:r>
              <w:rPr/>
              <w:t>      </w:t>
            </w:r>
          </w:p>
        </w:tc>
        <w:tc>
          <w:tcPr>
            <w:tcW w:w="4945" w:type="dxa"/>
            <w:tcBorders/>
            <w:shd w:fill="FFFFFF" w:val="clear"/>
            <w:vAlign w:val="bottom"/>
          </w:tcPr>
          <w:p>
            <w:pPr>
              <w:pStyle w:val="TableContents"/>
              <w:spacing w:before="0" w:after="283"/>
              <w:rPr>
                <w:sz w:val="4"/>
                <w:szCs w:val="4"/>
              </w:rPr>
            </w:pPr>
            <w:r>
              <w:rPr>
                <w:sz w:val="4"/>
                <w:szCs w:val="4"/>
              </w:rPr>
            </w:r>
          </w:p>
        </w:tc>
        <w:tc>
          <w:tcPr>
            <w:tcW w:w="727"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c>
          <w:tcPr>
            <w:tcW w:w="727"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rPr/>
            </w:pPr>
            <w:r>
              <w:rPr/>
              <w:t> </w:t>
            </w:r>
          </w:p>
        </w:tc>
        <w:tc>
          <w:tcPr>
            <w:tcW w:w="1249"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schedule of principal payments on long-term debt is as follows:</w:t>
      </w:r>
    </w:p>
    <w:tbl>
      <w:tblPr>
        <w:tblW w:w="5000" w:type="pct"/>
        <w:jc w:val="left"/>
        <w:tblInd w:w="0" w:type="dxa"/>
        <w:tblCellMar>
          <w:top w:w="0" w:type="dxa"/>
          <w:left w:w="0" w:type="dxa"/>
          <w:bottom w:w="0" w:type="dxa"/>
          <w:right w:w="0" w:type="dxa"/>
        </w:tblCellMar>
      </w:tblPr>
      <w:tblGrid>
        <w:gridCol w:w="650"/>
        <w:gridCol w:w="6954"/>
        <w:gridCol w:w="240"/>
        <w:gridCol w:w="222"/>
        <w:gridCol w:w="1967"/>
        <w:gridCol w:w="172"/>
      </w:tblGrid>
      <w:tr>
        <w:trPr/>
        <w:tc>
          <w:tcPr>
            <w:tcW w:w="650" w:type="dxa"/>
            <w:tcBorders/>
            <w:shd w:fill="FFFFFF" w:val="clear"/>
            <w:vAlign w:val="center"/>
          </w:tcPr>
          <w:p>
            <w:pPr>
              <w:pStyle w:val="TableContents"/>
              <w:spacing w:before="0" w:after="283"/>
              <w:rPr/>
            </w:pPr>
            <w:r>
              <w:rPr/>
              <w:t> </w:t>
            </w:r>
          </w:p>
        </w:tc>
        <w:tc>
          <w:tcPr>
            <w:tcW w:w="695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361" w:type="dxa"/>
            <w:gridSpan w:val="3"/>
            <w:tcBorders/>
            <w:shd w:fill="FFFFFF" w:val="clear"/>
            <w:vAlign w:val="bottom"/>
          </w:tcPr>
          <w:p>
            <w:pPr>
              <w:pStyle w:val="TableContents"/>
              <w:spacing w:before="0" w:after="0"/>
              <w:jc w:val="center"/>
              <w:rPr>
                <w:rFonts w:ascii="Arial" w:hAnsi="Arial"/>
                <w:b/>
              </w:rPr>
            </w:pPr>
            <w:r>
              <w:rPr>
                <w:rFonts w:ascii="Arial" w:hAnsi="Arial"/>
                <w:b/>
              </w:rPr>
              <w:t>At December 31,</w:t>
              <w:br/>
              <w:t>2006</w:t>
            </w:r>
          </w:p>
          <w:p>
            <w:pPr>
              <w:pStyle w:val="HorizontalLine"/>
              <w:pBdr>
                <w:bottom w:val="single" w:sz="6" w:space="0" w:color="000000"/>
              </w:pBdr>
              <w:spacing w:before="0" w:after="283"/>
              <w:rPr/>
            </w:pPr>
            <w:r>
              <w:rPr/>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2007</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bottom"/>
          </w:tcPr>
          <w:p>
            <w:pPr>
              <w:pStyle w:val="TableContents"/>
              <w:spacing w:before="0" w:after="283"/>
              <w:jc w:val="right"/>
              <w:rPr>
                <w:rFonts w:ascii="Arial" w:hAnsi="Arial"/>
              </w:rPr>
            </w:pPr>
            <w:r>
              <w:rPr>
                <w:rFonts w:ascii="Arial" w:hAnsi="Arial"/>
              </w:rPr>
              <w:t>$</w:t>
            </w:r>
          </w:p>
        </w:tc>
        <w:tc>
          <w:tcPr>
            <w:tcW w:w="1967" w:type="dxa"/>
            <w:tcBorders/>
            <w:shd w:fill="FFFFFF" w:val="clear"/>
            <w:vAlign w:val="bottom"/>
          </w:tcPr>
          <w:p>
            <w:pPr>
              <w:pStyle w:val="TableContents"/>
              <w:spacing w:before="0" w:after="283"/>
              <w:jc w:val="right"/>
              <w:rPr>
                <w:rFonts w:ascii="Arial" w:hAnsi="Arial"/>
              </w:rPr>
            </w:pPr>
            <w:r>
              <w:rPr>
                <w:rFonts w:ascii="Arial" w:hAnsi="Arial"/>
              </w:rPr>
              <w:t>423</w:t>
            </w:r>
          </w:p>
        </w:tc>
        <w:tc>
          <w:tcPr>
            <w:tcW w:w="172"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jc w:val="left"/>
              <w:rPr>
                <w:rFonts w:ascii="Arial" w:hAnsi="Arial"/>
              </w:rPr>
            </w:pPr>
            <w:r>
              <w:rPr>
                <w:rFonts w:ascii="Arial" w:hAnsi="Arial"/>
              </w:rPr>
              <w:t>2008</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1967" w:type="dxa"/>
            <w:tcBorders/>
            <w:shd w:fill="E5FFFF" w:val="clear"/>
            <w:vAlign w:val="bottom"/>
          </w:tcPr>
          <w:p>
            <w:pPr>
              <w:pStyle w:val="TableContents"/>
              <w:spacing w:before="0" w:after="283"/>
              <w:jc w:val="right"/>
              <w:rPr>
                <w:rFonts w:ascii="Arial" w:hAnsi="Arial"/>
              </w:rPr>
            </w:pPr>
            <w:r>
              <w:rPr>
                <w:rFonts w:ascii="Arial" w:hAnsi="Arial"/>
              </w:rPr>
              <w:t>416</w:t>
            </w:r>
          </w:p>
        </w:tc>
        <w:tc>
          <w:tcPr>
            <w:tcW w:w="172"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2009</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center"/>
          </w:tcPr>
          <w:p>
            <w:pPr>
              <w:pStyle w:val="TableContents"/>
              <w:spacing w:before="0" w:after="283"/>
              <w:rPr/>
            </w:pPr>
            <w:r>
              <w:rPr/>
              <w:t> </w:t>
            </w:r>
          </w:p>
        </w:tc>
        <w:tc>
          <w:tcPr>
            <w:tcW w:w="1967" w:type="dxa"/>
            <w:tcBorders/>
            <w:shd w:fill="FFFFFF" w:val="clear"/>
            <w:vAlign w:val="bottom"/>
          </w:tcPr>
          <w:p>
            <w:pPr>
              <w:pStyle w:val="TableContents"/>
              <w:spacing w:before="0" w:after="283"/>
              <w:jc w:val="right"/>
              <w:rPr>
                <w:rFonts w:ascii="Arial" w:hAnsi="Arial"/>
              </w:rPr>
            </w:pPr>
            <w:r>
              <w:rPr>
                <w:rFonts w:ascii="Arial" w:hAnsi="Arial"/>
              </w:rPr>
              <w:t>511</w:t>
            </w:r>
          </w:p>
        </w:tc>
        <w:tc>
          <w:tcPr>
            <w:tcW w:w="172"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jc w:val="left"/>
              <w:rPr>
                <w:rFonts w:ascii="Arial" w:hAnsi="Arial"/>
              </w:rPr>
            </w:pPr>
            <w:r>
              <w:rPr>
                <w:rFonts w:ascii="Arial" w:hAnsi="Arial"/>
              </w:rPr>
              <w:t>2010</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1967" w:type="dxa"/>
            <w:tcBorders/>
            <w:shd w:fill="E5FFFF" w:val="clear"/>
            <w:vAlign w:val="bottom"/>
          </w:tcPr>
          <w:p>
            <w:pPr>
              <w:pStyle w:val="TableContents"/>
              <w:spacing w:before="0" w:after="283"/>
              <w:jc w:val="right"/>
              <w:rPr>
                <w:rFonts w:ascii="Arial" w:hAnsi="Arial"/>
              </w:rPr>
            </w:pPr>
            <w:r>
              <w:rPr>
                <w:rFonts w:ascii="Arial" w:hAnsi="Arial"/>
              </w:rPr>
              <w:t>1,130</w:t>
            </w:r>
          </w:p>
        </w:tc>
        <w:tc>
          <w:tcPr>
            <w:tcW w:w="172"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2011</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center"/>
          </w:tcPr>
          <w:p>
            <w:pPr>
              <w:pStyle w:val="TableContents"/>
              <w:spacing w:before="0" w:after="283"/>
              <w:rPr/>
            </w:pPr>
            <w:r>
              <w:rPr/>
              <w:t> </w:t>
            </w:r>
          </w:p>
        </w:tc>
        <w:tc>
          <w:tcPr>
            <w:tcW w:w="1967" w:type="dxa"/>
            <w:tcBorders/>
            <w:shd w:fill="FFFFFF" w:val="clear"/>
            <w:vAlign w:val="bottom"/>
          </w:tcPr>
          <w:p>
            <w:pPr>
              <w:pStyle w:val="TableContents"/>
              <w:spacing w:before="0" w:after="283"/>
              <w:jc w:val="right"/>
              <w:rPr>
                <w:rFonts w:ascii="Arial" w:hAnsi="Arial"/>
              </w:rPr>
            </w:pPr>
            <w:r>
              <w:rPr>
                <w:rFonts w:ascii="Arial" w:hAnsi="Arial"/>
              </w:rPr>
              <w:t>526</w:t>
            </w:r>
          </w:p>
        </w:tc>
        <w:tc>
          <w:tcPr>
            <w:tcW w:w="172"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jc w:val="left"/>
              <w:rPr>
                <w:rFonts w:ascii="Arial" w:hAnsi="Arial"/>
              </w:rPr>
            </w:pPr>
            <w:r>
              <w:rPr>
                <w:rFonts w:ascii="Arial" w:hAnsi="Arial"/>
              </w:rPr>
              <w:t>Thereafter</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1967" w:type="dxa"/>
            <w:tcBorders/>
            <w:shd w:fill="E5FFFF" w:val="clear"/>
            <w:vAlign w:val="bottom"/>
          </w:tcPr>
          <w:p>
            <w:pPr>
              <w:pStyle w:val="TableContents"/>
              <w:spacing w:before="0" w:after="283"/>
              <w:jc w:val="right"/>
              <w:rPr>
                <w:rFonts w:ascii="Arial" w:hAnsi="Arial"/>
              </w:rPr>
            </w:pPr>
            <w:r>
              <w:rPr>
                <w:rFonts w:ascii="Arial" w:hAnsi="Arial"/>
              </w:rPr>
              <w:t>1,326</w:t>
            </w:r>
          </w:p>
        </w:tc>
        <w:tc>
          <w:tcPr>
            <w:tcW w:w="172" w:type="dxa"/>
            <w:tcBorders/>
            <w:shd w:fill="E5FFFF" w:val="clear"/>
            <w:vAlign w:val="center"/>
          </w:tcPr>
          <w:p>
            <w:pPr>
              <w:pStyle w:val="TableContents"/>
              <w:spacing w:before="0" w:after="283"/>
              <w:rPr/>
            </w:pPr>
            <w:r>
              <w:rPr/>
              <w:t> </w:t>
            </w:r>
          </w:p>
        </w:tc>
      </w:tr>
      <w:tr>
        <w:trPr/>
        <w:tc>
          <w:tcPr>
            <w:tcW w:w="650" w:type="dxa"/>
            <w:tcBorders/>
            <w:shd w:fill="FFFFFF" w:val="clear"/>
            <w:vAlign w:val="center"/>
          </w:tcPr>
          <w:p>
            <w:pPr>
              <w:pStyle w:val="TableContents"/>
              <w:spacing w:before="0" w:after="283"/>
              <w:rPr/>
            </w:pPr>
            <w:r>
              <w:rPr/>
              <w:t> </w:t>
            </w:r>
          </w:p>
        </w:tc>
        <w:tc>
          <w:tcPr>
            <w:tcW w:w="695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center"/>
          </w:tcPr>
          <w:p>
            <w:pPr>
              <w:pStyle w:val="TableContents"/>
              <w:spacing w:before="0" w:after="283"/>
              <w:rPr/>
            </w:pPr>
            <w:r>
              <w:rPr/>
              <w:t> </w:t>
            </w:r>
          </w:p>
        </w:tc>
        <w:tc>
          <w:tcPr>
            <w:tcW w:w="1967" w:type="dxa"/>
            <w:tcBorders/>
            <w:shd w:fill="FFFFFF" w:val="clear"/>
            <w:vAlign w:val="bottom"/>
          </w:tcPr>
          <w:p>
            <w:pPr>
              <w:pStyle w:val="HorizontalLine"/>
              <w:pBdr>
                <w:bottom w:val="single" w:sz="6" w:space="0" w:color="000000"/>
              </w:pBdr>
              <w:spacing w:before="0" w:after="283"/>
              <w:rPr/>
            </w:pPr>
            <w:r>
              <w:rPr/>
            </w:r>
          </w:p>
        </w:tc>
        <w:tc>
          <w:tcPr>
            <w:tcW w:w="172"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1967" w:type="dxa"/>
            <w:tcBorders/>
            <w:shd w:fill="E5FFFF" w:val="clear"/>
            <w:vAlign w:val="bottom"/>
          </w:tcPr>
          <w:p>
            <w:pPr>
              <w:pStyle w:val="TableContents"/>
              <w:spacing w:before="0" w:after="283"/>
              <w:jc w:val="right"/>
              <w:rPr>
                <w:rFonts w:ascii="Arial" w:hAnsi="Arial"/>
              </w:rPr>
            </w:pPr>
            <w:r>
              <w:rPr>
                <w:rFonts w:ascii="Arial" w:hAnsi="Arial"/>
              </w:rPr>
              <w:t>4,332</w:t>
            </w:r>
          </w:p>
        </w:tc>
        <w:tc>
          <w:tcPr>
            <w:tcW w:w="172"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Less—current portion</w:t>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center"/>
          </w:tcPr>
          <w:p>
            <w:pPr>
              <w:pStyle w:val="TableContents"/>
              <w:spacing w:before="0" w:after="283"/>
              <w:rPr/>
            </w:pPr>
            <w:r>
              <w:rPr/>
              <w:t> </w:t>
            </w:r>
          </w:p>
        </w:tc>
        <w:tc>
          <w:tcPr>
            <w:tcW w:w="1967" w:type="dxa"/>
            <w:tcBorders/>
            <w:shd w:fill="FFFFFF" w:val="clear"/>
            <w:vAlign w:val="bottom"/>
          </w:tcPr>
          <w:p>
            <w:pPr>
              <w:pStyle w:val="TableContents"/>
              <w:spacing w:before="0" w:after="283"/>
              <w:jc w:val="right"/>
              <w:rPr>
                <w:rFonts w:ascii="Arial" w:hAnsi="Arial"/>
              </w:rPr>
            </w:pPr>
            <w:r>
              <w:rPr>
                <w:rFonts w:ascii="Arial" w:hAnsi="Arial"/>
              </w:rPr>
              <w:t>(423</w:t>
            </w:r>
          </w:p>
        </w:tc>
        <w:tc>
          <w:tcPr>
            <w:tcW w:w="17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50" w:type="dxa"/>
            <w:tcBorders/>
            <w:shd w:fill="E5FFFF" w:val="clear"/>
            <w:vAlign w:val="center"/>
          </w:tcPr>
          <w:p>
            <w:pPr>
              <w:pStyle w:val="TableContents"/>
              <w:spacing w:before="0" w:after="283"/>
              <w:rPr/>
            </w:pPr>
            <w:r>
              <w:rPr/>
              <w:t> </w:t>
            </w:r>
          </w:p>
        </w:tc>
        <w:tc>
          <w:tcPr>
            <w:tcW w:w="695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1967" w:type="dxa"/>
            <w:tcBorders/>
            <w:shd w:fill="E5FFFF" w:val="clear"/>
            <w:vAlign w:val="bottom"/>
          </w:tcPr>
          <w:p>
            <w:pPr>
              <w:pStyle w:val="HorizontalLine"/>
              <w:pBdr>
                <w:bottom w:val="single" w:sz="6" w:space="0" w:color="000000"/>
              </w:pBdr>
              <w:spacing w:before="0" w:after="283"/>
              <w:rPr/>
            </w:pPr>
            <w:r>
              <w:rPr/>
            </w:r>
          </w:p>
        </w:tc>
        <w:tc>
          <w:tcPr>
            <w:tcW w:w="172"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222" w:type="dxa"/>
            <w:tcBorders/>
            <w:shd w:fill="FFFFFF" w:val="clear"/>
            <w:vAlign w:val="bottom"/>
          </w:tcPr>
          <w:p>
            <w:pPr>
              <w:pStyle w:val="TableContents"/>
              <w:spacing w:before="0" w:after="283"/>
              <w:jc w:val="right"/>
              <w:rPr>
                <w:rFonts w:ascii="Arial" w:hAnsi="Arial"/>
              </w:rPr>
            </w:pPr>
            <w:r>
              <w:rPr>
                <w:rFonts w:ascii="Arial" w:hAnsi="Arial"/>
              </w:rPr>
              <w:t>$</w:t>
            </w:r>
          </w:p>
        </w:tc>
        <w:tc>
          <w:tcPr>
            <w:tcW w:w="1967" w:type="dxa"/>
            <w:tcBorders/>
            <w:shd w:fill="FFFFFF" w:val="clear"/>
            <w:vAlign w:val="bottom"/>
          </w:tcPr>
          <w:p>
            <w:pPr>
              <w:pStyle w:val="TableContents"/>
              <w:spacing w:before="0" w:after="283"/>
              <w:jc w:val="right"/>
              <w:rPr>
                <w:rFonts w:ascii="Arial" w:hAnsi="Arial"/>
              </w:rPr>
            </w:pPr>
            <w:r>
              <w:rPr>
                <w:rFonts w:ascii="Arial" w:hAnsi="Arial"/>
              </w:rPr>
              <w:t>3,909</w:t>
            </w:r>
          </w:p>
        </w:tc>
        <w:tc>
          <w:tcPr>
            <w:tcW w:w="172" w:type="dxa"/>
            <w:tcBorders/>
            <w:shd w:fill="FFFFFF" w:val="clear"/>
            <w:vAlign w:val="center"/>
          </w:tcPr>
          <w:p>
            <w:pPr>
              <w:pStyle w:val="TableContents"/>
              <w:spacing w:before="0" w:after="283"/>
              <w:rPr/>
            </w:pPr>
            <w:r>
              <w:rPr/>
              <w:t> </w:t>
            </w:r>
          </w:p>
        </w:tc>
      </w:tr>
      <w:tr>
        <w:trPr/>
        <w:tc>
          <w:tcPr>
            <w:tcW w:w="650" w:type="dxa"/>
            <w:tcBorders/>
            <w:shd w:fill="E5FFFF" w:val="clear"/>
            <w:vAlign w:val="center"/>
          </w:tcPr>
          <w:p>
            <w:pPr>
              <w:pStyle w:val="TableContents"/>
              <w:spacing w:before="0" w:after="283"/>
              <w:rPr/>
            </w:pPr>
            <w:r>
              <w:rPr/>
              <w:t> </w:t>
            </w:r>
          </w:p>
        </w:tc>
        <w:tc>
          <w:tcPr>
            <w:tcW w:w="695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222" w:type="dxa"/>
            <w:tcBorders/>
            <w:shd w:fill="E5FFFF" w:val="clear"/>
            <w:vAlign w:val="center"/>
          </w:tcPr>
          <w:p>
            <w:pPr>
              <w:pStyle w:val="TableContents"/>
              <w:spacing w:before="0" w:after="283"/>
              <w:rPr/>
            </w:pPr>
            <w:r>
              <w:rPr/>
              <w:t> </w:t>
            </w:r>
          </w:p>
        </w:tc>
        <w:tc>
          <w:tcPr>
            <w:tcW w:w="1967" w:type="dxa"/>
            <w:tcBorders/>
            <w:shd w:fill="E5FFFF" w:val="clear"/>
            <w:vAlign w:val="bottom"/>
          </w:tcPr>
          <w:p>
            <w:pPr>
              <w:pStyle w:val="HorizontalLine"/>
              <w:pBdr>
                <w:bottom w:val="single" w:sz="18" w:space="0" w:color="000000"/>
              </w:pBdr>
              <w:spacing w:before="0" w:after="283"/>
              <w:rPr/>
            </w:pPr>
            <w:r>
              <w:rPr/>
            </w:r>
          </w:p>
        </w:tc>
        <w:tc>
          <w:tcPr>
            <w:tcW w:w="172"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rPr/>
            </w:pPr>
            <w:r>
              <w:rPr/>
              <w:t> </w:t>
            </w:r>
          </w:p>
        </w:tc>
        <w:tc>
          <w:tcPr>
            <w:tcW w:w="1967"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We maintain a $2.3 billion five year revolving credit facility with a group of banks, arranged by Citigroup Global Markets Inc. and J.P.Morgan Securities Inc. This credit facility contains a $500 million sub-limit for the issuance of letters of credit. The $2.3 billion credit facility is maintained for general corporate purposes, including support for the issuance of commercial paper. We had no borrowings outstanding under the credit facility at December 31, 2006. We have issued $145 million of letters of credit under the credit facility at December 31, 2006.</w:t>
      </w:r>
    </w:p>
    <w:p>
      <w:pPr>
        <w:pStyle w:val="TextBody"/>
        <w:jc w:val="left"/>
        <w:rPr/>
      </w:pPr>
      <w:r>
        <w:rPr/>
        <w:t>      </w:t>
      </w:r>
      <w:r>
        <w:rPr>
          <w:rFonts w:ascii="Arial" w:hAnsi="Arial"/>
        </w:rPr>
        <w:t>The credit agreement does not restrict our ability to pay dividends and contains no financial covenants. The failure to comply with customary conditions or the occurrence of customary events of default contained in the credit agreement would prevent any further borrowings and would generally</w:t>
      </w:r>
    </w:p>
    <w:p>
      <w:pPr>
        <w:pStyle w:val="TextBody"/>
        <w:jc w:val="center"/>
        <w:rPr>
          <w:rFonts w:ascii="Arial" w:hAnsi="Arial"/>
        </w:rPr>
      </w:pPr>
      <w:r>
        <w:rPr>
          <w:rFonts w:ascii="Arial" w:hAnsi="Arial"/>
        </w:rPr>
        <w:t>66</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require the repayment of any outstanding borrowings under the credit agreement. Such events of default include: (a) non-payment of credit agreement debt, interest or fees; (b) non-compliance with the terms of the credit agreement covenants; (c) cross-default to other debt in certain circumstances; (d) bankruptcy; and (e) defaults upon obligations under Employee Retirement Income Security Act. Additionally, each of the banks has the right to terminate its commitment to lend additional funds or issue letters of credit under the agreement if any person or group acquires beneficial ownership of 30 percent or more of our voting stock, or, during any 12-month period, individuals who were directors of Honeywell at the beginning of the period cease to constitute a majority of the Board of Directors (the Board).</w:t>
      </w:r>
    </w:p>
    <w:p>
      <w:pPr>
        <w:pStyle w:val="TextBody"/>
        <w:jc w:val="left"/>
        <w:rPr/>
      </w:pPr>
      <w:r>
        <w:rPr/>
        <w:t>      </w:t>
      </w:r>
      <w:r>
        <w:rPr>
          <w:rFonts w:ascii="Arial" w:hAnsi="Arial"/>
        </w:rPr>
        <w:t>Loans under the $2.3 billion credit facility are required to be repaid no later than April 27, 2011. We have agreed to pay a facility fee of 0.06 percent per annum on the aggregate commitment.</w:t>
      </w:r>
    </w:p>
    <w:p>
      <w:pPr>
        <w:pStyle w:val="TextBody"/>
        <w:jc w:val="left"/>
        <w:rPr/>
      </w:pPr>
      <w:r>
        <w:rPr/>
        <w:t>      </w:t>
      </w:r>
      <w:r>
        <w:rPr>
          <w:rFonts w:ascii="Arial" w:hAnsi="Arial"/>
        </w:rPr>
        <w:t>Interest on borrowings under the $2.3 billion credit facility would be determined, at Honeywell's option, by (a) an auction bidding procedure; (b) the highest of the floating base rate publicly announced by Citibank, N.A., 0.5 percent above the average CD rate, or 0.5 percent above the Federal funds rate; or (c) the Eurocurrency rate plus 0.14 percent (applicable margin).</w:t>
      </w:r>
    </w:p>
    <w:p>
      <w:pPr>
        <w:pStyle w:val="TextBody"/>
        <w:jc w:val="left"/>
        <w:rPr/>
      </w:pPr>
      <w:r>
        <w:rPr/>
        <w:t>      </w:t>
      </w:r>
      <w:r>
        <w:rPr>
          <w:rFonts w:ascii="Arial" w:hAnsi="Arial"/>
        </w:rPr>
        <w:t>The facility fee, the applicable margin over the Eurocurrency rate and the letter of credit issuance fee, are subject to change, based upon a grid determined by our long term debt ratings. The credit agreement is not subject to termination based upon a decrease in our debt ratings or a material adverse change.</w:t>
      </w:r>
    </w:p>
    <w:p>
      <w:pPr>
        <w:pStyle w:val="TextBody"/>
        <w:jc w:val="left"/>
        <w:rPr/>
      </w:pPr>
      <w:r>
        <w:rPr/>
        <w:t>      </w:t>
      </w:r>
      <w:r>
        <w:rPr>
          <w:rFonts w:ascii="Arial" w:hAnsi="Arial"/>
        </w:rPr>
        <w:t>A 364-Day Canadian dollar credit facility arranged by Citibank, N.A., Canadian Branch was renewed on September 8, 2006, for 220 million Canadian dollars. The facility was established for general corporate purposes, including support for the issuance of commercial paper in Canada. There are no borrowings outstanding under this credit facility at December 31, 2006. We have agreed to pay a facility fee of 0.06 percent per annum on the commitment amount. Interest on borrowings under this facility would be determined, at Honeywell's option, by (a) the highest of the floating base rate publicly announced by Citibank, N.A., 0.5 percent above the average CD rate, or 0.5 percent above the Federal funds rate; (b) the highest of the Canadian dollar prime rate publicly announced by Citibank, N.A. or 0.5 percent above the Canadian dollar bankers' acceptance; or (c) the Eurocurrency rate or bankers' acceptance plus 0.24 percent (applicable margin).</w:t>
      </w:r>
    </w:p>
    <w:p>
      <w:pPr>
        <w:pStyle w:val="TextBody"/>
        <w:jc w:val="left"/>
        <w:rPr/>
      </w:pPr>
      <w:r>
        <w:rPr/>
        <w:t>      </w:t>
      </w:r>
      <w:r>
        <w:rPr>
          <w:rFonts w:ascii="Arial" w:hAnsi="Arial"/>
        </w:rPr>
        <w:t>In March 2006, the Company issued $300 million of floating rate (LIBOR + 6 bps) Senior Notes due 2009, $400 million 5.40% Senior Notes due 2016 and $550 million 5.70% Senior Notes due 2036 (collectively, the “Notes”). The Notes are senior unsecured and unsubordinated obligations of Honeywell and rank equally with all of Honeywell's existing and future senior unsecured debt and senior to all Honeywell's subordinated debt. The offering resulted in gross proceeds of $1,250 million, offset by $11 million in discount and closing costs relating to the offering.</w:t>
      </w:r>
    </w:p>
    <w:p>
      <w:pPr>
        <w:pStyle w:val="TextBody"/>
        <w:jc w:val="left"/>
        <w:rPr/>
      </w:pPr>
      <w:r>
        <w:rPr/>
        <w:t>      </w:t>
      </w:r>
      <w:r>
        <w:rPr>
          <w:rFonts w:ascii="Arial" w:hAnsi="Arial"/>
        </w:rPr>
        <w:t>During the first quarter of 2006, the Company made a cash tender offer and repurchased $225 million of its $500 million 5.125% Notes due November 2006. The costs relating to the early redemption of the Notes were immaterial.</w:t>
      </w:r>
    </w:p>
    <w:p>
      <w:pPr>
        <w:pStyle w:val="TextBody"/>
        <w:jc w:val="center"/>
        <w:rPr>
          <w:rFonts w:ascii="Arial" w:hAnsi="Arial"/>
        </w:rPr>
      </w:pPr>
      <w:r>
        <w:rPr>
          <w:rFonts w:ascii="Arial" w:hAnsi="Arial"/>
        </w:rPr>
        <w:t>67</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Note 15—Lease Commitments</w:t>
      </w:r>
    </w:p>
    <w:p>
      <w:pPr>
        <w:pStyle w:val="TextBody"/>
        <w:jc w:val="left"/>
        <w:rPr/>
      </w:pPr>
      <w:r>
        <w:rPr/>
        <w:t>      </w:t>
      </w:r>
      <w:r>
        <w:rPr>
          <w:rFonts w:ascii="Arial" w:hAnsi="Arial"/>
        </w:rPr>
        <w:t>Future minimum lease payments under operating leases having initial or remaining noncancellable lease terms in excess of one year are as follows:</w:t>
      </w:r>
    </w:p>
    <w:tbl>
      <w:tblPr>
        <w:tblW w:w="5000" w:type="pct"/>
        <w:jc w:val="left"/>
        <w:tblInd w:w="0" w:type="dxa"/>
        <w:tblCellMar>
          <w:top w:w="0" w:type="dxa"/>
          <w:left w:w="0" w:type="dxa"/>
          <w:bottom w:w="0" w:type="dxa"/>
          <w:right w:w="0" w:type="dxa"/>
        </w:tblCellMar>
      </w:tblPr>
      <w:tblGrid>
        <w:gridCol w:w="650"/>
        <w:gridCol w:w="6954"/>
        <w:gridCol w:w="240"/>
        <w:gridCol w:w="227"/>
        <w:gridCol w:w="1990"/>
        <w:gridCol w:w="144"/>
      </w:tblGrid>
      <w:tr>
        <w:trPr/>
        <w:tc>
          <w:tcPr>
            <w:tcW w:w="650" w:type="dxa"/>
            <w:tcBorders/>
            <w:shd w:fill="FFFFFF" w:val="clear"/>
            <w:vAlign w:val="center"/>
          </w:tcPr>
          <w:p>
            <w:pPr>
              <w:pStyle w:val="TableContents"/>
              <w:spacing w:before="0" w:after="283"/>
              <w:rPr/>
            </w:pPr>
            <w:r>
              <w:rPr/>
              <w:t> </w:t>
            </w:r>
          </w:p>
        </w:tc>
        <w:tc>
          <w:tcPr>
            <w:tcW w:w="695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361" w:type="dxa"/>
            <w:gridSpan w:val="3"/>
            <w:tcBorders/>
            <w:shd w:fill="FFFFFF" w:val="clear"/>
            <w:vAlign w:val="bottom"/>
          </w:tcPr>
          <w:p>
            <w:pPr>
              <w:pStyle w:val="TableContents"/>
              <w:spacing w:before="0" w:after="0"/>
              <w:jc w:val="center"/>
              <w:rPr>
                <w:rFonts w:ascii="Arial" w:hAnsi="Arial"/>
                <w:b/>
              </w:rPr>
            </w:pPr>
            <w:r>
              <w:rPr>
                <w:rFonts w:ascii="Arial" w:hAnsi="Arial"/>
                <w:b/>
              </w:rPr>
              <w:t>At December 31,</w:t>
              <w:br/>
              <w:t>2006</w:t>
            </w:r>
          </w:p>
          <w:p>
            <w:pPr>
              <w:pStyle w:val="HorizontalLine"/>
              <w:pBdr>
                <w:bottom w:val="single" w:sz="6" w:space="0" w:color="000000"/>
              </w:pBdr>
              <w:spacing w:before="0" w:after="283"/>
              <w:rPr/>
            </w:pPr>
            <w:r>
              <w:rPr/>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2007</w:t>
            </w:r>
          </w:p>
        </w:tc>
        <w:tc>
          <w:tcPr>
            <w:tcW w:w="240" w:type="dxa"/>
            <w:tcBorders/>
            <w:shd w:fill="FFFFFF" w:val="clear"/>
            <w:vAlign w:val="bottom"/>
          </w:tcPr>
          <w:p>
            <w:pPr>
              <w:pStyle w:val="TableContents"/>
              <w:spacing w:before="0" w:after="283"/>
              <w:jc w:val="right"/>
              <w:rPr/>
            </w:pPr>
            <w:r>
              <w:rPr/>
              <w:t>    </w:t>
            </w:r>
          </w:p>
        </w:tc>
        <w:tc>
          <w:tcPr>
            <w:tcW w:w="227" w:type="dxa"/>
            <w:tcBorders/>
            <w:shd w:fill="FFFFFF" w:val="clear"/>
            <w:vAlign w:val="bottom"/>
          </w:tcPr>
          <w:p>
            <w:pPr>
              <w:pStyle w:val="TableContents"/>
              <w:spacing w:before="0" w:after="283"/>
              <w:jc w:val="right"/>
              <w:rPr>
                <w:rFonts w:ascii="Arial" w:hAnsi="Arial"/>
              </w:rPr>
            </w:pPr>
            <w:r>
              <w:rPr>
                <w:rFonts w:ascii="Arial" w:hAnsi="Arial"/>
              </w:rPr>
              <w:t>$</w:t>
            </w:r>
          </w:p>
        </w:tc>
        <w:tc>
          <w:tcPr>
            <w:tcW w:w="1990" w:type="dxa"/>
            <w:tcBorders/>
            <w:shd w:fill="FFFFFF" w:val="clear"/>
            <w:vAlign w:val="bottom"/>
          </w:tcPr>
          <w:p>
            <w:pPr>
              <w:pStyle w:val="TableContents"/>
              <w:spacing w:before="0" w:after="283"/>
              <w:jc w:val="right"/>
              <w:rPr>
                <w:rFonts w:ascii="Arial" w:hAnsi="Arial"/>
              </w:rPr>
            </w:pPr>
            <w:r>
              <w:rPr>
                <w:rFonts w:ascii="Arial" w:hAnsi="Arial"/>
              </w:rPr>
              <w:t>304</w:t>
            </w:r>
          </w:p>
        </w:tc>
        <w:tc>
          <w:tcPr>
            <w:tcW w:w="144"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jc w:val="left"/>
              <w:rPr>
                <w:rFonts w:ascii="Arial" w:hAnsi="Arial"/>
              </w:rPr>
            </w:pPr>
            <w:r>
              <w:rPr>
                <w:rFonts w:ascii="Arial" w:hAnsi="Arial"/>
              </w:rPr>
              <w:t>2008</w:t>
            </w:r>
          </w:p>
        </w:tc>
        <w:tc>
          <w:tcPr>
            <w:tcW w:w="240" w:type="dxa"/>
            <w:tcBorders/>
            <w:shd w:fill="E5FFFF" w:val="clear"/>
            <w:vAlign w:val="bottom"/>
          </w:tcPr>
          <w:p>
            <w:pPr>
              <w:pStyle w:val="TableContents"/>
              <w:spacing w:before="0" w:after="283"/>
              <w:jc w:val="right"/>
              <w:rPr/>
            </w:pPr>
            <w:r>
              <w:rPr/>
              <w:t>    </w:t>
            </w:r>
          </w:p>
        </w:tc>
        <w:tc>
          <w:tcPr>
            <w:tcW w:w="227" w:type="dxa"/>
            <w:tcBorders/>
            <w:shd w:fill="E5FFFF" w:val="clear"/>
            <w:vAlign w:val="center"/>
          </w:tcPr>
          <w:p>
            <w:pPr>
              <w:pStyle w:val="TableContents"/>
              <w:spacing w:before="0" w:after="283"/>
              <w:rPr/>
            </w:pPr>
            <w:r>
              <w:rPr/>
              <w:t> </w:t>
            </w:r>
          </w:p>
        </w:tc>
        <w:tc>
          <w:tcPr>
            <w:tcW w:w="1990" w:type="dxa"/>
            <w:tcBorders/>
            <w:shd w:fill="E5FFFF" w:val="clear"/>
            <w:vAlign w:val="bottom"/>
          </w:tcPr>
          <w:p>
            <w:pPr>
              <w:pStyle w:val="TableContents"/>
              <w:spacing w:before="0" w:after="283"/>
              <w:jc w:val="right"/>
              <w:rPr>
                <w:rFonts w:ascii="Arial" w:hAnsi="Arial"/>
              </w:rPr>
            </w:pPr>
            <w:r>
              <w:rPr>
                <w:rFonts w:ascii="Arial" w:hAnsi="Arial"/>
              </w:rPr>
              <w:t>222</w:t>
            </w:r>
          </w:p>
        </w:tc>
        <w:tc>
          <w:tcPr>
            <w:tcW w:w="144"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2009</w:t>
            </w:r>
          </w:p>
        </w:tc>
        <w:tc>
          <w:tcPr>
            <w:tcW w:w="240" w:type="dxa"/>
            <w:tcBorders/>
            <w:shd w:fill="FFFFFF" w:val="clear"/>
            <w:vAlign w:val="bottom"/>
          </w:tcPr>
          <w:p>
            <w:pPr>
              <w:pStyle w:val="TableContents"/>
              <w:spacing w:before="0" w:after="283"/>
              <w:jc w:val="right"/>
              <w:rPr/>
            </w:pPr>
            <w:r>
              <w:rPr/>
              <w:t>    </w:t>
            </w:r>
          </w:p>
        </w:tc>
        <w:tc>
          <w:tcPr>
            <w:tcW w:w="227" w:type="dxa"/>
            <w:tcBorders/>
            <w:shd w:fill="FFFFFF" w:val="clear"/>
            <w:vAlign w:val="center"/>
          </w:tcPr>
          <w:p>
            <w:pPr>
              <w:pStyle w:val="TableContents"/>
              <w:spacing w:before="0" w:after="283"/>
              <w:rPr/>
            </w:pPr>
            <w:r>
              <w:rPr/>
              <w:t> </w:t>
            </w:r>
          </w:p>
        </w:tc>
        <w:tc>
          <w:tcPr>
            <w:tcW w:w="1990" w:type="dxa"/>
            <w:tcBorders/>
            <w:shd w:fill="FFFFFF" w:val="clear"/>
            <w:vAlign w:val="bottom"/>
          </w:tcPr>
          <w:p>
            <w:pPr>
              <w:pStyle w:val="TableContents"/>
              <w:spacing w:before="0" w:after="283"/>
              <w:jc w:val="right"/>
              <w:rPr>
                <w:rFonts w:ascii="Arial" w:hAnsi="Arial"/>
              </w:rPr>
            </w:pPr>
            <w:r>
              <w:rPr>
                <w:rFonts w:ascii="Arial" w:hAnsi="Arial"/>
              </w:rPr>
              <w:t>155</w:t>
            </w:r>
          </w:p>
        </w:tc>
        <w:tc>
          <w:tcPr>
            <w:tcW w:w="144"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jc w:val="left"/>
              <w:rPr>
                <w:rFonts w:ascii="Arial" w:hAnsi="Arial"/>
              </w:rPr>
            </w:pPr>
            <w:r>
              <w:rPr>
                <w:rFonts w:ascii="Arial" w:hAnsi="Arial"/>
              </w:rPr>
              <w:t>2010</w:t>
            </w:r>
          </w:p>
        </w:tc>
        <w:tc>
          <w:tcPr>
            <w:tcW w:w="240" w:type="dxa"/>
            <w:tcBorders/>
            <w:shd w:fill="E5FFFF" w:val="clear"/>
            <w:vAlign w:val="bottom"/>
          </w:tcPr>
          <w:p>
            <w:pPr>
              <w:pStyle w:val="TableContents"/>
              <w:spacing w:before="0" w:after="283"/>
              <w:jc w:val="right"/>
              <w:rPr/>
            </w:pPr>
            <w:r>
              <w:rPr/>
              <w:t>    </w:t>
            </w:r>
          </w:p>
        </w:tc>
        <w:tc>
          <w:tcPr>
            <w:tcW w:w="227" w:type="dxa"/>
            <w:tcBorders/>
            <w:shd w:fill="E5FFFF" w:val="clear"/>
            <w:vAlign w:val="center"/>
          </w:tcPr>
          <w:p>
            <w:pPr>
              <w:pStyle w:val="TableContents"/>
              <w:spacing w:before="0" w:after="283"/>
              <w:rPr/>
            </w:pPr>
            <w:r>
              <w:rPr/>
              <w:t> </w:t>
            </w:r>
          </w:p>
        </w:tc>
        <w:tc>
          <w:tcPr>
            <w:tcW w:w="1990" w:type="dxa"/>
            <w:tcBorders/>
            <w:shd w:fill="E5FFFF" w:val="clear"/>
            <w:vAlign w:val="bottom"/>
          </w:tcPr>
          <w:p>
            <w:pPr>
              <w:pStyle w:val="TableContents"/>
              <w:spacing w:before="0" w:after="283"/>
              <w:jc w:val="right"/>
              <w:rPr>
                <w:rFonts w:ascii="Arial" w:hAnsi="Arial"/>
              </w:rPr>
            </w:pPr>
            <w:r>
              <w:rPr>
                <w:rFonts w:ascii="Arial" w:hAnsi="Arial"/>
              </w:rPr>
              <w:t>100</w:t>
            </w:r>
          </w:p>
        </w:tc>
        <w:tc>
          <w:tcPr>
            <w:tcW w:w="144" w:type="dxa"/>
            <w:tcBorders/>
            <w:shd w:fill="E5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jc w:val="left"/>
              <w:rPr>
                <w:rFonts w:ascii="Arial" w:hAnsi="Arial"/>
              </w:rPr>
            </w:pPr>
            <w:r>
              <w:rPr>
                <w:rFonts w:ascii="Arial" w:hAnsi="Arial"/>
              </w:rPr>
              <w:t>2011</w:t>
            </w:r>
          </w:p>
        </w:tc>
        <w:tc>
          <w:tcPr>
            <w:tcW w:w="240" w:type="dxa"/>
            <w:tcBorders/>
            <w:shd w:fill="FFFFFF" w:val="clear"/>
            <w:vAlign w:val="bottom"/>
          </w:tcPr>
          <w:p>
            <w:pPr>
              <w:pStyle w:val="TableContents"/>
              <w:spacing w:before="0" w:after="283"/>
              <w:jc w:val="right"/>
              <w:rPr/>
            </w:pPr>
            <w:r>
              <w:rPr/>
              <w:t>    </w:t>
            </w:r>
          </w:p>
        </w:tc>
        <w:tc>
          <w:tcPr>
            <w:tcW w:w="227" w:type="dxa"/>
            <w:tcBorders/>
            <w:shd w:fill="FFFFFF" w:val="clear"/>
            <w:vAlign w:val="center"/>
          </w:tcPr>
          <w:p>
            <w:pPr>
              <w:pStyle w:val="TableContents"/>
              <w:spacing w:before="0" w:after="283"/>
              <w:rPr/>
            </w:pPr>
            <w:r>
              <w:rPr/>
              <w:t> </w:t>
            </w:r>
          </w:p>
        </w:tc>
        <w:tc>
          <w:tcPr>
            <w:tcW w:w="1990" w:type="dxa"/>
            <w:tcBorders/>
            <w:shd w:fill="FFFFFF" w:val="clear"/>
            <w:vAlign w:val="bottom"/>
          </w:tcPr>
          <w:p>
            <w:pPr>
              <w:pStyle w:val="TableContents"/>
              <w:spacing w:before="0" w:after="283"/>
              <w:jc w:val="right"/>
              <w:rPr>
                <w:rFonts w:ascii="Arial" w:hAnsi="Arial"/>
              </w:rPr>
            </w:pPr>
            <w:r>
              <w:rPr>
                <w:rFonts w:ascii="Arial" w:hAnsi="Arial"/>
              </w:rPr>
              <w:t>74</w:t>
            </w:r>
          </w:p>
        </w:tc>
        <w:tc>
          <w:tcPr>
            <w:tcW w:w="144"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jc w:val="left"/>
              <w:rPr>
                <w:rFonts w:ascii="Arial" w:hAnsi="Arial"/>
              </w:rPr>
            </w:pPr>
            <w:r>
              <w:rPr>
                <w:rFonts w:ascii="Arial" w:hAnsi="Arial"/>
              </w:rPr>
              <w:t>Thereafter</w:t>
            </w:r>
          </w:p>
        </w:tc>
        <w:tc>
          <w:tcPr>
            <w:tcW w:w="240" w:type="dxa"/>
            <w:tcBorders/>
            <w:shd w:fill="E5FFFF" w:val="clear"/>
            <w:vAlign w:val="bottom"/>
          </w:tcPr>
          <w:p>
            <w:pPr>
              <w:pStyle w:val="TableContents"/>
              <w:spacing w:before="0" w:after="283"/>
              <w:jc w:val="right"/>
              <w:rPr/>
            </w:pPr>
            <w:r>
              <w:rPr/>
              <w:t>    </w:t>
            </w:r>
          </w:p>
        </w:tc>
        <w:tc>
          <w:tcPr>
            <w:tcW w:w="227" w:type="dxa"/>
            <w:tcBorders/>
            <w:shd w:fill="E5FFFF" w:val="clear"/>
            <w:vAlign w:val="center"/>
          </w:tcPr>
          <w:p>
            <w:pPr>
              <w:pStyle w:val="TableContents"/>
              <w:spacing w:before="0" w:after="283"/>
              <w:rPr/>
            </w:pPr>
            <w:r>
              <w:rPr/>
              <w:t> </w:t>
            </w:r>
          </w:p>
        </w:tc>
        <w:tc>
          <w:tcPr>
            <w:tcW w:w="1990" w:type="dxa"/>
            <w:tcBorders/>
            <w:shd w:fill="E5FFFF" w:val="clear"/>
            <w:vAlign w:val="bottom"/>
          </w:tcPr>
          <w:p>
            <w:pPr>
              <w:pStyle w:val="TableContents"/>
              <w:spacing w:before="0" w:after="283"/>
              <w:jc w:val="right"/>
              <w:rPr>
                <w:rFonts w:ascii="Arial" w:hAnsi="Arial"/>
              </w:rPr>
            </w:pPr>
            <w:r>
              <w:rPr>
                <w:rFonts w:ascii="Arial" w:hAnsi="Arial"/>
              </w:rPr>
              <w:t>223</w:t>
            </w:r>
          </w:p>
        </w:tc>
        <w:tc>
          <w:tcPr>
            <w:tcW w:w="144" w:type="dxa"/>
            <w:tcBorders/>
            <w:shd w:fill="E5FFFF" w:val="clear"/>
            <w:vAlign w:val="center"/>
          </w:tcPr>
          <w:p>
            <w:pPr>
              <w:pStyle w:val="TableContents"/>
              <w:spacing w:before="0" w:after="283"/>
              <w:rPr/>
            </w:pPr>
            <w:r>
              <w:rPr/>
              <w:t> </w:t>
            </w:r>
          </w:p>
        </w:tc>
      </w:tr>
      <w:tr>
        <w:trPr/>
        <w:tc>
          <w:tcPr>
            <w:tcW w:w="650" w:type="dxa"/>
            <w:tcBorders/>
            <w:shd w:fill="FFFFFF" w:val="clear"/>
            <w:vAlign w:val="center"/>
          </w:tcPr>
          <w:p>
            <w:pPr>
              <w:pStyle w:val="TableContents"/>
              <w:spacing w:before="0" w:after="283"/>
              <w:rPr/>
            </w:pPr>
            <w:r>
              <w:rPr/>
              <w:t> </w:t>
            </w:r>
          </w:p>
        </w:tc>
        <w:tc>
          <w:tcPr>
            <w:tcW w:w="695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27" w:type="dxa"/>
            <w:tcBorders/>
            <w:shd w:fill="FFFFFF" w:val="clear"/>
            <w:vAlign w:val="center"/>
          </w:tcPr>
          <w:p>
            <w:pPr>
              <w:pStyle w:val="TableContents"/>
              <w:spacing w:before="0" w:after="283"/>
              <w:rPr/>
            </w:pPr>
            <w:r>
              <w:rPr/>
              <w:t> </w:t>
            </w:r>
          </w:p>
        </w:tc>
        <w:tc>
          <w:tcPr>
            <w:tcW w:w="1990" w:type="dxa"/>
            <w:tcBorders/>
            <w:shd w:fill="FFFFFF" w:val="clear"/>
            <w:vAlign w:val="bottom"/>
          </w:tcPr>
          <w:p>
            <w:pPr>
              <w:pStyle w:val="HorizontalLine"/>
              <w:pBdr>
                <w:bottom w:val="single" w:sz="6" w:space="0" w:color="000000"/>
              </w:pBdr>
              <w:spacing w:before="0" w:after="283"/>
              <w:rPr/>
            </w:pPr>
            <w:r>
              <w:rPr/>
            </w:r>
          </w:p>
        </w:tc>
        <w:tc>
          <w:tcPr>
            <w:tcW w:w="144" w:type="dxa"/>
            <w:tcBorders/>
            <w:shd w:fill="FFFFFF" w:val="clear"/>
            <w:vAlign w:val="center"/>
          </w:tcPr>
          <w:p>
            <w:pPr>
              <w:pStyle w:val="TableContents"/>
              <w:spacing w:before="0" w:after="283"/>
              <w:rPr/>
            </w:pPr>
            <w:r>
              <w:rPr/>
              <w:t> </w:t>
            </w:r>
          </w:p>
        </w:tc>
      </w:tr>
      <w:tr>
        <w:trPr/>
        <w:tc>
          <w:tcPr>
            <w:tcW w:w="650" w:type="dxa"/>
            <w:tcBorders/>
            <w:shd w:fill="E5FFFF" w:val="clear"/>
            <w:vAlign w:val="bottom"/>
          </w:tcPr>
          <w:p>
            <w:pPr>
              <w:pStyle w:val="TableContents"/>
              <w:spacing w:before="0" w:after="283"/>
              <w:jc w:val="left"/>
              <w:rPr/>
            </w:pPr>
            <w:r>
              <w:rPr/>
              <w:t>      </w:t>
            </w:r>
          </w:p>
        </w:tc>
        <w:tc>
          <w:tcPr>
            <w:tcW w:w="6954" w:type="dxa"/>
            <w:tcBorders/>
            <w:shd w:fill="E5FFFF" w:val="clear"/>
            <w:vAlign w:val="bottom"/>
          </w:tcPr>
          <w:p>
            <w:pPr>
              <w:pStyle w:val="TableContents"/>
              <w:spacing w:before="0" w:after="283"/>
              <w:rPr>
                <w:sz w:val="4"/>
                <w:szCs w:val="4"/>
              </w:rPr>
            </w:pPr>
            <w:r>
              <w:rPr>
                <w:sz w:val="4"/>
                <w:szCs w:val="4"/>
              </w:rPr>
            </w:r>
          </w:p>
        </w:tc>
        <w:tc>
          <w:tcPr>
            <w:tcW w:w="240" w:type="dxa"/>
            <w:tcBorders/>
            <w:shd w:fill="E5FFFF" w:val="clear"/>
            <w:vAlign w:val="bottom"/>
          </w:tcPr>
          <w:p>
            <w:pPr>
              <w:pStyle w:val="TableContents"/>
              <w:spacing w:before="0" w:after="283"/>
              <w:jc w:val="right"/>
              <w:rPr/>
            </w:pPr>
            <w:r>
              <w:rPr/>
              <w:t>    </w:t>
            </w:r>
          </w:p>
        </w:tc>
        <w:tc>
          <w:tcPr>
            <w:tcW w:w="227" w:type="dxa"/>
            <w:tcBorders/>
            <w:shd w:fill="E5FFFF" w:val="clear"/>
            <w:vAlign w:val="bottom"/>
          </w:tcPr>
          <w:p>
            <w:pPr>
              <w:pStyle w:val="TableContents"/>
              <w:spacing w:before="0" w:after="283"/>
              <w:jc w:val="right"/>
              <w:rPr>
                <w:rFonts w:ascii="Arial" w:hAnsi="Arial"/>
              </w:rPr>
            </w:pPr>
            <w:r>
              <w:rPr>
                <w:rFonts w:ascii="Arial" w:hAnsi="Arial"/>
              </w:rPr>
              <w:t>$</w:t>
            </w:r>
          </w:p>
        </w:tc>
        <w:tc>
          <w:tcPr>
            <w:tcW w:w="1990" w:type="dxa"/>
            <w:tcBorders/>
            <w:shd w:fill="E5FFFF" w:val="clear"/>
            <w:vAlign w:val="bottom"/>
          </w:tcPr>
          <w:p>
            <w:pPr>
              <w:pStyle w:val="TableContents"/>
              <w:spacing w:before="0" w:after="283"/>
              <w:jc w:val="right"/>
              <w:rPr>
                <w:rFonts w:ascii="Arial" w:hAnsi="Arial"/>
              </w:rPr>
            </w:pPr>
            <w:r>
              <w:rPr>
                <w:rFonts w:ascii="Arial" w:hAnsi="Arial"/>
              </w:rPr>
              <w:t>1,078</w:t>
            </w:r>
          </w:p>
        </w:tc>
        <w:tc>
          <w:tcPr>
            <w:tcW w:w="144" w:type="dxa"/>
            <w:tcBorders/>
            <w:shd w:fill="E5FFFF" w:val="clear"/>
            <w:vAlign w:val="center"/>
          </w:tcPr>
          <w:p>
            <w:pPr>
              <w:pStyle w:val="TableContents"/>
              <w:spacing w:before="0" w:after="283"/>
              <w:rPr/>
            </w:pPr>
            <w:r>
              <w:rPr/>
              <w:t> </w:t>
            </w:r>
          </w:p>
        </w:tc>
      </w:tr>
      <w:tr>
        <w:trPr/>
        <w:tc>
          <w:tcPr>
            <w:tcW w:w="650" w:type="dxa"/>
            <w:tcBorders/>
            <w:shd w:fill="FFFFFF" w:val="clear"/>
            <w:vAlign w:val="center"/>
          </w:tcPr>
          <w:p>
            <w:pPr>
              <w:pStyle w:val="TableContents"/>
              <w:spacing w:before="0" w:after="283"/>
              <w:rPr/>
            </w:pPr>
            <w:r>
              <w:rPr/>
              <w:t> </w:t>
            </w:r>
          </w:p>
        </w:tc>
        <w:tc>
          <w:tcPr>
            <w:tcW w:w="695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227" w:type="dxa"/>
            <w:tcBorders/>
            <w:shd w:fill="FFFFFF" w:val="clear"/>
            <w:vAlign w:val="center"/>
          </w:tcPr>
          <w:p>
            <w:pPr>
              <w:pStyle w:val="TableContents"/>
              <w:spacing w:before="0" w:after="283"/>
              <w:rPr/>
            </w:pPr>
            <w:r>
              <w:rPr/>
              <w:t> </w:t>
            </w:r>
          </w:p>
        </w:tc>
        <w:tc>
          <w:tcPr>
            <w:tcW w:w="1990" w:type="dxa"/>
            <w:tcBorders/>
            <w:shd w:fill="FFFFFF" w:val="clear"/>
            <w:vAlign w:val="bottom"/>
          </w:tcPr>
          <w:p>
            <w:pPr>
              <w:pStyle w:val="HorizontalLine"/>
              <w:pBdr>
                <w:bottom w:val="single" w:sz="18" w:space="0" w:color="000000"/>
              </w:pBdr>
              <w:spacing w:before="0" w:after="283"/>
              <w:rPr/>
            </w:pPr>
            <w:r>
              <w:rPr/>
            </w:r>
          </w:p>
        </w:tc>
        <w:tc>
          <w:tcPr>
            <w:tcW w:w="144" w:type="dxa"/>
            <w:tcBorders/>
            <w:shd w:fill="FFFFFF" w:val="clear"/>
            <w:vAlign w:val="center"/>
          </w:tcPr>
          <w:p>
            <w:pPr>
              <w:pStyle w:val="TableContents"/>
              <w:spacing w:before="0" w:after="283"/>
              <w:rPr/>
            </w:pPr>
            <w:r>
              <w:rPr/>
              <w:t> </w:t>
            </w:r>
          </w:p>
        </w:tc>
      </w:tr>
      <w:tr>
        <w:trPr/>
        <w:tc>
          <w:tcPr>
            <w:tcW w:w="650" w:type="dxa"/>
            <w:tcBorders/>
            <w:shd w:fill="FFFFFF" w:val="clear"/>
            <w:vAlign w:val="bottom"/>
          </w:tcPr>
          <w:p>
            <w:pPr>
              <w:pStyle w:val="TableContents"/>
              <w:spacing w:before="0" w:after="283"/>
              <w:jc w:val="left"/>
              <w:rPr/>
            </w:pPr>
            <w:r>
              <w:rPr/>
              <w:t>      </w:t>
            </w:r>
          </w:p>
        </w:tc>
        <w:tc>
          <w:tcPr>
            <w:tcW w:w="695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227" w:type="dxa"/>
            <w:tcBorders/>
            <w:shd w:fill="FFFFFF" w:val="clear"/>
            <w:vAlign w:val="center"/>
          </w:tcPr>
          <w:p>
            <w:pPr>
              <w:pStyle w:val="TableContents"/>
              <w:spacing w:before="0" w:after="283"/>
              <w:rPr/>
            </w:pPr>
            <w:r>
              <w:rPr/>
              <w:t> </w:t>
            </w:r>
          </w:p>
        </w:tc>
        <w:tc>
          <w:tcPr>
            <w:tcW w:w="199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We have entered into agreements to lease land, equipment and buildings. Principally all our operating leases have initial terms of up to 25 years, and some contain renewal options subject to customary conditions. At any time during the terms of some of our leases, we may at our option purchase the leased assets for amounts that approximate fair value. We do not expect that any of our commitments under the lease agreements will have a material adverse effect on our consolidated results of operations, financial position or liquidity.</w:t>
      </w:r>
    </w:p>
    <w:p>
      <w:pPr>
        <w:pStyle w:val="TextBody"/>
        <w:jc w:val="left"/>
        <w:rPr/>
      </w:pPr>
      <w:r>
        <w:rPr/>
        <w:t>      </w:t>
      </w:r>
      <w:r>
        <w:rPr>
          <w:rFonts w:ascii="Arial" w:hAnsi="Arial"/>
        </w:rPr>
        <w:t>Rent expense was $341, $326 and $321 million in 2006, 2005 and 2004, respectively.</w:t>
      </w:r>
    </w:p>
    <w:p>
      <w:pPr>
        <w:pStyle w:val="TextBody"/>
        <w:jc w:val="left"/>
        <w:rPr>
          <w:rFonts w:ascii="Arial" w:hAnsi="Arial"/>
          <w:b/>
        </w:rPr>
      </w:pPr>
      <w:r>
        <w:rPr>
          <w:rFonts w:ascii="Arial" w:hAnsi="Arial"/>
          <w:b/>
        </w:rPr>
        <w:t>Note 16—Financial Instruments</w:t>
      </w:r>
    </w:p>
    <w:p>
      <w:pPr>
        <w:pStyle w:val="TextBody"/>
        <w:jc w:val="left"/>
        <w:rPr/>
      </w:pPr>
      <w:r>
        <w:rPr/>
        <w:t>      </w:t>
      </w:r>
      <w:r>
        <w:rPr>
          <w:rFonts w:ascii="Arial" w:hAnsi="Arial"/>
          <w:b/>
          <w:i/>
        </w:rPr>
        <w:t>Credit and Market Risk—</w:t>
      </w:r>
      <w:r>
        <w:rPr>
          <w:rFonts w:ascii="Arial" w:hAnsi="Arial"/>
        </w:rPr>
        <w:t>Financial instruments, including derivatives, expose us to counterparty credit risk for nonperformance and to market risk related to changes in interest or currency exchange rates.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and currency exchange rates and restrict the use of derivative financial instruments to hedging activities.</w:t>
      </w:r>
    </w:p>
    <w:p>
      <w:pPr>
        <w:pStyle w:val="TextBody"/>
        <w:jc w:val="left"/>
        <w:rPr/>
      </w:pPr>
      <w:r>
        <w:rPr/>
        <w:t>      </w:t>
      </w:r>
      <w:r>
        <w:rPr>
          <w:rFonts w:ascii="Arial" w:hAnsi="Arial"/>
        </w:rPr>
        <w:t>We continually monitor the creditworthiness of our customers to which we grant credit terms in the normal course of business. While concentrations of credit risk associated with our trade accounts and notes receivable are considered minimal due to our diverse customer base, a significant portion of our customers are in the commercial air transport industry (aircraft manufacturers and airlines) accounting for approximately 21 percent of our consolidated sales in 2006. The terms and conditions of our credit sales are designed to mitigate or eliminate concentrations of credit risk with any single customer. Our sales are not materially dependent on a single customer or a small group of customers.</w:t>
      </w:r>
    </w:p>
    <w:p>
      <w:pPr>
        <w:pStyle w:val="TextBody"/>
        <w:jc w:val="left"/>
        <w:rPr/>
      </w:pPr>
      <w:r>
        <w:rPr/>
        <w:t>      </w:t>
      </w:r>
      <w:r>
        <w:rPr>
          <w:rFonts w:ascii="Arial" w:hAnsi="Arial"/>
          <w:b/>
          <w:i/>
        </w:rPr>
        <w:t>Foreign Currency Risk Management—</w:t>
      </w:r>
      <w:r>
        <w:rPr>
          <w:rFonts w:ascii="Arial" w:hAnsi="Arial"/>
        </w:rPr>
        <w:t>We conduct our business on a multinational basis in a wide variety of foreign currencies. Our exposure to market risk for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denominated cash flows. We attempt to have all transaction exposures hedged with natural offsets to the fullest extent possible and, once these opportunities have been exhausted, through foreign currency forward and option agreements with third parties. Our principal currency exposures relate to the U.S. dollar, Euro,</w:t>
      </w:r>
    </w:p>
    <w:p>
      <w:pPr>
        <w:pStyle w:val="TextBody"/>
        <w:jc w:val="center"/>
        <w:rPr>
          <w:rFonts w:ascii="Arial" w:hAnsi="Arial"/>
        </w:rPr>
      </w:pPr>
      <w:r>
        <w:rPr>
          <w:rFonts w:ascii="Arial" w:hAnsi="Arial"/>
        </w:rPr>
        <w:t>68</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the British pound, the Canadian dollar, the Hong Kong dollar, the Chinese renminbi, and the Singapore dollar.</w:t>
      </w:r>
    </w:p>
    <w:p>
      <w:pPr>
        <w:pStyle w:val="TextBody"/>
        <w:jc w:val="left"/>
        <w:rPr/>
      </w:pPr>
      <w:r>
        <w:rPr/>
        <w:t>      </w:t>
      </w:r>
      <w:r>
        <w:rPr>
          <w:rFonts w:ascii="Arial" w:hAnsi="Arial"/>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Other/(Income) Expense. We hedge our exposure to changes in foreign exchange rates principally with forward contracts. Forward contracts are marked-to-market with the resulting gains and losses similarly recognized in earnings offsetting the gains and losses on the non-functional currency denominated monetary assets and liabilities being hedged.</w:t>
      </w:r>
    </w:p>
    <w:p>
      <w:pPr>
        <w:pStyle w:val="TextBody"/>
        <w:jc w:val="left"/>
        <w:rPr/>
      </w:pPr>
      <w:r>
        <w:rPr/>
        <w:t>      </w:t>
      </w:r>
      <w:r>
        <w:rPr>
          <w:rFonts w:ascii="Arial" w:hAnsi="Arial"/>
        </w:rPr>
        <w:t>We partially hedge forecasted 2007 sales and purchases denominated in non-functional currencies with currency forward contracts. When a functional currency strengthens against non-functional currencies, the decline in value of forecasted non-functional currency cash inflows (sales) or outflows (purchases) is partially offset by the recognition of gains (sales) and losses (purchases), respectively, in the value of the forward contracts designated as hedges. Conversely, when a functional currency weakens against non-functional currencies, the increase in value of forecasted non-functional currency cash inflows (sales) or outflows (purchases) is partially offset by the recognition of losses (sales) and gains (purchases), respectively, in the value of the forward contracts designated as hedges. Market value gains and losses on these contracts are recognized in earnings when the hedged transaction is recognized. All open forward contracts mature by December 31, 2007.</w:t>
      </w:r>
    </w:p>
    <w:p>
      <w:pPr>
        <w:pStyle w:val="TextBody"/>
        <w:jc w:val="left"/>
        <w:rPr/>
      </w:pPr>
      <w:r>
        <w:rPr/>
        <w:t>      </w:t>
      </w:r>
      <w:r>
        <w:rPr>
          <w:rFonts w:ascii="Arial" w:hAnsi="Arial"/>
        </w:rPr>
        <w:t>At December 31, 2006 and 2005, we had contracts with notional amounts of $2,572 and $1,998 million, respectively, to exchange foreign currencies, principally in the Euro countries and Great Britain.</w:t>
      </w:r>
    </w:p>
    <w:p>
      <w:pPr>
        <w:pStyle w:val="TextBody"/>
        <w:jc w:val="left"/>
        <w:rPr/>
      </w:pPr>
      <w:r>
        <w:rPr/>
        <w:t>      </w:t>
      </w:r>
      <w:r>
        <w:rPr>
          <w:rFonts w:ascii="Arial" w:hAnsi="Arial"/>
          <w:b/>
          <w:i/>
        </w:rPr>
        <w:t>Commodity Price Risk Management—</w:t>
      </w:r>
      <w:r>
        <w:rPr>
          <w:rFonts w:ascii="Arial" w:hAnsi="Arial"/>
        </w:rPr>
        <w:t>Our exposure to market risk for commodity prices can result in changes in our cost of production. We primarily mitigate our exposure to commodity price risk through the use of long-term, fixed-price contracts with our suppliers and formula price agreements with suppliers and customers. We also enter into forward commodity purchase agreements with third parties designated as hedges of anticipated purchases of several commodities. Forward commodity purchase agreements are marked-to-market, with the resulting gains and losses recognized in earnings when the hedged transaction is recognized.</w:t>
      </w:r>
    </w:p>
    <w:p>
      <w:pPr>
        <w:pStyle w:val="TextBody"/>
        <w:jc w:val="left"/>
        <w:rPr/>
      </w:pPr>
      <w:r>
        <w:rPr/>
        <w:t>      </w:t>
      </w:r>
      <w:r>
        <w:rPr>
          <w:rFonts w:ascii="Arial" w:hAnsi="Arial"/>
          <w:b/>
          <w:i/>
        </w:rPr>
        <w:t>Interest Rate Risk Management—</w:t>
      </w:r>
      <w:r>
        <w:rPr>
          <w:rFonts w:ascii="Arial" w:hAnsi="Arial"/>
        </w:rPr>
        <w:t>We use a combination of financial instruments, including long-term, medium-term and short-term financing, variable-rate commercial paper, and interest rate swaps to manage the interest rate mix of our total debt portfolio and related overall cost of borrowing. At December 31, 2006 and 2005, interest rate swap agreements designated as fair value hedges effectively changed $700 and $681 million, respectively, of fixed rate debt at an average rate of 6.38 and 6.15 percent, respectively, to LIBOR based floating rate debt. Our interest rate swaps mature through 2028.</w:t>
      </w:r>
    </w:p>
    <w:p>
      <w:pPr>
        <w:pStyle w:val="TextBody"/>
        <w:jc w:val="left"/>
        <w:rPr/>
      </w:pPr>
      <w:r>
        <w:rPr/>
        <w:t>      </w:t>
      </w:r>
      <w:r>
        <w:rPr>
          <w:rFonts w:ascii="Arial" w:hAnsi="Arial"/>
          <w:b/>
          <w:i/>
        </w:rPr>
        <w:t>Fair Value of Financial Instruments—</w:t>
      </w:r>
      <w:r>
        <w:rPr>
          <w:rFonts w:ascii="Arial" w:hAnsi="Arial"/>
        </w:rPr>
        <w:t>The carrying value of cash and cash equivalents, trade accounts and notes receivables, payables, commercial paper and short-term borrowings contained in the Consolidated Balance Sheet approximates fair value. Summarized below are the carrying values and fair values of our other financial instruments at December 31, 2006 and 2005. The fair values are based on the quoted market prices for the issues (if traded), current rates offered to us for debt of the same remaining maturity and characteristics, or other valuation techniques, as appropriate.</w:t>
      </w:r>
    </w:p>
    <w:p>
      <w:pPr>
        <w:pStyle w:val="TextBody"/>
        <w:jc w:val="center"/>
        <w:rPr>
          <w:rFonts w:ascii="Arial" w:hAnsi="Arial"/>
        </w:rPr>
      </w:pPr>
      <w:r>
        <w:rPr>
          <w:rFonts w:ascii="Arial" w:hAnsi="Arial"/>
        </w:rPr>
        <w:t>69</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tbl>
      <w:tblPr>
        <w:tblW w:w="5000" w:type="pct"/>
        <w:jc w:val="left"/>
        <w:tblInd w:w="0" w:type="dxa"/>
        <w:tblCellMar>
          <w:top w:w="0" w:type="dxa"/>
          <w:left w:w="0" w:type="dxa"/>
          <w:bottom w:w="0" w:type="dxa"/>
          <w:right w:w="0" w:type="dxa"/>
        </w:tblCellMar>
      </w:tblPr>
      <w:tblGrid>
        <w:gridCol w:w="779"/>
        <w:gridCol w:w="4506"/>
        <w:gridCol w:w="240"/>
        <w:gridCol w:w="165"/>
        <w:gridCol w:w="742"/>
        <w:gridCol w:w="103"/>
        <w:gridCol w:w="244"/>
        <w:gridCol w:w="157"/>
        <w:gridCol w:w="709"/>
        <w:gridCol w:w="96"/>
        <w:gridCol w:w="240"/>
        <w:gridCol w:w="165"/>
        <w:gridCol w:w="742"/>
        <w:gridCol w:w="103"/>
        <w:gridCol w:w="244"/>
        <w:gridCol w:w="156"/>
        <w:gridCol w:w="709"/>
        <w:gridCol w:w="105"/>
      </w:tblGrid>
      <w:tr>
        <w:trPr/>
        <w:tc>
          <w:tcPr>
            <w:tcW w:w="779" w:type="dxa"/>
            <w:tcBorders/>
            <w:shd w:fill="FFFFFF" w:val="clear"/>
            <w:vAlign w:val="center"/>
          </w:tcPr>
          <w:p>
            <w:pPr>
              <w:pStyle w:val="TableContents"/>
              <w:spacing w:before="0" w:after="283"/>
              <w:rPr/>
            </w:pPr>
            <w:r>
              <w:rPr/>
              <w:t> </w:t>
            </w:r>
          </w:p>
        </w:tc>
        <w:tc>
          <w:tcPr>
            <w:tcW w:w="450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16" w:type="dxa"/>
            <w:gridSpan w:val="7"/>
            <w:tcBorders/>
            <w:shd w:fill="FFFFFF" w:val="clear"/>
            <w:vAlign w:val="bottom"/>
          </w:tcPr>
          <w:p>
            <w:pPr>
              <w:pStyle w:val="TableContents"/>
              <w:spacing w:before="0" w:after="0"/>
              <w:jc w:val="center"/>
              <w:rPr>
                <w:rFonts w:ascii="Arial" w:hAnsi="Arial"/>
                <w:b/>
              </w:rPr>
            </w:pPr>
            <w:r>
              <w:rPr>
                <w:rFonts w:ascii="Arial" w:hAnsi="Arial"/>
                <w:b/>
              </w:rPr>
              <w:t>December 31, 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224" w:type="dxa"/>
            <w:gridSpan w:val="7"/>
            <w:tcBorders/>
            <w:shd w:fill="FFFFFF" w:val="clear"/>
            <w:vAlign w:val="bottom"/>
          </w:tcPr>
          <w:p>
            <w:pPr>
              <w:pStyle w:val="TableContents"/>
              <w:spacing w:before="0" w:after="0"/>
              <w:jc w:val="center"/>
              <w:rPr>
                <w:rFonts w:ascii="Arial" w:hAnsi="Arial"/>
                <w:b/>
              </w:rPr>
            </w:pPr>
            <w:r>
              <w:rPr>
                <w:rFonts w:ascii="Arial" w:hAnsi="Arial"/>
                <w:b/>
              </w:rPr>
              <w:t>December 31, 2005</w:t>
            </w:r>
          </w:p>
          <w:p>
            <w:pPr>
              <w:pStyle w:val="HorizontalLine"/>
              <w:pBdr>
                <w:bottom w:val="single" w:sz="6" w:space="0" w:color="000000"/>
              </w:pBdr>
              <w:spacing w:before="0" w:after="283"/>
              <w:rPr/>
            </w:pPr>
            <w:r>
              <w:rPr/>
            </w:r>
          </w:p>
        </w:tc>
      </w:tr>
      <w:tr>
        <w:trPr/>
        <w:tc>
          <w:tcPr>
            <w:tcW w:w="779" w:type="dxa"/>
            <w:tcBorders/>
            <w:shd w:fill="FFFFFF" w:val="clear"/>
            <w:vAlign w:val="center"/>
          </w:tcPr>
          <w:p>
            <w:pPr>
              <w:pStyle w:val="TableContents"/>
              <w:spacing w:before="0" w:after="283"/>
              <w:rPr/>
            </w:pPr>
            <w:r>
              <w:rPr/>
              <w:t> </w:t>
            </w:r>
          </w:p>
        </w:tc>
        <w:tc>
          <w:tcPr>
            <w:tcW w:w="450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10" w:type="dxa"/>
            <w:gridSpan w:val="3"/>
            <w:tcBorders/>
            <w:shd w:fill="FFFFFF" w:val="clear"/>
            <w:vAlign w:val="bottom"/>
          </w:tcPr>
          <w:p>
            <w:pPr>
              <w:pStyle w:val="TableContents"/>
              <w:spacing w:before="0" w:after="0"/>
              <w:jc w:val="center"/>
              <w:rPr>
                <w:rFonts w:ascii="Arial" w:hAnsi="Arial"/>
                <w:b/>
              </w:rPr>
            </w:pPr>
            <w:r>
              <w:rPr>
                <w:rFonts w:ascii="Arial" w:hAnsi="Arial"/>
                <w:b/>
              </w:rPr>
              <w:t>Carrying</w:t>
              <w:br/>
              <w:t>Value</w:t>
            </w:r>
          </w:p>
          <w:p>
            <w:pPr>
              <w:pStyle w:val="HorizontalLine"/>
              <w:pBdr>
                <w:bottom w:val="single" w:sz="6" w:space="0" w:color="000000"/>
              </w:pBdr>
              <w:spacing w:before="0" w:after="283"/>
              <w:rPr/>
            </w:pPr>
            <w:r>
              <w:rPr/>
            </w:r>
          </w:p>
        </w:tc>
        <w:tc>
          <w:tcPr>
            <w:tcW w:w="244" w:type="dxa"/>
            <w:tcBorders/>
            <w:shd w:fill="FFFFFF" w:val="clear"/>
            <w:vAlign w:val="center"/>
          </w:tcPr>
          <w:p>
            <w:pPr>
              <w:pStyle w:val="TableContents"/>
              <w:spacing w:before="0" w:after="283"/>
              <w:rPr/>
            </w:pPr>
            <w:r>
              <w:rPr/>
              <w:t> </w:t>
            </w:r>
          </w:p>
        </w:tc>
        <w:tc>
          <w:tcPr>
            <w:tcW w:w="962" w:type="dxa"/>
            <w:gridSpan w:val="3"/>
            <w:tcBorders/>
            <w:shd w:fill="FFFFFF" w:val="clear"/>
            <w:vAlign w:val="bottom"/>
          </w:tcPr>
          <w:p>
            <w:pPr>
              <w:pStyle w:val="TableContents"/>
              <w:spacing w:before="0" w:after="0"/>
              <w:jc w:val="center"/>
              <w:rPr>
                <w:rFonts w:ascii="Arial" w:hAnsi="Arial"/>
                <w:b/>
              </w:rPr>
            </w:pPr>
            <w:r>
              <w:rPr>
                <w:rFonts w:ascii="Arial" w:hAnsi="Arial"/>
                <w:b/>
              </w:rPr>
              <w:t>Fair</w:t>
              <w:br/>
              <w:t>Value</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10" w:type="dxa"/>
            <w:gridSpan w:val="3"/>
            <w:tcBorders/>
            <w:shd w:fill="FFFFFF" w:val="clear"/>
            <w:vAlign w:val="bottom"/>
          </w:tcPr>
          <w:p>
            <w:pPr>
              <w:pStyle w:val="TableContents"/>
              <w:spacing w:before="0" w:after="0"/>
              <w:jc w:val="center"/>
              <w:rPr>
                <w:rFonts w:ascii="Arial" w:hAnsi="Arial"/>
                <w:b/>
              </w:rPr>
            </w:pPr>
            <w:r>
              <w:rPr>
                <w:rFonts w:ascii="Arial" w:hAnsi="Arial"/>
                <w:b/>
              </w:rPr>
              <w:t>Carrying</w:t>
              <w:br/>
              <w:t>Value</w:t>
            </w:r>
          </w:p>
          <w:p>
            <w:pPr>
              <w:pStyle w:val="HorizontalLine"/>
              <w:pBdr>
                <w:bottom w:val="single" w:sz="6" w:space="0" w:color="000000"/>
              </w:pBdr>
              <w:spacing w:before="0" w:after="283"/>
              <w:rPr/>
            </w:pPr>
            <w:r>
              <w:rPr/>
            </w:r>
          </w:p>
        </w:tc>
        <w:tc>
          <w:tcPr>
            <w:tcW w:w="244" w:type="dxa"/>
            <w:tcBorders/>
            <w:shd w:fill="FFFFFF" w:val="clear"/>
            <w:vAlign w:val="center"/>
          </w:tcPr>
          <w:p>
            <w:pPr>
              <w:pStyle w:val="TableContents"/>
              <w:spacing w:before="0" w:after="283"/>
              <w:rPr/>
            </w:pPr>
            <w:r>
              <w:rPr/>
              <w:t> </w:t>
            </w:r>
          </w:p>
        </w:tc>
        <w:tc>
          <w:tcPr>
            <w:tcW w:w="970" w:type="dxa"/>
            <w:gridSpan w:val="3"/>
            <w:tcBorders/>
            <w:shd w:fill="FFFFFF" w:val="clear"/>
            <w:vAlign w:val="bottom"/>
          </w:tcPr>
          <w:p>
            <w:pPr>
              <w:pStyle w:val="TableContents"/>
              <w:spacing w:before="0" w:after="0"/>
              <w:jc w:val="center"/>
              <w:rPr>
                <w:rFonts w:ascii="Arial" w:hAnsi="Arial"/>
                <w:b/>
              </w:rPr>
            </w:pPr>
            <w:r>
              <w:rPr>
                <w:rFonts w:ascii="Arial" w:hAnsi="Arial"/>
                <w:b/>
              </w:rPr>
              <w:t>Fair</w:t>
              <w:br/>
              <w:t>Value</w:t>
            </w:r>
          </w:p>
          <w:p>
            <w:pPr>
              <w:pStyle w:val="HorizontalLine"/>
              <w:pBdr>
                <w:bottom w:val="single" w:sz="6" w:space="0" w:color="000000"/>
              </w:pBdr>
              <w:spacing w:before="0" w:after="283"/>
              <w:rPr/>
            </w:pPr>
            <w:r>
              <w:rPr/>
            </w:r>
          </w:p>
        </w:tc>
      </w:tr>
      <w:tr>
        <w:trPr/>
        <w:tc>
          <w:tcPr>
            <w:tcW w:w="779" w:type="dxa"/>
            <w:tcBorders/>
            <w:shd w:fill="E5FFFF" w:val="clear"/>
            <w:vAlign w:val="bottom"/>
          </w:tcPr>
          <w:p>
            <w:pPr>
              <w:pStyle w:val="TableContents"/>
              <w:spacing w:before="0" w:after="283"/>
              <w:jc w:val="left"/>
              <w:rPr/>
            </w:pPr>
            <w:r>
              <w:rPr/>
              <w:t>             </w:t>
            </w:r>
          </w:p>
        </w:tc>
        <w:tc>
          <w:tcPr>
            <w:tcW w:w="4506" w:type="dxa"/>
            <w:tcBorders/>
            <w:shd w:fill="E5FFFF" w:val="clear"/>
            <w:vAlign w:val="bottom"/>
          </w:tcPr>
          <w:p>
            <w:pPr>
              <w:pStyle w:val="TableContents"/>
              <w:spacing w:before="0" w:after="283"/>
              <w:jc w:val="left"/>
              <w:rPr>
                <w:rFonts w:ascii="Arial" w:hAnsi="Arial"/>
                <w:b/>
              </w:rPr>
            </w:pPr>
            <w:r>
              <w:rPr>
                <w:rFonts w:ascii="Arial" w:hAnsi="Arial"/>
                <w:b/>
              </w:rPr>
              <w:t>Assets</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4" w:type="dxa"/>
            <w:tcBorders/>
            <w:shd w:fill="E5FFFF" w:val="clear"/>
            <w:vAlign w:val="center"/>
          </w:tcPr>
          <w:p>
            <w:pPr>
              <w:pStyle w:val="TableContents"/>
              <w:spacing w:before="0" w:after="283"/>
              <w:rPr/>
            </w:pPr>
            <w:r>
              <w:rPr/>
              <w:t> </w:t>
            </w:r>
          </w:p>
        </w:tc>
        <w:tc>
          <w:tcPr>
            <w:tcW w:w="157" w:type="dxa"/>
            <w:tcBorders/>
            <w:shd w:fill="E5FFFF" w:val="clear"/>
            <w:vAlign w:val="center"/>
          </w:tcPr>
          <w:p>
            <w:pPr>
              <w:pStyle w:val="TableContents"/>
              <w:spacing w:before="0" w:after="283"/>
              <w:rPr/>
            </w:pPr>
            <w:r>
              <w:rPr/>
              <w:t> </w:t>
            </w:r>
          </w:p>
        </w:tc>
        <w:tc>
          <w:tcPr>
            <w:tcW w:w="709"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center"/>
          </w:tcPr>
          <w:p>
            <w:pPr>
              <w:pStyle w:val="TableContents"/>
              <w:spacing w:before="0" w:after="283"/>
              <w:rPr/>
            </w:pPr>
            <w:r>
              <w:rPr/>
              <w:t> </w:t>
            </w:r>
          </w:p>
        </w:tc>
        <w:tc>
          <w:tcPr>
            <w:tcW w:w="103" w:type="dxa"/>
            <w:tcBorders/>
            <w:shd w:fill="E5FFFF" w:val="clear"/>
            <w:vAlign w:val="center"/>
          </w:tcPr>
          <w:p>
            <w:pPr>
              <w:pStyle w:val="TableContents"/>
              <w:spacing w:before="0" w:after="283"/>
              <w:rPr/>
            </w:pPr>
            <w:r>
              <w:rPr/>
              <w:t> </w:t>
            </w:r>
          </w:p>
        </w:tc>
        <w:tc>
          <w:tcPr>
            <w:tcW w:w="244" w:type="dxa"/>
            <w:tcBorders/>
            <w:shd w:fill="E5FFFF" w:val="clear"/>
            <w:vAlign w:val="center"/>
          </w:tcPr>
          <w:p>
            <w:pPr>
              <w:pStyle w:val="TableContents"/>
              <w:spacing w:before="0" w:after="283"/>
              <w:rPr/>
            </w:pPr>
            <w:r>
              <w:rPr/>
              <w:t> </w:t>
            </w:r>
          </w:p>
        </w:tc>
        <w:tc>
          <w:tcPr>
            <w:tcW w:w="156" w:type="dxa"/>
            <w:tcBorders/>
            <w:shd w:fill="E5FFFF" w:val="clear"/>
            <w:vAlign w:val="center"/>
          </w:tcPr>
          <w:p>
            <w:pPr>
              <w:pStyle w:val="TableContents"/>
              <w:spacing w:before="0" w:after="283"/>
              <w:rPr/>
            </w:pPr>
            <w:r>
              <w:rPr/>
              <w:t> </w:t>
            </w:r>
          </w:p>
        </w:tc>
        <w:tc>
          <w:tcPr>
            <w:tcW w:w="709" w:type="dxa"/>
            <w:tcBorders/>
            <w:shd w:fill="E5FFFF" w:val="clear"/>
            <w:vAlign w:val="center"/>
          </w:tcPr>
          <w:p>
            <w:pPr>
              <w:pStyle w:val="TableContents"/>
              <w:spacing w:before="0" w:after="283"/>
              <w:rPr/>
            </w:pPr>
            <w:r>
              <w:rPr/>
              <w:t> </w:t>
            </w:r>
          </w:p>
        </w:tc>
        <w:tc>
          <w:tcPr>
            <w:tcW w:w="105" w:type="dxa"/>
            <w:tcBorders/>
            <w:shd w:fill="E5FFFF" w:val="clear"/>
            <w:vAlign w:val="center"/>
          </w:tcPr>
          <w:p>
            <w:pPr>
              <w:pStyle w:val="TableContents"/>
              <w:spacing w:before="0" w:after="283"/>
              <w:rPr/>
            </w:pPr>
            <w:r>
              <w:rPr/>
              <w:t> </w:t>
            </w:r>
          </w:p>
        </w:tc>
      </w:tr>
      <w:tr>
        <w:trPr/>
        <w:tc>
          <w:tcPr>
            <w:tcW w:w="779" w:type="dxa"/>
            <w:tcBorders/>
            <w:shd w:fill="FFFFFF" w:val="clear"/>
            <w:vAlign w:val="bottom"/>
          </w:tcPr>
          <w:p>
            <w:pPr>
              <w:pStyle w:val="TableContents"/>
              <w:spacing w:before="0" w:after="283"/>
              <w:jc w:val="left"/>
              <w:rPr/>
            </w:pPr>
            <w:r>
              <w:rPr/>
              <w:t>             </w:t>
            </w:r>
          </w:p>
        </w:tc>
        <w:tc>
          <w:tcPr>
            <w:tcW w:w="4506" w:type="dxa"/>
            <w:tcBorders/>
            <w:shd w:fill="FFFFFF" w:val="clear"/>
            <w:vAlign w:val="bottom"/>
          </w:tcPr>
          <w:p>
            <w:pPr>
              <w:pStyle w:val="TableContents"/>
              <w:spacing w:before="0" w:after="283"/>
              <w:jc w:val="left"/>
              <w:rPr>
                <w:rFonts w:ascii="Arial" w:hAnsi="Arial"/>
              </w:rPr>
            </w:pPr>
            <w:r>
              <w:rPr>
                <w:rFonts w:ascii="Arial" w:hAnsi="Arial"/>
              </w:rPr>
              <w:t>Long-term receivables</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742" w:type="dxa"/>
            <w:tcBorders/>
            <w:shd w:fill="FFFFFF" w:val="clear"/>
            <w:vAlign w:val="bottom"/>
          </w:tcPr>
          <w:p>
            <w:pPr>
              <w:pStyle w:val="TableContents"/>
              <w:spacing w:before="0" w:after="283"/>
              <w:jc w:val="right"/>
              <w:rPr>
                <w:rFonts w:ascii="Arial" w:hAnsi="Arial"/>
              </w:rPr>
            </w:pPr>
            <w:r>
              <w:rPr>
                <w:rFonts w:ascii="Arial" w:hAnsi="Arial"/>
              </w:rPr>
              <w:t>333</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right"/>
              <w:rPr>
                <w:rFonts w:ascii="Arial" w:hAnsi="Arial"/>
              </w:rPr>
            </w:pPr>
            <w:r>
              <w:rPr>
                <w:rFonts w:ascii="Arial" w:hAnsi="Arial"/>
              </w:rPr>
              <w:t>$</w:t>
            </w:r>
          </w:p>
        </w:tc>
        <w:tc>
          <w:tcPr>
            <w:tcW w:w="709" w:type="dxa"/>
            <w:tcBorders/>
            <w:shd w:fill="FFFFFF" w:val="clear"/>
            <w:vAlign w:val="bottom"/>
          </w:tcPr>
          <w:p>
            <w:pPr>
              <w:pStyle w:val="TableContents"/>
              <w:spacing w:before="0" w:after="283"/>
              <w:jc w:val="right"/>
              <w:rPr>
                <w:rFonts w:ascii="Arial" w:hAnsi="Arial"/>
              </w:rPr>
            </w:pPr>
            <w:r>
              <w:rPr>
                <w:rFonts w:ascii="Arial" w:hAnsi="Arial"/>
              </w:rPr>
              <w:t>306</w:t>
            </w:r>
          </w:p>
        </w:tc>
        <w:tc>
          <w:tcPr>
            <w:tcW w:w="9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742" w:type="dxa"/>
            <w:tcBorders/>
            <w:shd w:fill="FFFFFF" w:val="clear"/>
            <w:vAlign w:val="bottom"/>
          </w:tcPr>
          <w:p>
            <w:pPr>
              <w:pStyle w:val="TableContents"/>
              <w:spacing w:before="0" w:after="283"/>
              <w:jc w:val="right"/>
              <w:rPr>
                <w:rFonts w:ascii="Arial" w:hAnsi="Arial"/>
              </w:rPr>
            </w:pPr>
            <w:r>
              <w:rPr>
                <w:rFonts w:ascii="Arial" w:hAnsi="Arial"/>
              </w:rPr>
              <w:t>306</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right"/>
              <w:rPr>
                <w:rFonts w:ascii="Arial" w:hAnsi="Arial"/>
              </w:rPr>
            </w:pPr>
            <w:r>
              <w:rPr>
                <w:rFonts w:ascii="Arial" w:hAnsi="Arial"/>
              </w:rPr>
              <w:t>$</w:t>
            </w:r>
          </w:p>
        </w:tc>
        <w:tc>
          <w:tcPr>
            <w:tcW w:w="709" w:type="dxa"/>
            <w:tcBorders/>
            <w:shd w:fill="FFFFFF" w:val="clear"/>
            <w:vAlign w:val="bottom"/>
          </w:tcPr>
          <w:p>
            <w:pPr>
              <w:pStyle w:val="TableContents"/>
              <w:spacing w:before="0" w:after="283"/>
              <w:jc w:val="right"/>
              <w:rPr>
                <w:rFonts w:ascii="Arial" w:hAnsi="Arial"/>
              </w:rPr>
            </w:pPr>
            <w:r>
              <w:rPr>
                <w:rFonts w:ascii="Arial" w:hAnsi="Arial"/>
              </w:rPr>
              <w:t>285</w:t>
            </w:r>
          </w:p>
        </w:tc>
        <w:tc>
          <w:tcPr>
            <w:tcW w:w="105" w:type="dxa"/>
            <w:tcBorders/>
            <w:shd w:fill="FFFFFF" w:val="clear"/>
            <w:vAlign w:val="center"/>
          </w:tcPr>
          <w:p>
            <w:pPr>
              <w:pStyle w:val="TableContents"/>
              <w:spacing w:before="0" w:after="283"/>
              <w:rPr/>
            </w:pPr>
            <w:r>
              <w:rPr/>
              <w:t> </w:t>
            </w:r>
          </w:p>
        </w:tc>
      </w:tr>
      <w:tr>
        <w:trPr/>
        <w:tc>
          <w:tcPr>
            <w:tcW w:w="779" w:type="dxa"/>
            <w:tcBorders/>
            <w:shd w:fill="E5FFFF" w:val="clear"/>
            <w:vAlign w:val="bottom"/>
          </w:tcPr>
          <w:p>
            <w:pPr>
              <w:pStyle w:val="TableContents"/>
              <w:spacing w:before="0" w:after="283"/>
              <w:jc w:val="left"/>
              <w:rPr/>
            </w:pPr>
            <w:r>
              <w:rPr/>
              <w:t>             </w:t>
            </w:r>
          </w:p>
        </w:tc>
        <w:tc>
          <w:tcPr>
            <w:tcW w:w="4506" w:type="dxa"/>
            <w:tcBorders/>
            <w:shd w:fill="E5FFFF" w:val="clear"/>
            <w:vAlign w:val="bottom"/>
          </w:tcPr>
          <w:p>
            <w:pPr>
              <w:pStyle w:val="TableContents"/>
              <w:spacing w:before="0" w:after="283"/>
              <w:jc w:val="left"/>
              <w:rPr>
                <w:rFonts w:ascii="Arial" w:hAnsi="Arial"/>
              </w:rPr>
            </w:pPr>
            <w:r>
              <w:rPr>
                <w:rFonts w:ascii="Arial" w:hAnsi="Arial"/>
              </w:rPr>
              <w:t>Interest rate swap agreements</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bottom"/>
          </w:tcPr>
          <w:p>
            <w:pPr>
              <w:pStyle w:val="TableContents"/>
              <w:spacing w:before="0" w:after="283"/>
              <w:jc w:val="right"/>
              <w:rPr>
                <w:rFonts w:ascii="Arial" w:hAnsi="Arial"/>
              </w:rPr>
            </w:pPr>
            <w:r>
              <w:rPr>
                <w:rFonts w:ascii="Arial" w:hAnsi="Arial"/>
              </w:rPr>
              <w:t>3</w:t>
            </w:r>
          </w:p>
        </w:tc>
        <w:tc>
          <w:tcPr>
            <w:tcW w:w="103"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57" w:type="dxa"/>
            <w:tcBorders/>
            <w:shd w:fill="E5FFFF" w:val="clear"/>
            <w:vAlign w:val="center"/>
          </w:tcPr>
          <w:p>
            <w:pPr>
              <w:pStyle w:val="TableContents"/>
              <w:spacing w:before="0" w:after="283"/>
              <w:rPr/>
            </w:pPr>
            <w:r>
              <w:rPr/>
              <w:t> </w:t>
            </w:r>
          </w:p>
        </w:tc>
        <w:tc>
          <w:tcPr>
            <w:tcW w:w="709" w:type="dxa"/>
            <w:tcBorders/>
            <w:shd w:fill="E5FFFF" w:val="clear"/>
            <w:vAlign w:val="bottom"/>
          </w:tcPr>
          <w:p>
            <w:pPr>
              <w:pStyle w:val="TableContents"/>
              <w:spacing w:before="0" w:after="283"/>
              <w:jc w:val="right"/>
              <w:rPr>
                <w:rFonts w:ascii="Arial" w:hAnsi="Arial"/>
              </w:rPr>
            </w:pPr>
            <w:r>
              <w:rPr>
                <w:rFonts w:ascii="Arial" w:hAnsi="Arial"/>
              </w:rPr>
              <w:t>3</w:t>
            </w:r>
          </w:p>
        </w:tc>
        <w:tc>
          <w:tcPr>
            <w:tcW w:w="9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bottom"/>
          </w:tcPr>
          <w:p>
            <w:pPr>
              <w:pStyle w:val="TableContents"/>
              <w:spacing w:before="0" w:after="283"/>
              <w:jc w:val="right"/>
              <w:rPr>
                <w:rFonts w:ascii="Arial" w:hAnsi="Arial"/>
              </w:rPr>
            </w:pPr>
            <w:r>
              <w:rPr>
                <w:rFonts w:ascii="Arial" w:hAnsi="Arial"/>
              </w:rPr>
              <w:t>9</w:t>
            </w:r>
          </w:p>
        </w:tc>
        <w:tc>
          <w:tcPr>
            <w:tcW w:w="103"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56" w:type="dxa"/>
            <w:tcBorders/>
            <w:shd w:fill="E5FFFF" w:val="clear"/>
            <w:vAlign w:val="center"/>
          </w:tcPr>
          <w:p>
            <w:pPr>
              <w:pStyle w:val="TableContents"/>
              <w:spacing w:before="0" w:after="283"/>
              <w:rPr/>
            </w:pPr>
            <w:r>
              <w:rPr/>
              <w:t> </w:t>
            </w:r>
          </w:p>
        </w:tc>
        <w:tc>
          <w:tcPr>
            <w:tcW w:w="709" w:type="dxa"/>
            <w:tcBorders/>
            <w:shd w:fill="E5FFFF" w:val="clear"/>
            <w:vAlign w:val="bottom"/>
          </w:tcPr>
          <w:p>
            <w:pPr>
              <w:pStyle w:val="TableContents"/>
              <w:spacing w:before="0" w:after="283"/>
              <w:jc w:val="right"/>
              <w:rPr>
                <w:rFonts w:ascii="Arial" w:hAnsi="Arial"/>
              </w:rPr>
            </w:pPr>
            <w:r>
              <w:rPr>
                <w:rFonts w:ascii="Arial" w:hAnsi="Arial"/>
              </w:rPr>
              <w:t>9</w:t>
            </w:r>
          </w:p>
        </w:tc>
        <w:tc>
          <w:tcPr>
            <w:tcW w:w="105" w:type="dxa"/>
            <w:tcBorders/>
            <w:shd w:fill="E5FFFF" w:val="clear"/>
            <w:vAlign w:val="center"/>
          </w:tcPr>
          <w:p>
            <w:pPr>
              <w:pStyle w:val="TableContents"/>
              <w:spacing w:before="0" w:after="283"/>
              <w:rPr/>
            </w:pPr>
            <w:r>
              <w:rPr/>
              <w:t> </w:t>
            </w:r>
          </w:p>
        </w:tc>
      </w:tr>
      <w:tr>
        <w:trPr/>
        <w:tc>
          <w:tcPr>
            <w:tcW w:w="779" w:type="dxa"/>
            <w:tcBorders/>
            <w:shd w:fill="FFFFFF" w:val="clear"/>
            <w:vAlign w:val="bottom"/>
          </w:tcPr>
          <w:p>
            <w:pPr>
              <w:pStyle w:val="TableContents"/>
              <w:spacing w:before="0" w:after="283"/>
              <w:jc w:val="left"/>
              <w:rPr/>
            </w:pPr>
            <w:r>
              <w:rPr/>
              <w:t>             </w:t>
            </w:r>
          </w:p>
        </w:tc>
        <w:tc>
          <w:tcPr>
            <w:tcW w:w="4506" w:type="dxa"/>
            <w:tcBorders/>
            <w:shd w:fill="FFFFFF" w:val="clear"/>
            <w:vAlign w:val="bottom"/>
          </w:tcPr>
          <w:p>
            <w:pPr>
              <w:pStyle w:val="TableContents"/>
              <w:spacing w:before="0" w:after="283"/>
              <w:jc w:val="left"/>
              <w:rPr>
                <w:rFonts w:ascii="Arial" w:hAnsi="Arial"/>
              </w:rPr>
            </w:pPr>
            <w:r>
              <w:rPr>
                <w:rFonts w:ascii="Arial" w:hAnsi="Arial"/>
              </w:rPr>
              <w:t>Foreign currency exchange contracts</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3</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157" w:type="dxa"/>
            <w:tcBorders/>
            <w:shd w:fill="FFFFFF" w:val="clear"/>
            <w:vAlign w:val="center"/>
          </w:tcPr>
          <w:p>
            <w:pPr>
              <w:pStyle w:val="TableContents"/>
              <w:spacing w:before="0" w:after="283"/>
              <w:rPr/>
            </w:pPr>
            <w:r>
              <w:rPr/>
              <w:t> </w:t>
            </w:r>
          </w:p>
        </w:tc>
        <w:tc>
          <w:tcPr>
            <w:tcW w:w="709" w:type="dxa"/>
            <w:tcBorders/>
            <w:shd w:fill="FFFFFF" w:val="clear"/>
            <w:vAlign w:val="bottom"/>
          </w:tcPr>
          <w:p>
            <w:pPr>
              <w:pStyle w:val="TableContents"/>
              <w:spacing w:before="0" w:after="283"/>
              <w:jc w:val="right"/>
              <w:rPr>
                <w:rFonts w:ascii="Arial" w:hAnsi="Arial"/>
              </w:rPr>
            </w:pPr>
            <w:r>
              <w:rPr>
                <w:rFonts w:ascii="Arial" w:hAnsi="Arial"/>
              </w:rPr>
              <w:t>3</w:t>
            </w:r>
          </w:p>
        </w:tc>
        <w:tc>
          <w:tcPr>
            <w:tcW w:w="9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3</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156" w:type="dxa"/>
            <w:tcBorders/>
            <w:shd w:fill="FFFFFF" w:val="clear"/>
            <w:vAlign w:val="center"/>
          </w:tcPr>
          <w:p>
            <w:pPr>
              <w:pStyle w:val="TableContents"/>
              <w:spacing w:before="0" w:after="283"/>
              <w:rPr/>
            </w:pPr>
            <w:r>
              <w:rPr/>
              <w:t> </w:t>
            </w:r>
          </w:p>
        </w:tc>
        <w:tc>
          <w:tcPr>
            <w:tcW w:w="709" w:type="dxa"/>
            <w:tcBorders/>
            <w:shd w:fill="FFFFFF" w:val="clear"/>
            <w:vAlign w:val="bottom"/>
          </w:tcPr>
          <w:p>
            <w:pPr>
              <w:pStyle w:val="TableContents"/>
              <w:spacing w:before="0" w:after="283"/>
              <w:jc w:val="right"/>
              <w:rPr>
                <w:rFonts w:ascii="Arial" w:hAnsi="Arial"/>
              </w:rPr>
            </w:pPr>
            <w:r>
              <w:rPr>
                <w:rFonts w:ascii="Arial" w:hAnsi="Arial"/>
              </w:rPr>
              <w:t>3</w:t>
            </w:r>
          </w:p>
        </w:tc>
        <w:tc>
          <w:tcPr>
            <w:tcW w:w="105" w:type="dxa"/>
            <w:tcBorders/>
            <w:shd w:fill="FFFFFF" w:val="clear"/>
            <w:vAlign w:val="center"/>
          </w:tcPr>
          <w:p>
            <w:pPr>
              <w:pStyle w:val="TableContents"/>
              <w:spacing w:before="0" w:after="283"/>
              <w:rPr/>
            </w:pPr>
            <w:r>
              <w:rPr/>
              <w:t> </w:t>
            </w:r>
          </w:p>
        </w:tc>
      </w:tr>
      <w:tr>
        <w:trPr/>
        <w:tc>
          <w:tcPr>
            <w:tcW w:w="779" w:type="dxa"/>
            <w:tcBorders/>
            <w:shd w:fill="E5FFFF" w:val="clear"/>
            <w:vAlign w:val="bottom"/>
          </w:tcPr>
          <w:p>
            <w:pPr>
              <w:pStyle w:val="TableContents"/>
              <w:spacing w:before="0" w:after="283"/>
              <w:jc w:val="left"/>
              <w:rPr/>
            </w:pPr>
            <w:r>
              <w:rPr/>
              <w:t>             </w:t>
            </w:r>
          </w:p>
        </w:tc>
        <w:tc>
          <w:tcPr>
            <w:tcW w:w="4506" w:type="dxa"/>
            <w:tcBorders/>
            <w:shd w:fill="E5FFFF" w:val="clear"/>
            <w:vAlign w:val="bottom"/>
          </w:tcPr>
          <w:p>
            <w:pPr>
              <w:pStyle w:val="TableContents"/>
              <w:spacing w:before="0" w:after="283"/>
              <w:jc w:val="left"/>
              <w:rPr>
                <w:rFonts w:ascii="Arial" w:hAnsi="Arial"/>
              </w:rPr>
            </w:pPr>
            <w:r>
              <w:rPr>
                <w:rFonts w:ascii="Arial" w:hAnsi="Arial"/>
              </w:rPr>
              <w:t>Forward commodity contracts</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bottom"/>
          </w:tcPr>
          <w:p>
            <w:pPr>
              <w:pStyle w:val="TableContents"/>
              <w:spacing w:before="0" w:after="283"/>
              <w:jc w:val="right"/>
              <w:rPr/>
            </w:pPr>
            <w:r>
              <w:rPr/>
              <w:t>—</w:t>
            </w:r>
          </w:p>
        </w:tc>
        <w:tc>
          <w:tcPr>
            <w:tcW w:w="103"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57" w:type="dxa"/>
            <w:tcBorders/>
            <w:shd w:fill="E5FFFF" w:val="clear"/>
            <w:vAlign w:val="center"/>
          </w:tcPr>
          <w:p>
            <w:pPr>
              <w:pStyle w:val="TableContents"/>
              <w:spacing w:before="0" w:after="283"/>
              <w:rPr/>
            </w:pPr>
            <w:r>
              <w:rPr/>
              <w:t> </w:t>
            </w:r>
          </w:p>
        </w:tc>
        <w:tc>
          <w:tcPr>
            <w:tcW w:w="709"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bottom"/>
          </w:tcPr>
          <w:p>
            <w:pPr>
              <w:pStyle w:val="TableContents"/>
              <w:spacing w:before="0" w:after="283"/>
              <w:jc w:val="right"/>
              <w:rPr>
                <w:rFonts w:ascii="Arial" w:hAnsi="Arial"/>
              </w:rPr>
            </w:pPr>
            <w:r>
              <w:rPr>
                <w:rFonts w:ascii="Arial" w:hAnsi="Arial"/>
              </w:rPr>
              <w:t>18</w:t>
            </w:r>
          </w:p>
        </w:tc>
        <w:tc>
          <w:tcPr>
            <w:tcW w:w="103"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156" w:type="dxa"/>
            <w:tcBorders/>
            <w:shd w:fill="E5FFFF" w:val="clear"/>
            <w:vAlign w:val="center"/>
          </w:tcPr>
          <w:p>
            <w:pPr>
              <w:pStyle w:val="TableContents"/>
              <w:spacing w:before="0" w:after="283"/>
              <w:rPr/>
            </w:pPr>
            <w:r>
              <w:rPr/>
              <w:t> </w:t>
            </w:r>
          </w:p>
        </w:tc>
        <w:tc>
          <w:tcPr>
            <w:tcW w:w="709" w:type="dxa"/>
            <w:tcBorders/>
            <w:shd w:fill="E5FFFF" w:val="clear"/>
            <w:vAlign w:val="bottom"/>
          </w:tcPr>
          <w:p>
            <w:pPr>
              <w:pStyle w:val="TableContents"/>
              <w:spacing w:before="0" w:after="283"/>
              <w:jc w:val="right"/>
              <w:rPr>
                <w:rFonts w:ascii="Arial" w:hAnsi="Arial"/>
              </w:rPr>
            </w:pPr>
            <w:r>
              <w:rPr>
                <w:rFonts w:ascii="Arial" w:hAnsi="Arial"/>
              </w:rPr>
              <w:t>18</w:t>
            </w:r>
          </w:p>
        </w:tc>
        <w:tc>
          <w:tcPr>
            <w:tcW w:w="105" w:type="dxa"/>
            <w:tcBorders/>
            <w:shd w:fill="E5FFFF" w:val="clear"/>
            <w:vAlign w:val="center"/>
          </w:tcPr>
          <w:p>
            <w:pPr>
              <w:pStyle w:val="TableContents"/>
              <w:spacing w:before="0" w:after="283"/>
              <w:rPr/>
            </w:pPr>
            <w:r>
              <w:rPr/>
              <w:t> </w:t>
            </w:r>
          </w:p>
        </w:tc>
      </w:tr>
      <w:tr>
        <w:trPr/>
        <w:tc>
          <w:tcPr>
            <w:tcW w:w="779" w:type="dxa"/>
            <w:tcBorders/>
            <w:shd w:fill="FFFFFF" w:val="clear"/>
            <w:vAlign w:val="bottom"/>
          </w:tcPr>
          <w:p>
            <w:pPr>
              <w:pStyle w:val="TableContents"/>
              <w:spacing w:before="0" w:after="283"/>
              <w:jc w:val="left"/>
              <w:rPr/>
            </w:pPr>
            <w:r>
              <w:rPr/>
              <w:t>             </w:t>
            </w:r>
          </w:p>
        </w:tc>
        <w:tc>
          <w:tcPr>
            <w:tcW w:w="4506" w:type="dxa"/>
            <w:tcBorders/>
            <w:shd w:fill="FFFFFF" w:val="clear"/>
            <w:vAlign w:val="bottom"/>
          </w:tcPr>
          <w:p>
            <w:pPr>
              <w:pStyle w:val="TableContents"/>
              <w:spacing w:before="0" w:after="283"/>
              <w:jc w:val="left"/>
              <w:rPr>
                <w:rFonts w:ascii="Arial" w:hAnsi="Arial"/>
                <w:b/>
              </w:rPr>
            </w:pPr>
            <w:r>
              <w:rPr>
                <w:rFonts w:ascii="Arial" w:hAnsi="Arial"/>
                <w:b/>
              </w:rPr>
              <w:t>Liabilities</w:t>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56"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r>
      <w:tr>
        <w:trPr/>
        <w:tc>
          <w:tcPr>
            <w:tcW w:w="779" w:type="dxa"/>
            <w:tcBorders/>
            <w:shd w:fill="E5FFFF" w:val="clear"/>
            <w:vAlign w:val="bottom"/>
          </w:tcPr>
          <w:p>
            <w:pPr>
              <w:pStyle w:val="TableContents"/>
              <w:spacing w:before="0" w:after="283"/>
              <w:jc w:val="left"/>
              <w:rPr/>
            </w:pPr>
            <w:r>
              <w:rPr/>
              <w:t>             </w:t>
            </w:r>
          </w:p>
        </w:tc>
        <w:tc>
          <w:tcPr>
            <w:tcW w:w="4506" w:type="dxa"/>
            <w:tcBorders/>
            <w:shd w:fill="E5FFFF" w:val="clear"/>
            <w:vAlign w:val="bottom"/>
          </w:tcPr>
          <w:p>
            <w:pPr>
              <w:pStyle w:val="TableContents"/>
              <w:spacing w:before="0" w:after="283"/>
              <w:jc w:val="left"/>
              <w:rPr>
                <w:rFonts w:ascii="Arial" w:hAnsi="Arial"/>
              </w:rPr>
            </w:pPr>
            <w:r>
              <w:rPr>
                <w:rFonts w:ascii="Arial" w:hAnsi="Arial"/>
              </w:rPr>
              <w:t>Long-term debt and related current maturities</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bottom"/>
          </w:tcPr>
          <w:p>
            <w:pPr>
              <w:pStyle w:val="TableContents"/>
              <w:spacing w:before="0" w:after="283"/>
              <w:jc w:val="right"/>
              <w:rPr>
                <w:rFonts w:ascii="Arial" w:hAnsi="Arial"/>
              </w:rPr>
            </w:pPr>
            <w:r>
              <w:rPr>
                <w:rFonts w:ascii="Arial" w:hAnsi="Arial"/>
              </w:rPr>
              <w:t>$</w:t>
            </w:r>
          </w:p>
        </w:tc>
        <w:tc>
          <w:tcPr>
            <w:tcW w:w="742" w:type="dxa"/>
            <w:tcBorders/>
            <w:shd w:fill="E5FFFF" w:val="clear"/>
            <w:vAlign w:val="bottom"/>
          </w:tcPr>
          <w:p>
            <w:pPr>
              <w:pStyle w:val="TableContents"/>
              <w:spacing w:before="0" w:after="283"/>
              <w:jc w:val="right"/>
              <w:rPr>
                <w:rFonts w:ascii="Arial" w:hAnsi="Arial"/>
              </w:rPr>
            </w:pPr>
            <w:r>
              <w:rPr>
                <w:rFonts w:ascii="Arial" w:hAnsi="Arial"/>
              </w:rPr>
              <w:t>(4,332</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244" w:type="dxa"/>
            <w:tcBorders/>
            <w:shd w:fill="E5FFFF" w:val="clear"/>
            <w:vAlign w:val="bottom"/>
          </w:tcPr>
          <w:p>
            <w:pPr>
              <w:pStyle w:val="TableContents"/>
              <w:spacing w:before="0" w:after="283"/>
              <w:jc w:val="right"/>
              <w:rPr/>
            </w:pPr>
            <w:r>
              <w:rPr/>
              <w:t>    </w:t>
            </w:r>
          </w:p>
        </w:tc>
        <w:tc>
          <w:tcPr>
            <w:tcW w:w="157" w:type="dxa"/>
            <w:tcBorders/>
            <w:shd w:fill="E5FFFF" w:val="clear"/>
            <w:vAlign w:val="bottom"/>
          </w:tcPr>
          <w:p>
            <w:pPr>
              <w:pStyle w:val="TableContents"/>
              <w:spacing w:before="0" w:after="283"/>
              <w:jc w:val="right"/>
              <w:rPr>
                <w:rFonts w:ascii="Arial" w:hAnsi="Arial"/>
              </w:rPr>
            </w:pPr>
            <w:r>
              <w:rPr>
                <w:rFonts w:ascii="Arial" w:hAnsi="Arial"/>
              </w:rPr>
              <w:t>$</w:t>
            </w:r>
          </w:p>
        </w:tc>
        <w:tc>
          <w:tcPr>
            <w:tcW w:w="709" w:type="dxa"/>
            <w:tcBorders/>
            <w:shd w:fill="E5FFFF" w:val="clear"/>
            <w:vAlign w:val="bottom"/>
          </w:tcPr>
          <w:p>
            <w:pPr>
              <w:pStyle w:val="TableContents"/>
              <w:spacing w:before="0" w:after="283"/>
              <w:jc w:val="right"/>
              <w:rPr>
                <w:rFonts w:ascii="Arial" w:hAnsi="Arial"/>
              </w:rPr>
            </w:pPr>
            <w:r>
              <w:rPr>
                <w:rFonts w:ascii="Arial" w:hAnsi="Arial"/>
              </w:rPr>
              <w:t>(4,521</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bottom"/>
          </w:tcPr>
          <w:p>
            <w:pPr>
              <w:pStyle w:val="TableContents"/>
              <w:spacing w:before="0" w:after="283"/>
              <w:jc w:val="right"/>
              <w:rPr>
                <w:rFonts w:ascii="Arial" w:hAnsi="Arial"/>
              </w:rPr>
            </w:pPr>
            <w:r>
              <w:rPr>
                <w:rFonts w:ascii="Arial" w:hAnsi="Arial"/>
              </w:rPr>
              <w:t>$</w:t>
            </w:r>
          </w:p>
        </w:tc>
        <w:tc>
          <w:tcPr>
            <w:tcW w:w="742" w:type="dxa"/>
            <w:tcBorders/>
            <w:shd w:fill="E5FFFF" w:val="clear"/>
            <w:vAlign w:val="bottom"/>
          </w:tcPr>
          <w:p>
            <w:pPr>
              <w:pStyle w:val="TableContents"/>
              <w:spacing w:before="0" w:after="283"/>
              <w:jc w:val="right"/>
              <w:rPr>
                <w:rFonts w:ascii="Arial" w:hAnsi="Arial"/>
              </w:rPr>
            </w:pPr>
            <w:r>
              <w:rPr>
                <w:rFonts w:ascii="Arial" w:hAnsi="Arial"/>
              </w:rPr>
              <w:t>(4,077</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244" w:type="dxa"/>
            <w:tcBorders/>
            <w:shd w:fill="E5FFFF" w:val="clear"/>
            <w:vAlign w:val="bottom"/>
          </w:tcPr>
          <w:p>
            <w:pPr>
              <w:pStyle w:val="TableContents"/>
              <w:spacing w:before="0" w:after="283"/>
              <w:jc w:val="right"/>
              <w:rPr/>
            </w:pPr>
            <w:r>
              <w:rPr/>
              <w:t>    </w:t>
            </w:r>
          </w:p>
        </w:tc>
        <w:tc>
          <w:tcPr>
            <w:tcW w:w="156" w:type="dxa"/>
            <w:tcBorders/>
            <w:shd w:fill="E5FFFF" w:val="clear"/>
            <w:vAlign w:val="bottom"/>
          </w:tcPr>
          <w:p>
            <w:pPr>
              <w:pStyle w:val="TableContents"/>
              <w:spacing w:before="0" w:after="283"/>
              <w:jc w:val="right"/>
              <w:rPr>
                <w:rFonts w:ascii="Arial" w:hAnsi="Arial"/>
              </w:rPr>
            </w:pPr>
            <w:r>
              <w:rPr>
                <w:rFonts w:ascii="Arial" w:hAnsi="Arial"/>
              </w:rPr>
              <w:t>$</w:t>
            </w:r>
          </w:p>
        </w:tc>
        <w:tc>
          <w:tcPr>
            <w:tcW w:w="709" w:type="dxa"/>
            <w:tcBorders/>
            <w:shd w:fill="E5FFFF" w:val="clear"/>
            <w:vAlign w:val="bottom"/>
          </w:tcPr>
          <w:p>
            <w:pPr>
              <w:pStyle w:val="TableContents"/>
              <w:spacing w:before="0" w:after="283"/>
              <w:jc w:val="right"/>
              <w:rPr>
                <w:rFonts w:ascii="Arial" w:hAnsi="Arial"/>
              </w:rPr>
            </w:pPr>
            <w:r>
              <w:rPr>
                <w:rFonts w:ascii="Arial" w:hAnsi="Arial"/>
              </w:rPr>
              <w:t>(4,291</w:t>
            </w:r>
          </w:p>
        </w:tc>
        <w:tc>
          <w:tcPr>
            <w:tcW w:w="105"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779" w:type="dxa"/>
            <w:tcBorders/>
            <w:shd w:fill="FFFFFF" w:val="clear"/>
            <w:vAlign w:val="bottom"/>
          </w:tcPr>
          <w:p>
            <w:pPr>
              <w:pStyle w:val="TableContents"/>
              <w:spacing w:before="0" w:after="283"/>
              <w:jc w:val="left"/>
              <w:rPr/>
            </w:pPr>
            <w:r>
              <w:rPr/>
              <w:t>             </w:t>
            </w:r>
          </w:p>
        </w:tc>
        <w:tc>
          <w:tcPr>
            <w:tcW w:w="4506" w:type="dxa"/>
            <w:tcBorders/>
            <w:shd w:fill="FFFFFF" w:val="clear"/>
            <w:vAlign w:val="bottom"/>
          </w:tcPr>
          <w:p>
            <w:pPr>
              <w:pStyle w:val="TableContents"/>
              <w:spacing w:before="0" w:after="283"/>
              <w:jc w:val="left"/>
              <w:rPr>
                <w:rFonts w:ascii="Arial" w:hAnsi="Arial"/>
              </w:rPr>
            </w:pPr>
            <w:r>
              <w:rPr>
                <w:rFonts w:ascii="Arial" w:hAnsi="Arial"/>
              </w:rPr>
              <w:t>Foreign currency exchange contracts</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(3</w:t>
            </w:r>
          </w:p>
        </w:tc>
        <w:tc>
          <w:tcPr>
            <w:tcW w:w="103" w:type="dxa"/>
            <w:tcBorders/>
            <w:shd w:fill="FFFFFF" w:val="clear"/>
            <w:vAlign w:val="bottom"/>
          </w:tcPr>
          <w:p>
            <w:pPr>
              <w:pStyle w:val="TableContents"/>
              <w:spacing w:before="0" w:after="283"/>
              <w:jc w:val="left"/>
              <w:rPr>
                <w:rFonts w:ascii="Arial" w:hAnsi="Arial"/>
              </w:rPr>
            </w:pPr>
            <w:r>
              <w:rPr>
                <w:rFonts w:ascii="Arial" w:hAnsi="Arial"/>
              </w:rPr>
              <w:t>)</w:t>
            </w:r>
          </w:p>
        </w:tc>
        <w:tc>
          <w:tcPr>
            <w:tcW w:w="244" w:type="dxa"/>
            <w:tcBorders/>
            <w:shd w:fill="FFFFFF" w:val="clear"/>
            <w:vAlign w:val="bottom"/>
          </w:tcPr>
          <w:p>
            <w:pPr>
              <w:pStyle w:val="TableContents"/>
              <w:spacing w:before="0" w:after="283"/>
              <w:jc w:val="right"/>
              <w:rPr/>
            </w:pPr>
            <w:r>
              <w:rPr/>
              <w:t>    </w:t>
            </w:r>
          </w:p>
        </w:tc>
        <w:tc>
          <w:tcPr>
            <w:tcW w:w="157" w:type="dxa"/>
            <w:tcBorders/>
            <w:shd w:fill="FFFFFF" w:val="clear"/>
            <w:vAlign w:val="center"/>
          </w:tcPr>
          <w:p>
            <w:pPr>
              <w:pStyle w:val="TableContents"/>
              <w:spacing w:before="0" w:after="283"/>
              <w:rPr/>
            </w:pPr>
            <w:r>
              <w:rPr/>
              <w:t> </w:t>
            </w:r>
          </w:p>
        </w:tc>
        <w:tc>
          <w:tcPr>
            <w:tcW w:w="709" w:type="dxa"/>
            <w:tcBorders/>
            <w:shd w:fill="FFFFFF" w:val="clear"/>
            <w:vAlign w:val="bottom"/>
          </w:tcPr>
          <w:p>
            <w:pPr>
              <w:pStyle w:val="TableContents"/>
              <w:spacing w:before="0" w:after="283"/>
              <w:jc w:val="right"/>
              <w:rPr>
                <w:rFonts w:ascii="Arial" w:hAnsi="Arial"/>
              </w:rPr>
            </w:pPr>
            <w:r>
              <w:rPr>
                <w:rFonts w:ascii="Arial" w:hAnsi="Arial"/>
              </w:rPr>
              <w:t>(3</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bottom"/>
          </w:tcPr>
          <w:p>
            <w:pPr>
              <w:pStyle w:val="TableContents"/>
              <w:spacing w:before="0" w:after="283"/>
              <w:jc w:val="right"/>
              <w:rPr>
                <w:rFonts w:ascii="Arial" w:hAnsi="Arial"/>
              </w:rPr>
            </w:pPr>
            <w:r>
              <w:rPr>
                <w:rFonts w:ascii="Arial" w:hAnsi="Arial"/>
              </w:rPr>
              <w:t>(5</w:t>
            </w:r>
          </w:p>
        </w:tc>
        <w:tc>
          <w:tcPr>
            <w:tcW w:w="103" w:type="dxa"/>
            <w:tcBorders/>
            <w:shd w:fill="FFFFFF" w:val="clear"/>
            <w:vAlign w:val="bottom"/>
          </w:tcPr>
          <w:p>
            <w:pPr>
              <w:pStyle w:val="TableContents"/>
              <w:spacing w:before="0" w:after="283"/>
              <w:jc w:val="left"/>
              <w:rPr>
                <w:rFonts w:ascii="Arial" w:hAnsi="Arial"/>
              </w:rPr>
            </w:pPr>
            <w:r>
              <w:rPr>
                <w:rFonts w:ascii="Arial" w:hAnsi="Arial"/>
              </w:rPr>
              <w:t>)</w:t>
            </w:r>
          </w:p>
        </w:tc>
        <w:tc>
          <w:tcPr>
            <w:tcW w:w="244" w:type="dxa"/>
            <w:tcBorders/>
            <w:shd w:fill="FFFFFF" w:val="clear"/>
            <w:vAlign w:val="bottom"/>
          </w:tcPr>
          <w:p>
            <w:pPr>
              <w:pStyle w:val="TableContents"/>
              <w:spacing w:before="0" w:after="283"/>
              <w:jc w:val="right"/>
              <w:rPr/>
            </w:pPr>
            <w:r>
              <w:rPr/>
              <w:t>    </w:t>
            </w:r>
          </w:p>
        </w:tc>
        <w:tc>
          <w:tcPr>
            <w:tcW w:w="156" w:type="dxa"/>
            <w:tcBorders/>
            <w:shd w:fill="FFFFFF" w:val="clear"/>
            <w:vAlign w:val="center"/>
          </w:tcPr>
          <w:p>
            <w:pPr>
              <w:pStyle w:val="TableContents"/>
              <w:spacing w:before="0" w:after="283"/>
              <w:rPr/>
            </w:pPr>
            <w:r>
              <w:rPr/>
              <w:t> </w:t>
            </w:r>
          </w:p>
        </w:tc>
        <w:tc>
          <w:tcPr>
            <w:tcW w:w="709" w:type="dxa"/>
            <w:tcBorders/>
            <w:shd w:fill="FFFFFF" w:val="clear"/>
            <w:vAlign w:val="bottom"/>
          </w:tcPr>
          <w:p>
            <w:pPr>
              <w:pStyle w:val="TableContents"/>
              <w:spacing w:before="0" w:after="283"/>
              <w:jc w:val="right"/>
              <w:rPr>
                <w:rFonts w:ascii="Arial" w:hAnsi="Arial"/>
              </w:rPr>
            </w:pPr>
            <w:r>
              <w:rPr>
                <w:rFonts w:ascii="Arial" w:hAnsi="Arial"/>
              </w:rPr>
              <w:t>(5</w:t>
            </w:r>
          </w:p>
        </w:tc>
        <w:tc>
          <w:tcPr>
            <w:tcW w:w="10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779" w:type="dxa"/>
            <w:tcBorders/>
            <w:shd w:fill="E5FFFF" w:val="clear"/>
            <w:vAlign w:val="bottom"/>
          </w:tcPr>
          <w:p>
            <w:pPr>
              <w:pStyle w:val="TableContents"/>
              <w:spacing w:before="0" w:after="283"/>
              <w:jc w:val="left"/>
              <w:rPr/>
            </w:pPr>
            <w:r>
              <w:rPr/>
              <w:t>             </w:t>
            </w:r>
          </w:p>
        </w:tc>
        <w:tc>
          <w:tcPr>
            <w:tcW w:w="4506" w:type="dxa"/>
            <w:tcBorders/>
            <w:shd w:fill="E5FFFF" w:val="clear"/>
            <w:vAlign w:val="bottom"/>
          </w:tcPr>
          <w:p>
            <w:pPr>
              <w:pStyle w:val="TableContents"/>
              <w:spacing w:before="0" w:after="283"/>
              <w:jc w:val="left"/>
              <w:rPr>
                <w:rFonts w:ascii="Arial" w:hAnsi="Arial"/>
              </w:rPr>
            </w:pPr>
            <w:r>
              <w:rPr>
                <w:rFonts w:ascii="Arial" w:hAnsi="Arial"/>
              </w:rPr>
              <w:t>Forward commodity contracts</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bottom"/>
          </w:tcPr>
          <w:p>
            <w:pPr>
              <w:pStyle w:val="TableContents"/>
              <w:spacing w:before="0" w:after="283"/>
              <w:jc w:val="right"/>
              <w:rPr>
                <w:rFonts w:ascii="Arial" w:hAnsi="Arial"/>
              </w:rPr>
            </w:pPr>
            <w:r>
              <w:rPr>
                <w:rFonts w:ascii="Arial" w:hAnsi="Arial"/>
              </w:rPr>
              <w:t>(9</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244" w:type="dxa"/>
            <w:tcBorders/>
            <w:shd w:fill="E5FFFF" w:val="clear"/>
            <w:vAlign w:val="bottom"/>
          </w:tcPr>
          <w:p>
            <w:pPr>
              <w:pStyle w:val="TableContents"/>
              <w:spacing w:before="0" w:after="283"/>
              <w:jc w:val="right"/>
              <w:rPr/>
            </w:pPr>
            <w:r>
              <w:rPr/>
              <w:t>    </w:t>
            </w:r>
          </w:p>
        </w:tc>
        <w:tc>
          <w:tcPr>
            <w:tcW w:w="157" w:type="dxa"/>
            <w:tcBorders/>
            <w:shd w:fill="E5FFFF" w:val="clear"/>
            <w:vAlign w:val="center"/>
          </w:tcPr>
          <w:p>
            <w:pPr>
              <w:pStyle w:val="TableContents"/>
              <w:spacing w:before="0" w:after="283"/>
              <w:rPr/>
            </w:pPr>
            <w:r>
              <w:rPr/>
              <w:t> </w:t>
            </w:r>
          </w:p>
        </w:tc>
        <w:tc>
          <w:tcPr>
            <w:tcW w:w="709" w:type="dxa"/>
            <w:tcBorders/>
            <w:shd w:fill="E5FFFF" w:val="clear"/>
            <w:vAlign w:val="bottom"/>
          </w:tcPr>
          <w:p>
            <w:pPr>
              <w:pStyle w:val="TableContents"/>
              <w:spacing w:before="0" w:after="283"/>
              <w:jc w:val="right"/>
              <w:rPr>
                <w:rFonts w:ascii="Arial" w:hAnsi="Arial"/>
              </w:rPr>
            </w:pPr>
            <w:r>
              <w:rPr>
                <w:rFonts w:ascii="Arial" w:hAnsi="Arial"/>
              </w:rPr>
              <w:t>(9</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742" w:type="dxa"/>
            <w:tcBorders/>
            <w:shd w:fill="E5FFFF" w:val="clear"/>
            <w:vAlign w:val="bottom"/>
          </w:tcPr>
          <w:p>
            <w:pPr>
              <w:pStyle w:val="TableContents"/>
              <w:spacing w:before="0" w:after="283"/>
              <w:jc w:val="right"/>
              <w:rPr>
                <w:rFonts w:ascii="Arial" w:hAnsi="Arial"/>
              </w:rPr>
            </w:pPr>
            <w:r>
              <w:rPr>
                <w:rFonts w:ascii="Arial" w:hAnsi="Arial"/>
              </w:rPr>
              <w:t>(1</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244" w:type="dxa"/>
            <w:tcBorders/>
            <w:shd w:fill="E5FFFF" w:val="clear"/>
            <w:vAlign w:val="bottom"/>
          </w:tcPr>
          <w:p>
            <w:pPr>
              <w:pStyle w:val="TableContents"/>
              <w:spacing w:before="0" w:after="283"/>
              <w:jc w:val="right"/>
              <w:rPr/>
            </w:pPr>
            <w:r>
              <w:rPr/>
              <w:t>    </w:t>
            </w:r>
          </w:p>
        </w:tc>
        <w:tc>
          <w:tcPr>
            <w:tcW w:w="156" w:type="dxa"/>
            <w:tcBorders/>
            <w:shd w:fill="E5FFFF" w:val="clear"/>
            <w:vAlign w:val="center"/>
          </w:tcPr>
          <w:p>
            <w:pPr>
              <w:pStyle w:val="TableContents"/>
              <w:spacing w:before="0" w:after="283"/>
              <w:rPr/>
            </w:pPr>
            <w:r>
              <w:rPr/>
              <w:t> </w:t>
            </w:r>
          </w:p>
        </w:tc>
        <w:tc>
          <w:tcPr>
            <w:tcW w:w="709" w:type="dxa"/>
            <w:tcBorders/>
            <w:shd w:fill="E5FFFF" w:val="clear"/>
            <w:vAlign w:val="bottom"/>
          </w:tcPr>
          <w:p>
            <w:pPr>
              <w:pStyle w:val="TableContents"/>
              <w:spacing w:before="0" w:after="283"/>
              <w:jc w:val="right"/>
              <w:rPr>
                <w:rFonts w:ascii="Arial" w:hAnsi="Arial"/>
              </w:rPr>
            </w:pPr>
            <w:r>
              <w:rPr>
                <w:rFonts w:ascii="Arial" w:hAnsi="Arial"/>
              </w:rPr>
              <w:t>(1</w:t>
            </w:r>
          </w:p>
        </w:tc>
        <w:tc>
          <w:tcPr>
            <w:tcW w:w="105"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779" w:type="dxa"/>
            <w:tcBorders/>
            <w:shd w:fill="FFFFFF" w:val="clear"/>
            <w:vAlign w:val="bottom"/>
          </w:tcPr>
          <w:p>
            <w:pPr>
              <w:pStyle w:val="TableContents"/>
              <w:spacing w:before="0" w:after="283"/>
              <w:jc w:val="left"/>
              <w:rPr/>
            </w:pPr>
            <w:r>
              <w:rPr/>
              <w:t>             </w:t>
            </w:r>
          </w:p>
        </w:tc>
        <w:tc>
          <w:tcPr>
            <w:tcW w:w="4506"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742"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56" w:type="dxa"/>
            <w:tcBorders/>
            <w:shd w:fill="FFFFFF" w:val="clear"/>
            <w:vAlign w:val="center"/>
          </w:tcPr>
          <w:p>
            <w:pPr>
              <w:pStyle w:val="TableContents"/>
              <w:spacing w:before="0" w:after="283"/>
              <w:rPr/>
            </w:pPr>
            <w:r>
              <w:rPr/>
              <w:t> </w:t>
            </w:r>
          </w:p>
        </w:tc>
        <w:tc>
          <w:tcPr>
            <w:tcW w:w="709"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r>
    </w:tbl>
    <w:p>
      <w:pPr>
        <w:pStyle w:val="TextBody"/>
        <w:jc w:val="left"/>
        <w:rPr>
          <w:rFonts w:ascii="Arial" w:hAnsi="Arial"/>
          <w:b/>
        </w:rPr>
      </w:pPr>
      <w:r>
        <w:rPr>
          <w:rFonts w:ascii="Arial" w:hAnsi="Arial"/>
          <w:b/>
        </w:rPr>
        <w:t>Note 17—Other Liabilities</w:t>
      </w:r>
    </w:p>
    <w:p>
      <w:pPr>
        <w:pStyle w:val="TextBody"/>
        <w:jc w:val="left"/>
        <w:rPr/>
      </w:pPr>
      <w:r>
        <w:rPr/>
        <w:t>      </w:t>
      </w:r>
      <w:r>
        <w:rPr>
          <w:rFonts w:ascii="Arial" w:hAnsi="Arial"/>
        </w:rPr>
        <w:t>Other liabilities consist of the following:</w:t>
      </w:r>
    </w:p>
    <w:tbl>
      <w:tblPr>
        <w:tblW w:w="5000" w:type="pct"/>
        <w:jc w:val="left"/>
        <w:tblInd w:w="0" w:type="dxa"/>
        <w:tblCellMar>
          <w:top w:w="0" w:type="dxa"/>
          <w:left w:w="0" w:type="dxa"/>
          <w:bottom w:w="0" w:type="dxa"/>
          <w:right w:w="0" w:type="dxa"/>
        </w:tblCellMar>
      </w:tblPr>
      <w:tblGrid>
        <w:gridCol w:w="1169"/>
        <w:gridCol w:w="5812"/>
        <w:gridCol w:w="360"/>
        <w:gridCol w:w="232"/>
        <w:gridCol w:w="930"/>
        <w:gridCol w:w="90"/>
        <w:gridCol w:w="360"/>
        <w:gridCol w:w="232"/>
        <w:gridCol w:w="930"/>
        <w:gridCol w:w="90"/>
      </w:tblGrid>
      <w:tr>
        <w:trPr/>
        <w:tc>
          <w:tcPr>
            <w:tcW w:w="1169" w:type="dxa"/>
            <w:tcBorders/>
            <w:shd w:fill="FFFFFF" w:val="clear"/>
            <w:vAlign w:val="center"/>
          </w:tcPr>
          <w:p>
            <w:pPr>
              <w:pStyle w:val="TableContents"/>
              <w:spacing w:before="0" w:after="283"/>
              <w:rPr/>
            </w:pPr>
            <w:r>
              <w:rPr/>
              <w:t> </w:t>
            </w:r>
          </w:p>
        </w:tc>
        <w:tc>
          <w:tcPr>
            <w:tcW w:w="5812"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2864"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1169" w:type="dxa"/>
            <w:tcBorders/>
            <w:shd w:fill="FFFFFF" w:val="clear"/>
            <w:vAlign w:val="center"/>
          </w:tcPr>
          <w:p>
            <w:pPr>
              <w:pStyle w:val="TableContents"/>
              <w:spacing w:before="0" w:after="283"/>
              <w:rPr/>
            </w:pPr>
            <w:r>
              <w:rPr/>
              <w:t> </w:t>
            </w:r>
          </w:p>
        </w:tc>
        <w:tc>
          <w:tcPr>
            <w:tcW w:w="5812"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25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125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1169" w:type="dxa"/>
            <w:tcBorders/>
            <w:shd w:fill="FFFFFF" w:val="clear"/>
            <w:vAlign w:val="bottom"/>
          </w:tcPr>
          <w:p>
            <w:pPr>
              <w:pStyle w:val="TableContents"/>
              <w:spacing w:before="0" w:after="283"/>
              <w:jc w:val="left"/>
              <w:rPr/>
            </w:pPr>
            <w:r>
              <w:rPr/>
              <w:t>             </w:t>
            </w:r>
          </w:p>
        </w:tc>
        <w:tc>
          <w:tcPr>
            <w:tcW w:w="5812" w:type="dxa"/>
            <w:tcBorders/>
            <w:shd w:fill="FFFFFF" w:val="clear"/>
            <w:vAlign w:val="bottom"/>
          </w:tcPr>
          <w:p>
            <w:pPr>
              <w:pStyle w:val="TableContents"/>
              <w:spacing w:before="0" w:after="283"/>
              <w:jc w:val="left"/>
              <w:rPr>
                <w:rFonts w:ascii="Arial" w:hAnsi="Arial"/>
              </w:rPr>
            </w:pPr>
            <w:r>
              <w:rPr>
                <w:rFonts w:ascii="Arial" w:hAnsi="Arial"/>
              </w:rPr>
              <w:t>Pension and other employee related</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bottom"/>
          </w:tcPr>
          <w:p>
            <w:pPr>
              <w:pStyle w:val="TableContents"/>
              <w:spacing w:before="0" w:after="283"/>
              <w:jc w:val="right"/>
              <w:rPr>
                <w:rFonts w:ascii="Arial" w:hAnsi="Arial"/>
              </w:rPr>
            </w:pPr>
            <w:r>
              <w:rPr>
                <w:rFonts w:ascii="Arial" w:hAnsi="Arial"/>
              </w:rPr>
              <w:t>$</w:t>
            </w:r>
          </w:p>
        </w:tc>
        <w:tc>
          <w:tcPr>
            <w:tcW w:w="930" w:type="dxa"/>
            <w:tcBorders/>
            <w:shd w:fill="FFFFFF" w:val="clear"/>
            <w:vAlign w:val="bottom"/>
          </w:tcPr>
          <w:p>
            <w:pPr>
              <w:pStyle w:val="TableContents"/>
              <w:spacing w:before="0" w:after="283"/>
              <w:jc w:val="right"/>
              <w:rPr>
                <w:rFonts w:ascii="Arial" w:hAnsi="Arial"/>
              </w:rPr>
            </w:pPr>
            <w:r>
              <w:rPr>
                <w:rFonts w:ascii="Arial" w:hAnsi="Arial"/>
              </w:rPr>
              <w:t>1,748</w:t>
            </w:r>
          </w:p>
        </w:tc>
        <w:tc>
          <w:tcPr>
            <w:tcW w:w="90"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bottom"/>
          </w:tcPr>
          <w:p>
            <w:pPr>
              <w:pStyle w:val="TableContents"/>
              <w:spacing w:before="0" w:after="283"/>
              <w:jc w:val="right"/>
              <w:rPr>
                <w:rFonts w:ascii="Arial" w:hAnsi="Arial"/>
              </w:rPr>
            </w:pPr>
            <w:r>
              <w:rPr>
                <w:rFonts w:ascii="Arial" w:hAnsi="Arial"/>
              </w:rPr>
              <w:t>$</w:t>
            </w:r>
          </w:p>
        </w:tc>
        <w:tc>
          <w:tcPr>
            <w:tcW w:w="930" w:type="dxa"/>
            <w:tcBorders/>
            <w:shd w:fill="FFFFFF" w:val="clear"/>
            <w:vAlign w:val="bottom"/>
          </w:tcPr>
          <w:p>
            <w:pPr>
              <w:pStyle w:val="TableContents"/>
              <w:spacing w:before="0" w:after="283"/>
              <w:jc w:val="right"/>
              <w:rPr>
                <w:rFonts w:ascii="Arial" w:hAnsi="Arial"/>
              </w:rPr>
            </w:pPr>
            <w:r>
              <w:rPr>
                <w:rFonts w:ascii="Arial" w:hAnsi="Arial"/>
              </w:rPr>
              <w:t>2,010</w:t>
            </w:r>
          </w:p>
        </w:tc>
        <w:tc>
          <w:tcPr>
            <w:tcW w:w="90" w:type="dxa"/>
            <w:tcBorders/>
            <w:shd w:fill="FFFFFF" w:val="clear"/>
            <w:vAlign w:val="center"/>
          </w:tcPr>
          <w:p>
            <w:pPr>
              <w:pStyle w:val="TableContents"/>
              <w:spacing w:before="0" w:after="283"/>
              <w:rPr/>
            </w:pPr>
            <w:r>
              <w:rPr/>
              <w:t> </w:t>
            </w:r>
          </w:p>
        </w:tc>
      </w:tr>
      <w:tr>
        <w:trPr/>
        <w:tc>
          <w:tcPr>
            <w:tcW w:w="1169" w:type="dxa"/>
            <w:tcBorders/>
            <w:shd w:fill="E5FFFF" w:val="clear"/>
            <w:vAlign w:val="bottom"/>
          </w:tcPr>
          <w:p>
            <w:pPr>
              <w:pStyle w:val="TableContents"/>
              <w:spacing w:before="0" w:after="283"/>
              <w:jc w:val="left"/>
              <w:rPr/>
            </w:pPr>
            <w:r>
              <w:rPr/>
              <w:t>             </w:t>
            </w:r>
          </w:p>
        </w:tc>
        <w:tc>
          <w:tcPr>
            <w:tcW w:w="5812" w:type="dxa"/>
            <w:tcBorders/>
            <w:shd w:fill="E5FFFF" w:val="clear"/>
            <w:vAlign w:val="bottom"/>
          </w:tcPr>
          <w:p>
            <w:pPr>
              <w:pStyle w:val="TableContents"/>
              <w:spacing w:before="0" w:after="283"/>
              <w:jc w:val="left"/>
              <w:rPr>
                <w:rFonts w:ascii="Arial" w:hAnsi="Arial"/>
              </w:rPr>
            </w:pPr>
            <w:r>
              <w:rPr>
                <w:rFonts w:ascii="Arial" w:hAnsi="Arial"/>
              </w:rPr>
              <w:t>Environmental</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TableContents"/>
              <w:spacing w:before="0" w:after="283"/>
              <w:jc w:val="right"/>
              <w:rPr>
                <w:rFonts w:ascii="Arial" w:hAnsi="Arial"/>
              </w:rPr>
            </w:pPr>
            <w:r>
              <w:rPr>
                <w:rFonts w:ascii="Arial" w:hAnsi="Arial"/>
              </w:rPr>
              <w:t>580</w:t>
            </w:r>
          </w:p>
        </w:tc>
        <w:tc>
          <w:tcPr>
            <w:tcW w:w="90"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TableContents"/>
              <w:spacing w:before="0" w:after="283"/>
              <w:jc w:val="right"/>
              <w:rPr>
                <w:rFonts w:ascii="Arial" w:hAnsi="Arial"/>
              </w:rPr>
            </w:pPr>
            <w:r>
              <w:rPr>
                <w:rFonts w:ascii="Arial" w:hAnsi="Arial"/>
              </w:rPr>
              <w:t>642</w:t>
            </w:r>
          </w:p>
        </w:tc>
        <w:tc>
          <w:tcPr>
            <w:tcW w:w="90" w:type="dxa"/>
            <w:tcBorders/>
            <w:shd w:fill="E5FFFF" w:val="clear"/>
            <w:vAlign w:val="center"/>
          </w:tcPr>
          <w:p>
            <w:pPr>
              <w:pStyle w:val="TableContents"/>
              <w:spacing w:before="0" w:after="283"/>
              <w:rPr/>
            </w:pPr>
            <w:r>
              <w:rPr/>
              <w:t> </w:t>
            </w:r>
          </w:p>
        </w:tc>
      </w:tr>
      <w:tr>
        <w:trPr/>
        <w:tc>
          <w:tcPr>
            <w:tcW w:w="1169" w:type="dxa"/>
            <w:tcBorders/>
            <w:shd w:fill="FFFFFF" w:val="clear"/>
            <w:vAlign w:val="bottom"/>
          </w:tcPr>
          <w:p>
            <w:pPr>
              <w:pStyle w:val="TableContents"/>
              <w:spacing w:before="0" w:after="283"/>
              <w:jc w:val="left"/>
              <w:rPr/>
            </w:pPr>
            <w:r>
              <w:rPr/>
              <w:t>             </w:t>
            </w:r>
          </w:p>
        </w:tc>
        <w:tc>
          <w:tcPr>
            <w:tcW w:w="5812" w:type="dxa"/>
            <w:tcBorders/>
            <w:shd w:fill="FFFFFF" w:val="clear"/>
            <w:vAlign w:val="bottom"/>
          </w:tcPr>
          <w:p>
            <w:pPr>
              <w:pStyle w:val="TableContents"/>
              <w:spacing w:before="0" w:after="283"/>
              <w:jc w:val="left"/>
              <w:rPr>
                <w:rFonts w:ascii="Arial" w:hAnsi="Arial"/>
              </w:rPr>
            </w:pPr>
            <w:r>
              <w:rPr>
                <w:rFonts w:ascii="Arial" w:hAnsi="Arial"/>
              </w:rPr>
              <w:t>Income taxes</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bottom"/>
          </w:tcPr>
          <w:p>
            <w:pPr>
              <w:pStyle w:val="TableContents"/>
              <w:spacing w:before="0" w:after="283"/>
              <w:jc w:val="right"/>
              <w:rPr>
                <w:rFonts w:ascii="Arial" w:hAnsi="Arial"/>
              </w:rPr>
            </w:pPr>
            <w:r>
              <w:rPr>
                <w:rFonts w:ascii="Arial" w:hAnsi="Arial"/>
              </w:rPr>
              <w:t>575</w:t>
            </w:r>
          </w:p>
        </w:tc>
        <w:tc>
          <w:tcPr>
            <w:tcW w:w="90"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bottom"/>
          </w:tcPr>
          <w:p>
            <w:pPr>
              <w:pStyle w:val="TableContents"/>
              <w:spacing w:before="0" w:after="283"/>
              <w:jc w:val="right"/>
              <w:rPr>
                <w:rFonts w:ascii="Arial" w:hAnsi="Arial"/>
              </w:rPr>
            </w:pPr>
            <w:r>
              <w:rPr>
                <w:rFonts w:ascii="Arial" w:hAnsi="Arial"/>
              </w:rPr>
              <w:t>569</w:t>
            </w:r>
          </w:p>
        </w:tc>
        <w:tc>
          <w:tcPr>
            <w:tcW w:w="90" w:type="dxa"/>
            <w:tcBorders/>
            <w:shd w:fill="FFFFFF" w:val="clear"/>
            <w:vAlign w:val="center"/>
          </w:tcPr>
          <w:p>
            <w:pPr>
              <w:pStyle w:val="TableContents"/>
              <w:spacing w:before="0" w:after="283"/>
              <w:rPr/>
            </w:pPr>
            <w:r>
              <w:rPr/>
              <w:t> </w:t>
            </w:r>
          </w:p>
        </w:tc>
      </w:tr>
      <w:tr>
        <w:trPr/>
        <w:tc>
          <w:tcPr>
            <w:tcW w:w="1169" w:type="dxa"/>
            <w:tcBorders/>
            <w:shd w:fill="E5FFFF" w:val="clear"/>
            <w:vAlign w:val="bottom"/>
          </w:tcPr>
          <w:p>
            <w:pPr>
              <w:pStyle w:val="TableContents"/>
              <w:spacing w:before="0" w:after="283"/>
              <w:jc w:val="left"/>
              <w:rPr/>
            </w:pPr>
            <w:r>
              <w:rPr/>
              <w:t>             </w:t>
            </w:r>
          </w:p>
        </w:tc>
        <w:tc>
          <w:tcPr>
            <w:tcW w:w="5812" w:type="dxa"/>
            <w:tcBorders/>
            <w:shd w:fill="E5FFFF" w:val="clear"/>
            <w:vAlign w:val="bottom"/>
          </w:tcPr>
          <w:p>
            <w:pPr>
              <w:pStyle w:val="TableContents"/>
              <w:spacing w:before="0" w:after="283"/>
              <w:jc w:val="left"/>
              <w:rPr>
                <w:rFonts w:ascii="Arial" w:hAnsi="Arial"/>
              </w:rPr>
            </w:pPr>
            <w:r>
              <w:rPr>
                <w:rFonts w:ascii="Arial" w:hAnsi="Arial"/>
              </w:rPr>
              <w:t>Insurance</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TableContents"/>
              <w:spacing w:before="0" w:after="283"/>
              <w:jc w:val="right"/>
              <w:rPr>
                <w:rFonts w:ascii="Arial" w:hAnsi="Arial"/>
              </w:rPr>
            </w:pPr>
            <w:r>
              <w:rPr>
                <w:rFonts w:ascii="Arial" w:hAnsi="Arial"/>
              </w:rPr>
              <w:t>134</w:t>
            </w:r>
          </w:p>
        </w:tc>
        <w:tc>
          <w:tcPr>
            <w:tcW w:w="90"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TableContents"/>
              <w:spacing w:before="0" w:after="283"/>
              <w:jc w:val="right"/>
              <w:rPr>
                <w:rFonts w:ascii="Arial" w:hAnsi="Arial"/>
              </w:rPr>
            </w:pPr>
            <w:r>
              <w:rPr>
                <w:rFonts w:ascii="Arial" w:hAnsi="Arial"/>
              </w:rPr>
              <w:t>55</w:t>
            </w:r>
          </w:p>
        </w:tc>
        <w:tc>
          <w:tcPr>
            <w:tcW w:w="90" w:type="dxa"/>
            <w:tcBorders/>
            <w:shd w:fill="E5FFFF" w:val="clear"/>
            <w:vAlign w:val="center"/>
          </w:tcPr>
          <w:p>
            <w:pPr>
              <w:pStyle w:val="TableContents"/>
              <w:spacing w:before="0" w:after="283"/>
              <w:rPr/>
            </w:pPr>
            <w:r>
              <w:rPr/>
              <w:t> </w:t>
            </w:r>
          </w:p>
        </w:tc>
      </w:tr>
      <w:tr>
        <w:trPr/>
        <w:tc>
          <w:tcPr>
            <w:tcW w:w="1169" w:type="dxa"/>
            <w:tcBorders/>
            <w:shd w:fill="FFFFFF" w:val="clear"/>
            <w:vAlign w:val="bottom"/>
          </w:tcPr>
          <w:p>
            <w:pPr>
              <w:pStyle w:val="TableContents"/>
              <w:spacing w:before="0" w:after="283"/>
              <w:jc w:val="left"/>
              <w:rPr/>
            </w:pPr>
            <w:r>
              <w:rPr/>
              <w:t>             </w:t>
            </w:r>
          </w:p>
        </w:tc>
        <w:tc>
          <w:tcPr>
            <w:tcW w:w="5812" w:type="dxa"/>
            <w:tcBorders/>
            <w:shd w:fill="FFFFFF" w:val="clear"/>
            <w:vAlign w:val="bottom"/>
          </w:tcPr>
          <w:p>
            <w:pPr>
              <w:pStyle w:val="TableContents"/>
              <w:spacing w:before="0" w:after="283"/>
              <w:jc w:val="left"/>
              <w:rPr>
                <w:rFonts w:ascii="Arial" w:hAnsi="Arial"/>
              </w:rPr>
            </w:pPr>
            <w:r>
              <w:rPr>
                <w:rFonts w:ascii="Arial" w:hAnsi="Arial"/>
              </w:rPr>
              <w:t>Asset retirement obligations (1)</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bottom"/>
          </w:tcPr>
          <w:p>
            <w:pPr>
              <w:pStyle w:val="TableContents"/>
              <w:spacing w:before="0" w:after="283"/>
              <w:jc w:val="right"/>
              <w:rPr>
                <w:rFonts w:ascii="Arial" w:hAnsi="Arial"/>
              </w:rPr>
            </w:pPr>
            <w:r>
              <w:rPr>
                <w:rFonts w:ascii="Arial" w:hAnsi="Arial"/>
              </w:rPr>
              <w:t>92</w:t>
            </w:r>
          </w:p>
        </w:tc>
        <w:tc>
          <w:tcPr>
            <w:tcW w:w="90"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bottom"/>
          </w:tcPr>
          <w:p>
            <w:pPr>
              <w:pStyle w:val="TableContents"/>
              <w:spacing w:before="0" w:after="283"/>
              <w:jc w:val="right"/>
              <w:rPr>
                <w:rFonts w:ascii="Arial" w:hAnsi="Arial"/>
              </w:rPr>
            </w:pPr>
            <w:r>
              <w:rPr>
                <w:rFonts w:ascii="Arial" w:hAnsi="Arial"/>
              </w:rPr>
              <w:t>88</w:t>
            </w:r>
          </w:p>
        </w:tc>
        <w:tc>
          <w:tcPr>
            <w:tcW w:w="90" w:type="dxa"/>
            <w:tcBorders/>
            <w:shd w:fill="FFFFFF" w:val="clear"/>
            <w:vAlign w:val="center"/>
          </w:tcPr>
          <w:p>
            <w:pPr>
              <w:pStyle w:val="TableContents"/>
              <w:spacing w:before="0" w:after="283"/>
              <w:rPr/>
            </w:pPr>
            <w:r>
              <w:rPr/>
              <w:t> </w:t>
            </w:r>
          </w:p>
        </w:tc>
      </w:tr>
      <w:tr>
        <w:trPr/>
        <w:tc>
          <w:tcPr>
            <w:tcW w:w="1169" w:type="dxa"/>
            <w:tcBorders/>
            <w:shd w:fill="E5FFFF" w:val="clear"/>
            <w:vAlign w:val="bottom"/>
          </w:tcPr>
          <w:p>
            <w:pPr>
              <w:pStyle w:val="TableContents"/>
              <w:spacing w:before="0" w:after="283"/>
              <w:jc w:val="left"/>
              <w:rPr/>
            </w:pPr>
            <w:r>
              <w:rPr/>
              <w:t>             </w:t>
            </w:r>
          </w:p>
        </w:tc>
        <w:tc>
          <w:tcPr>
            <w:tcW w:w="5812" w:type="dxa"/>
            <w:tcBorders/>
            <w:shd w:fill="E5FFFF" w:val="clear"/>
            <w:vAlign w:val="bottom"/>
          </w:tcPr>
          <w:p>
            <w:pPr>
              <w:pStyle w:val="TableContents"/>
              <w:spacing w:before="0" w:after="283"/>
              <w:jc w:val="left"/>
              <w:rPr>
                <w:rFonts w:ascii="Arial" w:hAnsi="Arial"/>
              </w:rPr>
            </w:pPr>
            <w:r>
              <w:rPr>
                <w:rFonts w:ascii="Arial" w:hAnsi="Arial"/>
              </w:rPr>
              <w:t>Deferred income</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TableContents"/>
              <w:spacing w:before="0" w:after="283"/>
              <w:jc w:val="right"/>
              <w:rPr>
                <w:rFonts w:ascii="Arial" w:hAnsi="Arial"/>
              </w:rPr>
            </w:pPr>
            <w:r>
              <w:rPr>
                <w:rFonts w:ascii="Arial" w:hAnsi="Arial"/>
              </w:rPr>
              <w:t>56</w:t>
            </w:r>
          </w:p>
        </w:tc>
        <w:tc>
          <w:tcPr>
            <w:tcW w:w="90"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TableContents"/>
              <w:spacing w:before="0" w:after="283"/>
              <w:jc w:val="right"/>
              <w:rPr>
                <w:rFonts w:ascii="Arial" w:hAnsi="Arial"/>
              </w:rPr>
            </w:pPr>
            <w:r>
              <w:rPr>
                <w:rFonts w:ascii="Arial" w:hAnsi="Arial"/>
              </w:rPr>
              <w:t>28</w:t>
            </w:r>
          </w:p>
        </w:tc>
        <w:tc>
          <w:tcPr>
            <w:tcW w:w="90" w:type="dxa"/>
            <w:tcBorders/>
            <w:shd w:fill="E5FFFF" w:val="clear"/>
            <w:vAlign w:val="center"/>
          </w:tcPr>
          <w:p>
            <w:pPr>
              <w:pStyle w:val="TableContents"/>
              <w:spacing w:before="0" w:after="283"/>
              <w:rPr/>
            </w:pPr>
            <w:r>
              <w:rPr/>
              <w:t> </w:t>
            </w:r>
          </w:p>
        </w:tc>
      </w:tr>
      <w:tr>
        <w:trPr/>
        <w:tc>
          <w:tcPr>
            <w:tcW w:w="1169" w:type="dxa"/>
            <w:tcBorders/>
            <w:shd w:fill="FFFFFF" w:val="clear"/>
            <w:vAlign w:val="bottom"/>
          </w:tcPr>
          <w:p>
            <w:pPr>
              <w:pStyle w:val="TableContents"/>
              <w:spacing w:before="0" w:after="283"/>
              <w:jc w:val="left"/>
              <w:rPr/>
            </w:pPr>
            <w:r>
              <w:rPr/>
              <w:t>             </w:t>
            </w:r>
          </w:p>
        </w:tc>
        <w:tc>
          <w:tcPr>
            <w:tcW w:w="5812" w:type="dxa"/>
            <w:tcBorders/>
            <w:shd w:fill="FFFFFF" w:val="clear"/>
            <w:vAlign w:val="bottom"/>
          </w:tcPr>
          <w:p>
            <w:pPr>
              <w:pStyle w:val="TableContents"/>
              <w:spacing w:before="0" w:after="283"/>
              <w:jc w:val="left"/>
              <w:rPr>
                <w:rFonts w:ascii="Arial" w:hAnsi="Arial"/>
              </w:rPr>
            </w:pPr>
            <w:r>
              <w:rPr>
                <w:rFonts w:ascii="Arial" w:hAnsi="Arial"/>
              </w:rPr>
              <w:t>Other</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bottom"/>
          </w:tcPr>
          <w:p>
            <w:pPr>
              <w:pStyle w:val="TableContents"/>
              <w:spacing w:before="0" w:after="283"/>
              <w:jc w:val="right"/>
              <w:rPr>
                <w:rFonts w:ascii="Arial" w:hAnsi="Arial"/>
              </w:rPr>
            </w:pPr>
            <w:r>
              <w:rPr>
                <w:rFonts w:ascii="Arial" w:hAnsi="Arial"/>
              </w:rPr>
              <w:t>288</w:t>
            </w:r>
          </w:p>
        </w:tc>
        <w:tc>
          <w:tcPr>
            <w:tcW w:w="90"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bottom"/>
          </w:tcPr>
          <w:p>
            <w:pPr>
              <w:pStyle w:val="TableContents"/>
              <w:spacing w:before="0" w:after="283"/>
              <w:jc w:val="right"/>
              <w:rPr>
                <w:rFonts w:ascii="Arial" w:hAnsi="Arial"/>
              </w:rPr>
            </w:pPr>
            <w:r>
              <w:rPr>
                <w:rFonts w:ascii="Arial" w:hAnsi="Arial"/>
              </w:rPr>
              <w:t>298</w:t>
            </w:r>
          </w:p>
        </w:tc>
        <w:tc>
          <w:tcPr>
            <w:tcW w:w="90" w:type="dxa"/>
            <w:tcBorders/>
            <w:shd w:fill="FFFFFF" w:val="clear"/>
            <w:vAlign w:val="center"/>
          </w:tcPr>
          <w:p>
            <w:pPr>
              <w:pStyle w:val="TableContents"/>
              <w:spacing w:before="0" w:after="283"/>
              <w:rPr/>
            </w:pPr>
            <w:r>
              <w:rPr/>
              <w:t> </w:t>
            </w:r>
          </w:p>
        </w:tc>
      </w:tr>
      <w:tr>
        <w:trPr/>
        <w:tc>
          <w:tcPr>
            <w:tcW w:w="1169" w:type="dxa"/>
            <w:tcBorders/>
            <w:shd w:fill="E5FFFF" w:val="clear"/>
            <w:vAlign w:val="center"/>
          </w:tcPr>
          <w:p>
            <w:pPr>
              <w:pStyle w:val="TableContents"/>
              <w:spacing w:before="0" w:after="283"/>
              <w:rPr/>
            </w:pPr>
            <w:r>
              <w:rPr/>
              <w:t> </w:t>
            </w:r>
          </w:p>
        </w:tc>
        <w:tc>
          <w:tcPr>
            <w:tcW w:w="5812"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HorizontalLine"/>
              <w:pBdr>
                <w:bottom w:val="single" w:sz="6" w:space="0" w:color="000000"/>
              </w:pBdr>
              <w:spacing w:before="0" w:after="283"/>
              <w:rPr/>
            </w:pPr>
            <w:r>
              <w:rPr/>
            </w:r>
          </w:p>
        </w:tc>
        <w:tc>
          <w:tcPr>
            <w:tcW w:w="90"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HorizontalLine"/>
              <w:pBdr>
                <w:bottom w:val="single" w:sz="6" w:space="0" w:color="000000"/>
              </w:pBdr>
              <w:spacing w:before="0" w:after="283"/>
              <w:rPr/>
            </w:pPr>
            <w:r>
              <w:rPr/>
            </w:r>
          </w:p>
        </w:tc>
        <w:tc>
          <w:tcPr>
            <w:tcW w:w="90" w:type="dxa"/>
            <w:tcBorders/>
            <w:shd w:fill="E5FFFF" w:val="clear"/>
            <w:vAlign w:val="center"/>
          </w:tcPr>
          <w:p>
            <w:pPr>
              <w:pStyle w:val="TableContents"/>
              <w:spacing w:before="0" w:after="283"/>
              <w:rPr/>
            </w:pPr>
            <w:r>
              <w:rPr/>
              <w:t> </w:t>
            </w:r>
          </w:p>
        </w:tc>
      </w:tr>
      <w:tr>
        <w:trPr/>
        <w:tc>
          <w:tcPr>
            <w:tcW w:w="1169" w:type="dxa"/>
            <w:tcBorders/>
            <w:shd w:fill="FFFFFF" w:val="clear"/>
            <w:vAlign w:val="bottom"/>
          </w:tcPr>
          <w:p>
            <w:pPr>
              <w:pStyle w:val="TableContents"/>
              <w:spacing w:before="0" w:after="283"/>
              <w:jc w:val="left"/>
              <w:rPr/>
            </w:pPr>
            <w:r>
              <w:rPr/>
              <w:t>             </w:t>
            </w:r>
          </w:p>
        </w:tc>
        <w:tc>
          <w:tcPr>
            <w:tcW w:w="5812" w:type="dxa"/>
            <w:tcBorders/>
            <w:shd w:fill="FFFFFF" w:val="clear"/>
            <w:vAlign w:val="bottom"/>
          </w:tcPr>
          <w:p>
            <w:pPr>
              <w:pStyle w:val="TableContents"/>
              <w:spacing w:before="0" w:after="283"/>
              <w:rPr>
                <w:sz w:val="4"/>
                <w:szCs w:val="4"/>
              </w:rPr>
            </w:pPr>
            <w:r>
              <w:rPr>
                <w:sz w:val="4"/>
                <w:szCs w:val="4"/>
              </w:rPr>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bottom"/>
          </w:tcPr>
          <w:p>
            <w:pPr>
              <w:pStyle w:val="TableContents"/>
              <w:spacing w:before="0" w:after="283"/>
              <w:jc w:val="right"/>
              <w:rPr>
                <w:rFonts w:ascii="Arial" w:hAnsi="Arial"/>
              </w:rPr>
            </w:pPr>
            <w:r>
              <w:rPr>
                <w:rFonts w:ascii="Arial" w:hAnsi="Arial"/>
              </w:rPr>
              <w:t>$</w:t>
            </w:r>
          </w:p>
        </w:tc>
        <w:tc>
          <w:tcPr>
            <w:tcW w:w="930" w:type="dxa"/>
            <w:tcBorders/>
            <w:shd w:fill="FFFFFF" w:val="clear"/>
            <w:vAlign w:val="bottom"/>
          </w:tcPr>
          <w:p>
            <w:pPr>
              <w:pStyle w:val="TableContents"/>
              <w:spacing w:before="0" w:after="283"/>
              <w:jc w:val="right"/>
              <w:rPr>
                <w:rFonts w:ascii="Arial" w:hAnsi="Arial"/>
              </w:rPr>
            </w:pPr>
            <w:r>
              <w:rPr>
                <w:rFonts w:ascii="Arial" w:hAnsi="Arial"/>
              </w:rPr>
              <w:t>3,473</w:t>
            </w:r>
          </w:p>
        </w:tc>
        <w:tc>
          <w:tcPr>
            <w:tcW w:w="90"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232" w:type="dxa"/>
            <w:tcBorders/>
            <w:shd w:fill="FFFFFF" w:val="clear"/>
            <w:vAlign w:val="bottom"/>
          </w:tcPr>
          <w:p>
            <w:pPr>
              <w:pStyle w:val="TableContents"/>
              <w:spacing w:before="0" w:after="283"/>
              <w:jc w:val="right"/>
              <w:rPr>
                <w:rFonts w:ascii="Arial" w:hAnsi="Arial"/>
              </w:rPr>
            </w:pPr>
            <w:r>
              <w:rPr>
                <w:rFonts w:ascii="Arial" w:hAnsi="Arial"/>
              </w:rPr>
              <w:t>$</w:t>
            </w:r>
          </w:p>
        </w:tc>
        <w:tc>
          <w:tcPr>
            <w:tcW w:w="930" w:type="dxa"/>
            <w:tcBorders/>
            <w:shd w:fill="FFFFFF" w:val="clear"/>
            <w:vAlign w:val="bottom"/>
          </w:tcPr>
          <w:p>
            <w:pPr>
              <w:pStyle w:val="TableContents"/>
              <w:spacing w:before="0" w:after="283"/>
              <w:jc w:val="right"/>
              <w:rPr>
                <w:rFonts w:ascii="Arial" w:hAnsi="Arial"/>
              </w:rPr>
            </w:pPr>
            <w:r>
              <w:rPr>
                <w:rFonts w:ascii="Arial" w:hAnsi="Arial"/>
              </w:rPr>
              <w:t>3,690</w:t>
            </w:r>
          </w:p>
        </w:tc>
        <w:tc>
          <w:tcPr>
            <w:tcW w:w="90" w:type="dxa"/>
            <w:tcBorders/>
            <w:shd w:fill="FFFFFF" w:val="clear"/>
            <w:vAlign w:val="center"/>
          </w:tcPr>
          <w:p>
            <w:pPr>
              <w:pStyle w:val="TableContents"/>
              <w:spacing w:before="0" w:after="283"/>
              <w:rPr/>
            </w:pPr>
            <w:r>
              <w:rPr/>
              <w:t> </w:t>
            </w:r>
          </w:p>
        </w:tc>
      </w:tr>
      <w:tr>
        <w:trPr/>
        <w:tc>
          <w:tcPr>
            <w:tcW w:w="1169" w:type="dxa"/>
            <w:tcBorders/>
            <w:shd w:fill="E5FFFF" w:val="clear"/>
            <w:vAlign w:val="center"/>
          </w:tcPr>
          <w:p>
            <w:pPr>
              <w:pStyle w:val="TableContents"/>
              <w:spacing w:before="0" w:after="283"/>
              <w:rPr/>
            </w:pPr>
            <w:r>
              <w:rPr/>
              <w:t> </w:t>
            </w:r>
          </w:p>
        </w:tc>
        <w:tc>
          <w:tcPr>
            <w:tcW w:w="5812"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HorizontalLine"/>
              <w:pBdr>
                <w:bottom w:val="single" w:sz="18" w:space="0" w:color="000000"/>
              </w:pBdr>
              <w:spacing w:before="0" w:after="283"/>
              <w:rPr/>
            </w:pPr>
            <w:r>
              <w:rPr/>
            </w:r>
          </w:p>
        </w:tc>
        <w:tc>
          <w:tcPr>
            <w:tcW w:w="90"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232" w:type="dxa"/>
            <w:tcBorders/>
            <w:shd w:fill="E5FFFF" w:val="clear"/>
            <w:vAlign w:val="center"/>
          </w:tcPr>
          <w:p>
            <w:pPr>
              <w:pStyle w:val="TableContents"/>
              <w:spacing w:before="0" w:after="283"/>
              <w:rPr/>
            </w:pPr>
            <w:r>
              <w:rPr/>
              <w:t> </w:t>
            </w:r>
          </w:p>
        </w:tc>
        <w:tc>
          <w:tcPr>
            <w:tcW w:w="930" w:type="dxa"/>
            <w:tcBorders/>
            <w:shd w:fill="E5FFFF" w:val="clear"/>
            <w:vAlign w:val="bottom"/>
          </w:tcPr>
          <w:p>
            <w:pPr>
              <w:pStyle w:val="HorizontalLine"/>
              <w:pBdr>
                <w:bottom w:val="single" w:sz="18" w:space="0" w:color="000000"/>
              </w:pBdr>
              <w:spacing w:before="0" w:after="283"/>
              <w:rPr/>
            </w:pPr>
            <w:r>
              <w:rPr/>
            </w:r>
          </w:p>
        </w:tc>
        <w:tc>
          <w:tcPr>
            <w:tcW w:w="90" w:type="dxa"/>
            <w:tcBorders/>
            <w:shd w:fill="E5FFFF" w:val="clear"/>
            <w:vAlign w:val="center"/>
          </w:tcPr>
          <w:p>
            <w:pPr>
              <w:pStyle w:val="TableContents"/>
              <w:spacing w:before="0" w:after="283"/>
              <w:rPr/>
            </w:pPr>
            <w:r>
              <w:rPr/>
              <w:t> </w:t>
            </w:r>
          </w:p>
        </w:tc>
      </w:tr>
      <w:tr>
        <w:trPr/>
        <w:tc>
          <w:tcPr>
            <w:tcW w:w="1169" w:type="dxa"/>
            <w:tcBorders/>
            <w:shd w:fill="FFFFFF" w:val="clear"/>
            <w:vAlign w:val="bottom"/>
          </w:tcPr>
          <w:p>
            <w:pPr>
              <w:pStyle w:val="TableContents"/>
              <w:spacing w:before="0" w:after="283"/>
              <w:jc w:val="left"/>
              <w:rPr/>
            </w:pPr>
            <w:r>
              <w:rPr/>
              <w:t>             </w:t>
            </w:r>
          </w:p>
        </w:tc>
        <w:tc>
          <w:tcPr>
            <w:tcW w:w="5812" w:type="dxa"/>
            <w:tcBorders/>
            <w:shd w:fill="FFFFFF" w:val="clear"/>
            <w:vAlign w:val="bottom"/>
          </w:tcPr>
          <w:p>
            <w:pPr>
              <w:pStyle w:val="TableContents"/>
              <w:spacing w:before="0" w:after="283"/>
              <w:rPr>
                <w:sz w:val="4"/>
                <w:szCs w:val="4"/>
              </w:rPr>
            </w:pPr>
            <w:r>
              <w:rPr>
                <w:sz w:val="4"/>
                <w:szCs w:val="4"/>
              </w:rPr>
            </w:r>
          </w:p>
        </w:tc>
        <w:tc>
          <w:tcPr>
            <w:tcW w:w="360"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rPr/>
            </w:pPr>
            <w:r>
              <w:rPr/>
              <w:t> </w:t>
            </w:r>
          </w:p>
        </w:tc>
        <w:tc>
          <w:tcPr>
            <w:tcW w:w="93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53"/>
        <w:gridCol w:w="180"/>
        <w:gridCol w:w="9772"/>
      </w:tblGrid>
      <w:tr>
        <w:trPr/>
        <w:tc>
          <w:tcPr>
            <w:tcW w:w="253"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72" w:type="dxa"/>
            <w:tcBorders/>
            <w:shd w:fill="FFFFFF" w:val="clear"/>
            <w:vAlign w:val="center"/>
          </w:tcPr>
          <w:p>
            <w:pPr>
              <w:pStyle w:val="TableContents"/>
              <w:spacing w:before="0" w:after="283"/>
              <w:rPr/>
            </w:pPr>
            <w:r>
              <w:rPr/>
              <w:t> </w:t>
            </w:r>
          </w:p>
        </w:tc>
      </w:tr>
      <w:tr>
        <w:trPr/>
        <w:tc>
          <w:tcPr>
            <w:tcW w:w="253"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72" w:type="dxa"/>
            <w:tcBorders/>
            <w:shd w:fill="FFFFFF" w:val="clear"/>
            <w:vAlign w:val="bottom"/>
          </w:tcPr>
          <w:p>
            <w:pPr>
              <w:pStyle w:val="TableContents"/>
              <w:spacing w:before="0" w:after="283"/>
              <w:jc w:val="left"/>
              <w:rPr>
                <w:rFonts w:ascii="Arial" w:hAnsi="Arial"/>
              </w:rPr>
            </w:pPr>
            <w:r>
              <w:rPr>
                <w:rFonts w:ascii="Arial" w:hAnsi="Arial"/>
              </w:rPr>
              <w:t>Asset retirement obligations primarily relate to costs associated with the future retirement of nuclear fuel conversion facilities in our Specialty Materials reportable segment and the future retirement of facilities in our Automation and Control Solutions reportable segment.</w:t>
            </w:r>
          </w:p>
        </w:tc>
      </w:tr>
    </w:tbl>
    <w:p>
      <w:pPr>
        <w:pStyle w:val="TextBody"/>
        <w:jc w:val="left"/>
        <w:rPr/>
      </w:pPr>
      <w:r>
        <w:rPr/>
        <w:t>      </w:t>
      </w:r>
      <w:r>
        <w:rPr>
          <w:rFonts w:ascii="Arial" w:hAnsi="Arial"/>
        </w:rPr>
        <w:t>A reconciliation of our liability for asset retirement obligations for the year ended December 31, 2006, is as follows:</w:t>
      </w:r>
    </w:p>
    <w:tbl>
      <w:tblPr>
        <w:tblW w:w="5000" w:type="pct"/>
        <w:jc w:val="left"/>
        <w:tblInd w:w="0" w:type="dxa"/>
        <w:tblCellMar>
          <w:top w:w="0" w:type="dxa"/>
          <w:left w:w="0" w:type="dxa"/>
          <w:bottom w:w="0" w:type="dxa"/>
          <w:right w:w="0" w:type="dxa"/>
        </w:tblCellMar>
      </w:tblPr>
      <w:tblGrid>
        <w:gridCol w:w="1631"/>
        <w:gridCol w:w="6943"/>
        <w:gridCol w:w="501"/>
        <w:gridCol w:w="325"/>
        <w:gridCol w:w="606"/>
        <w:gridCol w:w="199"/>
      </w:tblGrid>
      <w:tr>
        <w:trPr/>
        <w:tc>
          <w:tcPr>
            <w:tcW w:w="1631" w:type="dxa"/>
            <w:tcBorders/>
            <w:shd w:fill="E5FFFF" w:val="clear"/>
            <w:vAlign w:val="bottom"/>
          </w:tcPr>
          <w:p>
            <w:pPr>
              <w:pStyle w:val="TableContents"/>
              <w:spacing w:before="0" w:after="283"/>
              <w:jc w:val="left"/>
              <w:rPr/>
            </w:pPr>
            <w:r>
              <w:rPr/>
              <w:t>             </w:t>
            </w:r>
          </w:p>
        </w:tc>
        <w:tc>
          <w:tcPr>
            <w:tcW w:w="6943" w:type="dxa"/>
            <w:tcBorders/>
            <w:shd w:fill="E5FFFF" w:val="clear"/>
            <w:vAlign w:val="bottom"/>
          </w:tcPr>
          <w:p>
            <w:pPr>
              <w:pStyle w:val="TableContents"/>
              <w:spacing w:before="0" w:after="283"/>
              <w:jc w:val="left"/>
              <w:rPr>
                <w:rFonts w:ascii="Arial" w:hAnsi="Arial"/>
              </w:rPr>
            </w:pPr>
            <w:r>
              <w:rPr>
                <w:rFonts w:ascii="Arial" w:hAnsi="Arial"/>
              </w:rPr>
              <w:t>Balance at December 31, 2005</w:t>
            </w:r>
          </w:p>
        </w:tc>
        <w:tc>
          <w:tcPr>
            <w:tcW w:w="501" w:type="dxa"/>
            <w:tcBorders/>
            <w:shd w:fill="E5FFFF" w:val="clear"/>
            <w:vAlign w:val="bottom"/>
          </w:tcPr>
          <w:p>
            <w:pPr>
              <w:pStyle w:val="TableContents"/>
              <w:spacing w:before="0" w:after="283"/>
              <w:jc w:val="right"/>
              <w:rPr/>
            </w:pPr>
            <w:r>
              <w:rPr/>
              <w:t>    </w:t>
            </w:r>
          </w:p>
        </w:tc>
        <w:tc>
          <w:tcPr>
            <w:tcW w:w="325" w:type="dxa"/>
            <w:tcBorders/>
            <w:shd w:fill="E5FFFF" w:val="clear"/>
            <w:vAlign w:val="bottom"/>
          </w:tcPr>
          <w:p>
            <w:pPr>
              <w:pStyle w:val="TableContents"/>
              <w:spacing w:before="0" w:after="283"/>
              <w:jc w:val="right"/>
              <w:rPr>
                <w:rFonts w:ascii="Arial" w:hAnsi="Arial"/>
              </w:rPr>
            </w:pPr>
            <w:r>
              <w:rPr>
                <w:rFonts w:ascii="Arial" w:hAnsi="Arial"/>
              </w:rPr>
              <w:t>$</w:t>
            </w:r>
          </w:p>
        </w:tc>
        <w:tc>
          <w:tcPr>
            <w:tcW w:w="606" w:type="dxa"/>
            <w:tcBorders/>
            <w:shd w:fill="E5FFFF" w:val="clear"/>
            <w:vAlign w:val="bottom"/>
          </w:tcPr>
          <w:p>
            <w:pPr>
              <w:pStyle w:val="TableContents"/>
              <w:spacing w:before="0" w:after="283"/>
              <w:jc w:val="right"/>
              <w:rPr>
                <w:rFonts w:ascii="Arial" w:hAnsi="Arial"/>
              </w:rPr>
            </w:pPr>
            <w:r>
              <w:rPr>
                <w:rFonts w:ascii="Arial" w:hAnsi="Arial"/>
              </w:rPr>
              <w:t>88</w:t>
            </w:r>
          </w:p>
        </w:tc>
        <w:tc>
          <w:tcPr>
            <w:tcW w:w="199" w:type="dxa"/>
            <w:tcBorders/>
            <w:shd w:fill="E5FFFF" w:val="clear"/>
            <w:vAlign w:val="center"/>
          </w:tcPr>
          <w:p>
            <w:pPr>
              <w:pStyle w:val="TableContents"/>
              <w:spacing w:before="0" w:after="283"/>
              <w:rPr/>
            </w:pPr>
            <w:r>
              <w:rPr/>
              <w:t> </w:t>
            </w:r>
          </w:p>
        </w:tc>
      </w:tr>
      <w:tr>
        <w:trPr/>
        <w:tc>
          <w:tcPr>
            <w:tcW w:w="1631" w:type="dxa"/>
            <w:tcBorders/>
            <w:shd w:fill="FFFFFF" w:val="clear"/>
            <w:vAlign w:val="bottom"/>
          </w:tcPr>
          <w:p>
            <w:pPr>
              <w:pStyle w:val="TableContents"/>
              <w:spacing w:before="0" w:after="283"/>
              <w:jc w:val="left"/>
              <w:rPr/>
            </w:pPr>
            <w:r>
              <w:rPr/>
              <w:t>             </w:t>
            </w:r>
          </w:p>
        </w:tc>
        <w:tc>
          <w:tcPr>
            <w:tcW w:w="6943" w:type="dxa"/>
            <w:tcBorders/>
            <w:shd w:fill="FFFFFF" w:val="clear"/>
            <w:vAlign w:val="bottom"/>
          </w:tcPr>
          <w:p>
            <w:pPr>
              <w:pStyle w:val="TableContents"/>
              <w:spacing w:before="0" w:after="283"/>
              <w:jc w:val="left"/>
              <w:rPr>
                <w:rFonts w:ascii="Arial" w:hAnsi="Arial"/>
              </w:rPr>
            </w:pPr>
            <w:r>
              <w:rPr>
                <w:rFonts w:ascii="Arial" w:hAnsi="Arial"/>
              </w:rPr>
              <w:t>Liabilities settled</w:t>
            </w:r>
          </w:p>
        </w:tc>
        <w:tc>
          <w:tcPr>
            <w:tcW w:w="501"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606" w:type="dxa"/>
            <w:tcBorders/>
            <w:shd w:fill="FFFFFF" w:val="clear"/>
            <w:vAlign w:val="bottom"/>
          </w:tcPr>
          <w:p>
            <w:pPr>
              <w:pStyle w:val="TableContents"/>
              <w:spacing w:before="0" w:after="283"/>
              <w:jc w:val="right"/>
              <w:rPr>
                <w:rFonts w:ascii="Arial" w:hAnsi="Arial"/>
              </w:rPr>
            </w:pPr>
            <w:r>
              <w:rPr>
                <w:rFonts w:ascii="Arial" w:hAnsi="Arial"/>
              </w:rPr>
              <w:t>(3</w:t>
            </w:r>
          </w:p>
        </w:tc>
        <w:tc>
          <w:tcPr>
            <w:tcW w:w="19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1631" w:type="dxa"/>
            <w:tcBorders/>
            <w:shd w:fill="E5FFFF" w:val="clear"/>
            <w:vAlign w:val="bottom"/>
          </w:tcPr>
          <w:p>
            <w:pPr>
              <w:pStyle w:val="TableContents"/>
              <w:spacing w:before="0" w:after="283"/>
              <w:jc w:val="left"/>
              <w:rPr/>
            </w:pPr>
            <w:r>
              <w:rPr/>
              <w:t>             </w:t>
            </w:r>
          </w:p>
        </w:tc>
        <w:tc>
          <w:tcPr>
            <w:tcW w:w="6943" w:type="dxa"/>
            <w:tcBorders/>
            <w:shd w:fill="E5FFFF" w:val="clear"/>
            <w:vAlign w:val="bottom"/>
          </w:tcPr>
          <w:p>
            <w:pPr>
              <w:pStyle w:val="TableContents"/>
              <w:spacing w:before="0" w:after="283"/>
              <w:jc w:val="left"/>
              <w:rPr>
                <w:rFonts w:ascii="Arial" w:hAnsi="Arial"/>
              </w:rPr>
            </w:pPr>
            <w:r>
              <w:rPr>
                <w:rFonts w:ascii="Arial" w:hAnsi="Arial"/>
              </w:rPr>
              <w:t>Adjustments</w:t>
            </w:r>
          </w:p>
        </w:tc>
        <w:tc>
          <w:tcPr>
            <w:tcW w:w="501"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606" w:type="dxa"/>
            <w:tcBorders/>
            <w:shd w:fill="E5FFFF" w:val="clear"/>
            <w:vAlign w:val="bottom"/>
          </w:tcPr>
          <w:p>
            <w:pPr>
              <w:pStyle w:val="TableContents"/>
              <w:spacing w:before="0" w:after="283"/>
              <w:jc w:val="right"/>
              <w:rPr>
                <w:rFonts w:ascii="Arial" w:hAnsi="Arial"/>
              </w:rPr>
            </w:pPr>
            <w:r>
              <w:rPr>
                <w:rFonts w:ascii="Arial" w:hAnsi="Arial"/>
              </w:rPr>
              <w:t>2</w:t>
            </w:r>
          </w:p>
        </w:tc>
        <w:tc>
          <w:tcPr>
            <w:tcW w:w="199" w:type="dxa"/>
            <w:tcBorders/>
            <w:shd w:fill="E5FFFF" w:val="clear"/>
            <w:vAlign w:val="center"/>
          </w:tcPr>
          <w:p>
            <w:pPr>
              <w:pStyle w:val="TableContents"/>
              <w:spacing w:before="0" w:after="283"/>
              <w:rPr/>
            </w:pPr>
            <w:r>
              <w:rPr/>
              <w:t> </w:t>
            </w:r>
          </w:p>
        </w:tc>
      </w:tr>
      <w:tr>
        <w:trPr/>
        <w:tc>
          <w:tcPr>
            <w:tcW w:w="1631" w:type="dxa"/>
            <w:tcBorders/>
            <w:shd w:fill="FFFFFF" w:val="clear"/>
            <w:vAlign w:val="bottom"/>
          </w:tcPr>
          <w:p>
            <w:pPr>
              <w:pStyle w:val="TableContents"/>
              <w:spacing w:before="0" w:after="283"/>
              <w:jc w:val="left"/>
              <w:rPr/>
            </w:pPr>
            <w:r>
              <w:rPr/>
              <w:t>             </w:t>
            </w:r>
          </w:p>
        </w:tc>
        <w:tc>
          <w:tcPr>
            <w:tcW w:w="6943" w:type="dxa"/>
            <w:tcBorders/>
            <w:shd w:fill="FFFFFF" w:val="clear"/>
            <w:vAlign w:val="bottom"/>
          </w:tcPr>
          <w:p>
            <w:pPr>
              <w:pStyle w:val="TableContents"/>
              <w:spacing w:before="0" w:after="283"/>
              <w:jc w:val="left"/>
              <w:rPr>
                <w:rFonts w:ascii="Arial" w:hAnsi="Arial"/>
              </w:rPr>
            </w:pPr>
            <w:r>
              <w:rPr>
                <w:rFonts w:ascii="Arial" w:hAnsi="Arial"/>
              </w:rPr>
              <w:t>Accretion expense</w:t>
            </w:r>
          </w:p>
        </w:tc>
        <w:tc>
          <w:tcPr>
            <w:tcW w:w="501"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606" w:type="dxa"/>
            <w:tcBorders/>
            <w:shd w:fill="FFFFFF" w:val="clear"/>
            <w:vAlign w:val="bottom"/>
          </w:tcPr>
          <w:p>
            <w:pPr>
              <w:pStyle w:val="TableContents"/>
              <w:spacing w:before="0" w:after="283"/>
              <w:jc w:val="right"/>
              <w:rPr>
                <w:rFonts w:ascii="Arial" w:hAnsi="Arial"/>
              </w:rPr>
            </w:pPr>
            <w:r>
              <w:rPr>
                <w:rFonts w:ascii="Arial" w:hAnsi="Arial"/>
              </w:rPr>
              <w:t>5</w:t>
            </w:r>
          </w:p>
        </w:tc>
        <w:tc>
          <w:tcPr>
            <w:tcW w:w="199" w:type="dxa"/>
            <w:tcBorders/>
            <w:shd w:fill="FFFFFF" w:val="clear"/>
            <w:vAlign w:val="center"/>
          </w:tcPr>
          <w:p>
            <w:pPr>
              <w:pStyle w:val="TableContents"/>
              <w:spacing w:before="0" w:after="283"/>
              <w:rPr/>
            </w:pPr>
            <w:r>
              <w:rPr/>
              <w:t> </w:t>
            </w:r>
          </w:p>
        </w:tc>
      </w:tr>
      <w:tr>
        <w:trPr/>
        <w:tc>
          <w:tcPr>
            <w:tcW w:w="1631" w:type="dxa"/>
            <w:tcBorders/>
            <w:shd w:fill="E5FFFF" w:val="clear"/>
            <w:vAlign w:val="center"/>
          </w:tcPr>
          <w:p>
            <w:pPr>
              <w:pStyle w:val="TableContents"/>
              <w:spacing w:before="0" w:after="283"/>
              <w:rPr/>
            </w:pPr>
            <w:r>
              <w:rPr/>
              <w:t> </w:t>
            </w:r>
          </w:p>
        </w:tc>
        <w:tc>
          <w:tcPr>
            <w:tcW w:w="6943" w:type="dxa"/>
            <w:tcBorders/>
            <w:shd w:fill="E5FFFF" w:val="clear"/>
            <w:vAlign w:val="center"/>
          </w:tcPr>
          <w:p>
            <w:pPr>
              <w:pStyle w:val="TableContents"/>
              <w:spacing w:before="0" w:after="283"/>
              <w:rPr/>
            </w:pPr>
            <w:r>
              <w:rPr/>
              <w:t> </w:t>
            </w:r>
          </w:p>
        </w:tc>
        <w:tc>
          <w:tcPr>
            <w:tcW w:w="501"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606" w:type="dxa"/>
            <w:tcBorders/>
            <w:shd w:fill="E5FFFF" w:val="clear"/>
            <w:vAlign w:val="bottom"/>
          </w:tcPr>
          <w:p>
            <w:pPr>
              <w:pStyle w:val="HorizontalLine"/>
              <w:pBdr>
                <w:bottom w:val="single" w:sz="6" w:space="0" w:color="000000"/>
              </w:pBdr>
              <w:spacing w:before="0" w:after="283"/>
              <w:rPr/>
            </w:pPr>
            <w:r>
              <w:rPr/>
            </w:r>
          </w:p>
        </w:tc>
        <w:tc>
          <w:tcPr>
            <w:tcW w:w="199" w:type="dxa"/>
            <w:tcBorders/>
            <w:shd w:fill="E5FFFF" w:val="clear"/>
            <w:vAlign w:val="center"/>
          </w:tcPr>
          <w:p>
            <w:pPr>
              <w:pStyle w:val="TableContents"/>
              <w:spacing w:before="0" w:after="283"/>
              <w:rPr/>
            </w:pPr>
            <w:r>
              <w:rPr/>
              <w:t> </w:t>
            </w:r>
          </w:p>
        </w:tc>
      </w:tr>
      <w:tr>
        <w:trPr/>
        <w:tc>
          <w:tcPr>
            <w:tcW w:w="1631" w:type="dxa"/>
            <w:tcBorders/>
            <w:shd w:fill="FFFFFF" w:val="clear"/>
            <w:vAlign w:val="bottom"/>
          </w:tcPr>
          <w:p>
            <w:pPr>
              <w:pStyle w:val="TableContents"/>
              <w:spacing w:before="0" w:after="283"/>
              <w:jc w:val="left"/>
              <w:rPr/>
            </w:pPr>
            <w:r>
              <w:rPr/>
              <w:t>             </w:t>
            </w:r>
          </w:p>
        </w:tc>
        <w:tc>
          <w:tcPr>
            <w:tcW w:w="6943" w:type="dxa"/>
            <w:tcBorders/>
            <w:shd w:fill="FFFFFF" w:val="clear"/>
            <w:vAlign w:val="bottom"/>
          </w:tcPr>
          <w:p>
            <w:pPr>
              <w:pStyle w:val="TableContents"/>
              <w:spacing w:before="0" w:after="283"/>
              <w:jc w:val="left"/>
              <w:rPr>
                <w:rFonts w:ascii="Arial" w:hAnsi="Arial"/>
              </w:rPr>
            </w:pPr>
            <w:r>
              <w:rPr>
                <w:rFonts w:ascii="Arial" w:hAnsi="Arial"/>
              </w:rPr>
              <w:t>Balance at December 31, 2006</w:t>
            </w:r>
          </w:p>
        </w:tc>
        <w:tc>
          <w:tcPr>
            <w:tcW w:w="501" w:type="dxa"/>
            <w:tcBorders/>
            <w:shd w:fill="FFFFFF" w:val="clear"/>
            <w:vAlign w:val="bottom"/>
          </w:tcPr>
          <w:p>
            <w:pPr>
              <w:pStyle w:val="TableContents"/>
              <w:spacing w:before="0" w:after="283"/>
              <w:jc w:val="right"/>
              <w:rPr/>
            </w:pPr>
            <w:r>
              <w:rPr/>
              <w:t>    </w:t>
            </w:r>
          </w:p>
        </w:tc>
        <w:tc>
          <w:tcPr>
            <w:tcW w:w="325" w:type="dxa"/>
            <w:tcBorders/>
            <w:shd w:fill="FFFFFF" w:val="clear"/>
            <w:vAlign w:val="bottom"/>
          </w:tcPr>
          <w:p>
            <w:pPr>
              <w:pStyle w:val="TableContents"/>
              <w:spacing w:before="0" w:after="283"/>
              <w:jc w:val="right"/>
              <w:rPr>
                <w:rFonts w:ascii="Arial" w:hAnsi="Arial"/>
              </w:rPr>
            </w:pPr>
            <w:r>
              <w:rPr>
                <w:rFonts w:ascii="Arial" w:hAnsi="Arial"/>
              </w:rPr>
              <w:t>$</w:t>
            </w:r>
          </w:p>
        </w:tc>
        <w:tc>
          <w:tcPr>
            <w:tcW w:w="606" w:type="dxa"/>
            <w:tcBorders/>
            <w:shd w:fill="FFFFFF" w:val="clear"/>
            <w:vAlign w:val="bottom"/>
          </w:tcPr>
          <w:p>
            <w:pPr>
              <w:pStyle w:val="TableContents"/>
              <w:spacing w:before="0" w:after="283"/>
              <w:jc w:val="right"/>
              <w:rPr>
                <w:rFonts w:ascii="Arial" w:hAnsi="Arial"/>
              </w:rPr>
            </w:pPr>
            <w:r>
              <w:rPr>
                <w:rFonts w:ascii="Arial" w:hAnsi="Arial"/>
              </w:rPr>
              <w:t>92</w:t>
            </w:r>
          </w:p>
        </w:tc>
        <w:tc>
          <w:tcPr>
            <w:tcW w:w="199" w:type="dxa"/>
            <w:tcBorders/>
            <w:shd w:fill="FFFFFF" w:val="clear"/>
            <w:vAlign w:val="center"/>
          </w:tcPr>
          <w:p>
            <w:pPr>
              <w:pStyle w:val="TableContents"/>
              <w:spacing w:before="0" w:after="283"/>
              <w:rPr/>
            </w:pPr>
            <w:r>
              <w:rPr/>
              <w:t> </w:t>
            </w:r>
          </w:p>
        </w:tc>
      </w:tr>
      <w:tr>
        <w:trPr/>
        <w:tc>
          <w:tcPr>
            <w:tcW w:w="1631" w:type="dxa"/>
            <w:tcBorders/>
            <w:shd w:fill="E5FFFF" w:val="clear"/>
            <w:vAlign w:val="center"/>
          </w:tcPr>
          <w:p>
            <w:pPr>
              <w:pStyle w:val="TableContents"/>
              <w:spacing w:before="0" w:after="283"/>
              <w:rPr/>
            </w:pPr>
            <w:r>
              <w:rPr/>
              <w:t> </w:t>
            </w:r>
          </w:p>
        </w:tc>
        <w:tc>
          <w:tcPr>
            <w:tcW w:w="6943" w:type="dxa"/>
            <w:tcBorders/>
            <w:shd w:fill="E5FFFF" w:val="clear"/>
            <w:vAlign w:val="center"/>
          </w:tcPr>
          <w:p>
            <w:pPr>
              <w:pStyle w:val="TableContents"/>
              <w:spacing w:before="0" w:after="283"/>
              <w:rPr/>
            </w:pPr>
            <w:r>
              <w:rPr/>
              <w:t> </w:t>
            </w:r>
          </w:p>
        </w:tc>
        <w:tc>
          <w:tcPr>
            <w:tcW w:w="501"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606" w:type="dxa"/>
            <w:tcBorders/>
            <w:shd w:fill="E5FFFF" w:val="clear"/>
            <w:vAlign w:val="bottom"/>
          </w:tcPr>
          <w:p>
            <w:pPr>
              <w:pStyle w:val="HorizontalLine"/>
              <w:pBdr>
                <w:bottom w:val="single" w:sz="18" w:space="0" w:color="000000"/>
              </w:pBdr>
              <w:spacing w:before="0" w:after="283"/>
              <w:rPr/>
            </w:pPr>
            <w:r>
              <w:rPr/>
            </w:r>
          </w:p>
        </w:tc>
        <w:tc>
          <w:tcPr>
            <w:tcW w:w="199" w:type="dxa"/>
            <w:tcBorders/>
            <w:shd w:fill="E5FFFF" w:val="clear"/>
            <w:vAlign w:val="center"/>
          </w:tcPr>
          <w:p>
            <w:pPr>
              <w:pStyle w:val="TableContents"/>
              <w:spacing w:before="0" w:after="283"/>
              <w:rPr/>
            </w:pPr>
            <w:r>
              <w:rPr/>
              <w:t> </w:t>
            </w:r>
          </w:p>
        </w:tc>
      </w:tr>
      <w:tr>
        <w:trPr/>
        <w:tc>
          <w:tcPr>
            <w:tcW w:w="1631" w:type="dxa"/>
            <w:tcBorders/>
            <w:shd w:fill="FFFFFF" w:val="clear"/>
            <w:vAlign w:val="bottom"/>
          </w:tcPr>
          <w:p>
            <w:pPr>
              <w:pStyle w:val="TableContents"/>
              <w:spacing w:before="0" w:after="283"/>
              <w:jc w:val="left"/>
              <w:rPr/>
            </w:pPr>
            <w:r>
              <w:rPr/>
              <w:t>             </w:t>
            </w:r>
          </w:p>
        </w:tc>
        <w:tc>
          <w:tcPr>
            <w:tcW w:w="6943" w:type="dxa"/>
            <w:tcBorders/>
            <w:shd w:fill="FFFFFF" w:val="clear"/>
            <w:vAlign w:val="bottom"/>
          </w:tcPr>
          <w:p>
            <w:pPr>
              <w:pStyle w:val="TableContents"/>
              <w:spacing w:before="0" w:after="283"/>
              <w:rPr>
                <w:sz w:val="4"/>
                <w:szCs w:val="4"/>
              </w:rPr>
            </w:pPr>
            <w:r>
              <w:rPr>
                <w:sz w:val="4"/>
                <w:szCs w:val="4"/>
              </w:rPr>
            </w:r>
          </w:p>
        </w:tc>
        <w:tc>
          <w:tcPr>
            <w:tcW w:w="501" w:type="dxa"/>
            <w:tcBorders/>
            <w:shd w:fill="FFFFFF" w:val="clear"/>
            <w:vAlign w:val="center"/>
          </w:tcPr>
          <w:p>
            <w:pPr>
              <w:pStyle w:val="TableContents"/>
              <w:spacing w:before="0" w:after="283"/>
              <w:rPr/>
            </w:pPr>
            <w:r>
              <w:rPr/>
              <w:t> </w:t>
            </w:r>
          </w:p>
        </w:tc>
        <w:tc>
          <w:tcPr>
            <w:tcW w:w="325" w:type="dxa"/>
            <w:tcBorders/>
            <w:shd w:fill="FFFFFF" w:val="clear"/>
            <w:vAlign w:val="center"/>
          </w:tcPr>
          <w:p>
            <w:pPr>
              <w:pStyle w:val="TableContents"/>
              <w:spacing w:before="0" w:after="283"/>
              <w:rPr/>
            </w:pPr>
            <w:r>
              <w:rPr/>
              <w:t> </w:t>
            </w:r>
          </w:p>
        </w:tc>
        <w:tc>
          <w:tcPr>
            <w:tcW w:w="606"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r>
    </w:tbl>
    <w:p>
      <w:pPr>
        <w:pStyle w:val="TextBody"/>
        <w:jc w:val="left"/>
        <w:rPr>
          <w:rFonts w:ascii="Arial" w:hAnsi="Arial"/>
          <w:b/>
        </w:rPr>
      </w:pPr>
      <w:r>
        <w:rPr>
          <w:rFonts w:ascii="Arial" w:hAnsi="Arial"/>
          <w:b/>
        </w:rPr>
        <w:t>Note 18—Capital Stock</w:t>
      </w:r>
    </w:p>
    <w:p>
      <w:pPr>
        <w:pStyle w:val="TextBody"/>
        <w:jc w:val="left"/>
        <w:rPr/>
      </w:pPr>
      <w:r>
        <w:rPr/>
        <w:t>      </w:t>
      </w:r>
      <w:r>
        <w:rPr>
          <w:rFonts w:ascii="Arial" w:hAnsi="Arial"/>
        </w:rPr>
        <w:t>We are authorized to issue up to 2,000,000,000 shares of common stock, with a par value of one dollar.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pStyle w:val="TextBody"/>
        <w:jc w:val="center"/>
        <w:rPr>
          <w:rFonts w:ascii="Arial" w:hAnsi="Arial"/>
        </w:rPr>
      </w:pPr>
      <w:r>
        <w:rPr>
          <w:rFonts w:ascii="Arial" w:hAnsi="Arial"/>
        </w:rPr>
        <w:t>70</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In November 2005, Honeywell's Board authorized the Company to repurchase up to $3 billion of its common stock. As of December 31, 2006, $709 million of additional shares may yet be purchased under this program. The amount and timing of repurchases may vary depending on market conditions and the level of other investing activities.</w:t>
      </w:r>
    </w:p>
    <w:p>
      <w:pPr>
        <w:pStyle w:val="TextBody"/>
        <w:jc w:val="left"/>
        <w:rPr/>
      </w:pPr>
      <w:r>
        <w:rPr/>
        <w:t>      </w:t>
      </w:r>
      <w:r>
        <w:rPr>
          <w:rFonts w:ascii="Arial" w:hAnsi="Arial"/>
        </w:rPr>
        <w:t>We are authorized to issue up to 40,000,000 shares of preferred stock, without par value, and can determine the number of shares of each series, and the rights, preferences and limitations of each series. At December 31, 2006, there was no preferred stock outstanding.</w:t>
      </w:r>
    </w:p>
    <w:p>
      <w:pPr>
        <w:pStyle w:val="TextBody"/>
        <w:jc w:val="left"/>
        <w:rPr>
          <w:rFonts w:ascii="Arial" w:hAnsi="Arial"/>
          <w:b/>
        </w:rPr>
      </w:pPr>
      <w:r>
        <w:rPr>
          <w:rFonts w:ascii="Arial" w:hAnsi="Arial"/>
          <w:b/>
        </w:rPr>
        <w:t>Note 19—Accumulated Other Comprehensive Income (Loss)</w:t>
      </w:r>
    </w:p>
    <w:p>
      <w:pPr>
        <w:pStyle w:val="TextBody"/>
        <w:jc w:val="left"/>
        <w:rPr/>
      </w:pPr>
      <w:r>
        <w:rPr/>
        <w:t>      </w:t>
      </w:r>
      <w:r>
        <w:rPr>
          <w:rFonts w:ascii="Arial" w:hAnsi="Arial"/>
        </w:rPr>
        <w:t>Total accumulated other comprehensive income (loss) is included in the Consolidated Statement of Shareowners' Equity. The changes in Accumulated Other Comprehensive Income (Loss) are as follows:</w:t>
      </w:r>
    </w:p>
    <w:tbl>
      <w:tblPr>
        <w:tblW w:w="5000" w:type="pct"/>
        <w:jc w:val="left"/>
        <w:tblInd w:w="0" w:type="dxa"/>
        <w:tblCellMar>
          <w:top w:w="0" w:type="dxa"/>
          <w:left w:w="0" w:type="dxa"/>
          <w:bottom w:w="0" w:type="dxa"/>
          <w:right w:w="0" w:type="dxa"/>
        </w:tblCellMar>
      </w:tblPr>
      <w:tblGrid>
        <w:gridCol w:w="411"/>
        <w:gridCol w:w="6040"/>
        <w:gridCol w:w="274"/>
        <w:gridCol w:w="177"/>
        <w:gridCol w:w="794"/>
        <w:gridCol w:w="109"/>
        <w:gridCol w:w="274"/>
        <w:gridCol w:w="177"/>
        <w:gridCol w:w="486"/>
        <w:gridCol w:w="108"/>
        <w:gridCol w:w="275"/>
        <w:gridCol w:w="177"/>
        <w:gridCol w:w="794"/>
        <w:gridCol w:w="109"/>
      </w:tblGrid>
      <w:tr>
        <w:trPr/>
        <w:tc>
          <w:tcPr>
            <w:tcW w:w="411" w:type="dxa"/>
            <w:tcBorders/>
            <w:shd w:fill="FFFFFF" w:val="clear"/>
            <w:vAlign w:val="center"/>
          </w:tcPr>
          <w:p>
            <w:pPr>
              <w:pStyle w:val="TableContents"/>
              <w:spacing w:before="0" w:after="283"/>
              <w:rPr/>
            </w:pPr>
            <w:r>
              <w:rPr/>
              <w:t> </w:t>
            </w:r>
          </w:p>
        </w:tc>
        <w:tc>
          <w:tcPr>
            <w:tcW w:w="6040"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1080" w:type="dxa"/>
            <w:gridSpan w:val="3"/>
            <w:tcBorders/>
            <w:shd w:fill="FFFFFF" w:val="clear"/>
            <w:vAlign w:val="bottom"/>
          </w:tcPr>
          <w:p>
            <w:pPr>
              <w:pStyle w:val="TableContents"/>
              <w:spacing w:before="0" w:after="0"/>
              <w:jc w:val="center"/>
              <w:rPr>
                <w:rFonts w:ascii="Arial" w:hAnsi="Arial"/>
                <w:b/>
              </w:rPr>
            </w:pPr>
            <w:r>
              <w:rPr>
                <w:rFonts w:ascii="Arial" w:hAnsi="Arial"/>
                <w:b/>
              </w:rPr>
              <w:t>Pretax</w:t>
            </w:r>
          </w:p>
          <w:p>
            <w:pPr>
              <w:pStyle w:val="HorizontalLine"/>
              <w:pBdr>
                <w:bottom w:val="single" w:sz="6" w:space="0" w:color="000000"/>
              </w:pBdr>
              <w:spacing w:before="0" w:after="283"/>
              <w:rPr/>
            </w:pPr>
            <w:r>
              <w:rPr/>
            </w:r>
          </w:p>
        </w:tc>
        <w:tc>
          <w:tcPr>
            <w:tcW w:w="274" w:type="dxa"/>
            <w:tcBorders/>
            <w:shd w:fill="FFFFFF" w:val="clear"/>
            <w:vAlign w:val="center"/>
          </w:tcPr>
          <w:p>
            <w:pPr>
              <w:pStyle w:val="TableContents"/>
              <w:spacing w:before="0" w:after="283"/>
              <w:rPr/>
            </w:pPr>
            <w:r>
              <w:rPr/>
              <w:t> </w:t>
            </w:r>
          </w:p>
        </w:tc>
        <w:tc>
          <w:tcPr>
            <w:tcW w:w="771" w:type="dxa"/>
            <w:gridSpan w:val="3"/>
            <w:tcBorders/>
            <w:shd w:fill="FFFFFF" w:val="clear"/>
            <w:vAlign w:val="bottom"/>
          </w:tcPr>
          <w:p>
            <w:pPr>
              <w:pStyle w:val="TableContents"/>
              <w:spacing w:before="0" w:after="0"/>
              <w:jc w:val="center"/>
              <w:rPr>
                <w:rFonts w:ascii="Arial" w:hAnsi="Arial"/>
                <w:b/>
              </w:rPr>
            </w:pPr>
            <w:r>
              <w:rPr>
                <w:rFonts w:ascii="Arial" w:hAnsi="Arial"/>
                <w:b/>
              </w:rPr>
              <w:t>Tax</w:t>
            </w:r>
          </w:p>
          <w:p>
            <w:pPr>
              <w:pStyle w:val="HorizontalLine"/>
              <w:pBdr>
                <w:bottom w:val="single" w:sz="6" w:space="0" w:color="000000"/>
              </w:pBdr>
              <w:spacing w:before="0" w:after="283"/>
              <w:rPr/>
            </w:pPr>
            <w:r>
              <w:rPr/>
            </w:r>
          </w:p>
        </w:tc>
        <w:tc>
          <w:tcPr>
            <w:tcW w:w="275" w:type="dxa"/>
            <w:tcBorders/>
            <w:shd w:fill="FFFFFF" w:val="clear"/>
            <w:vAlign w:val="center"/>
          </w:tcPr>
          <w:p>
            <w:pPr>
              <w:pStyle w:val="TableContents"/>
              <w:spacing w:before="0" w:after="283"/>
              <w:rPr/>
            </w:pPr>
            <w:r>
              <w:rPr/>
              <w:t> </w:t>
            </w:r>
          </w:p>
        </w:tc>
        <w:tc>
          <w:tcPr>
            <w:tcW w:w="1080" w:type="dxa"/>
            <w:gridSpan w:val="3"/>
            <w:tcBorders/>
            <w:shd w:fill="FFFFFF" w:val="clear"/>
            <w:vAlign w:val="bottom"/>
          </w:tcPr>
          <w:p>
            <w:pPr>
              <w:pStyle w:val="TableContents"/>
              <w:spacing w:before="0" w:after="0"/>
              <w:jc w:val="center"/>
              <w:rPr>
                <w:rFonts w:ascii="Arial" w:hAnsi="Arial"/>
                <w:b/>
              </w:rPr>
            </w:pPr>
            <w:r>
              <w:rPr>
                <w:rFonts w:ascii="Arial" w:hAnsi="Arial"/>
                <w:b/>
              </w:rPr>
              <w:t>After-</w:t>
              <w:br/>
              <w:t>Tax</w:t>
            </w:r>
          </w:p>
          <w:p>
            <w:pPr>
              <w:pStyle w:val="HorizontalLine"/>
              <w:pBdr>
                <w:bottom w:val="single" w:sz="6" w:space="0" w:color="000000"/>
              </w:pBdr>
              <w:spacing w:before="0" w:after="283"/>
              <w:rPr/>
            </w:pPr>
            <w:r>
              <w:rPr/>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b/>
                <w:u w:val="single"/>
              </w:rPr>
            </w:pPr>
            <w:r>
              <w:rPr>
                <w:rFonts w:ascii="Arial" w:hAnsi="Arial"/>
                <w:b/>
                <w:u w:val="single"/>
              </w:rPr>
              <w:t>Year Ended December 31, 2006</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r>
      <w:tr>
        <w:trPr/>
        <w:tc>
          <w:tcPr>
            <w:tcW w:w="411" w:type="dxa"/>
            <w:tcBorders/>
            <w:shd w:fill="E5FFFF" w:val="clear"/>
            <w:vAlign w:val="bottom"/>
          </w:tcPr>
          <w:p>
            <w:pPr>
              <w:pStyle w:val="TableContents"/>
              <w:spacing w:before="0" w:after="283"/>
              <w:jc w:val="left"/>
              <w:rPr/>
            </w:pPr>
            <w:r>
              <w:rPr/>
              <w:t>      </w:t>
            </w:r>
          </w:p>
        </w:tc>
        <w:tc>
          <w:tcPr>
            <w:tcW w:w="6040" w:type="dxa"/>
            <w:tcBorders/>
            <w:shd w:fill="E5FFFF" w:val="clear"/>
            <w:vAlign w:val="bottom"/>
          </w:tcPr>
          <w:p>
            <w:pPr>
              <w:pStyle w:val="TableContents"/>
              <w:spacing w:before="0" w:after="283"/>
              <w:jc w:val="left"/>
              <w:rPr>
                <w:rFonts w:ascii="Arial" w:hAnsi="Arial"/>
              </w:rPr>
            </w:pPr>
            <w:r>
              <w:rPr>
                <w:rFonts w:ascii="Arial" w:hAnsi="Arial"/>
              </w:rPr>
              <w:t>Foreign exchange translation adjustments</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233</w:t>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486" w:type="dxa"/>
            <w:tcBorders/>
            <w:shd w:fill="E5FFFF" w:val="clear"/>
            <w:vAlign w:val="bottom"/>
          </w:tcPr>
          <w:p>
            <w:pPr>
              <w:pStyle w:val="TableContents"/>
              <w:spacing w:before="0" w:after="283"/>
              <w:jc w:val="right"/>
              <w:rPr/>
            </w:pPr>
            <w:r>
              <w:rPr/>
              <w:t>—</w:t>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233</w:t>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rPr>
            </w:pPr>
            <w:r>
              <w:rPr>
                <w:rFonts w:ascii="Arial" w:hAnsi="Arial"/>
              </w:rPr>
              <w:t>Change in fair value of effective cash flow hedges</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(5</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bottom"/>
          </w:tcPr>
          <w:p>
            <w:pPr>
              <w:pStyle w:val="TableContents"/>
              <w:spacing w:before="0" w:after="283"/>
              <w:jc w:val="right"/>
              <w:rPr>
                <w:rFonts w:ascii="Arial" w:hAnsi="Arial"/>
              </w:rPr>
            </w:pPr>
            <w:r>
              <w:rPr>
                <w:rFonts w:ascii="Arial" w:hAnsi="Arial"/>
              </w:rPr>
              <w:t>2</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(3</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E5FFFF" w:val="clear"/>
            <w:vAlign w:val="bottom"/>
          </w:tcPr>
          <w:p>
            <w:pPr>
              <w:pStyle w:val="TableContents"/>
              <w:spacing w:before="0" w:after="283"/>
              <w:jc w:val="left"/>
              <w:rPr/>
            </w:pPr>
            <w:r>
              <w:rPr/>
              <w:t>      </w:t>
            </w:r>
          </w:p>
        </w:tc>
        <w:tc>
          <w:tcPr>
            <w:tcW w:w="6040" w:type="dxa"/>
            <w:tcBorders/>
            <w:shd w:fill="E5FFFF" w:val="clear"/>
            <w:vAlign w:val="bottom"/>
          </w:tcPr>
          <w:p>
            <w:pPr>
              <w:pStyle w:val="TableContents"/>
              <w:spacing w:before="0" w:after="283"/>
              <w:jc w:val="left"/>
              <w:rPr>
                <w:rFonts w:ascii="Arial" w:hAnsi="Arial"/>
              </w:rPr>
            </w:pPr>
            <w:r>
              <w:rPr>
                <w:rFonts w:ascii="Arial" w:hAnsi="Arial"/>
              </w:rPr>
              <w:t>Minimum pension liability adjustment</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TableContents"/>
              <w:spacing w:before="0" w:after="283"/>
              <w:jc w:val="right"/>
              <w:rPr>
                <w:rFonts w:ascii="Arial" w:hAnsi="Arial"/>
              </w:rPr>
            </w:pPr>
            <w:r>
              <w:rPr>
                <w:rFonts w:ascii="Arial" w:hAnsi="Arial"/>
              </w:rPr>
              <w:t>268</w:t>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486" w:type="dxa"/>
            <w:tcBorders/>
            <w:shd w:fill="E5FFFF" w:val="clear"/>
            <w:vAlign w:val="bottom"/>
          </w:tcPr>
          <w:p>
            <w:pPr>
              <w:pStyle w:val="TableContents"/>
              <w:spacing w:before="0" w:after="283"/>
              <w:jc w:val="right"/>
              <w:rPr>
                <w:rFonts w:ascii="Arial" w:hAnsi="Arial"/>
              </w:rPr>
            </w:pPr>
            <w:r>
              <w:rPr>
                <w:rFonts w:ascii="Arial" w:hAnsi="Arial"/>
              </w:rPr>
              <w:t>(72</w:t>
            </w:r>
          </w:p>
        </w:tc>
        <w:tc>
          <w:tcPr>
            <w:tcW w:w="108" w:type="dxa"/>
            <w:tcBorders/>
            <w:shd w:fill="E5FFFF" w:val="clear"/>
            <w:vAlign w:val="bottom"/>
          </w:tcPr>
          <w:p>
            <w:pPr>
              <w:pStyle w:val="TableContents"/>
              <w:spacing w:before="0" w:after="283"/>
              <w:jc w:val="left"/>
              <w:rPr>
                <w:rFonts w:ascii="Arial" w:hAnsi="Arial"/>
              </w:rPr>
            </w:pPr>
            <w:r>
              <w:rPr>
                <w:rFonts w:ascii="Arial" w:hAnsi="Arial"/>
              </w:rPr>
              <w:t>)</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TableContents"/>
              <w:spacing w:before="0" w:after="283"/>
              <w:jc w:val="right"/>
              <w:rPr>
                <w:rFonts w:ascii="Arial" w:hAnsi="Arial"/>
              </w:rPr>
            </w:pPr>
            <w:r>
              <w:rPr>
                <w:rFonts w:ascii="Arial" w:hAnsi="Arial"/>
              </w:rPr>
              <w:t>196</w:t>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rPr>
            </w:pPr>
            <w:r>
              <w:rPr>
                <w:rFonts w:ascii="Arial" w:hAnsi="Arial"/>
              </w:rPr>
              <w:t>Pension and postretirement benefit adjustment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(2,620</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bottom"/>
          </w:tcPr>
          <w:p>
            <w:pPr>
              <w:pStyle w:val="TableContents"/>
              <w:spacing w:before="0" w:after="283"/>
              <w:jc w:val="right"/>
              <w:rPr>
                <w:rFonts w:ascii="Arial" w:hAnsi="Arial"/>
              </w:rPr>
            </w:pPr>
            <w:r>
              <w:rPr>
                <w:rFonts w:ascii="Arial" w:hAnsi="Arial"/>
              </w:rPr>
              <w:t>912</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(1,708</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E5FFFF" w:val="clear"/>
            <w:vAlign w:val="center"/>
          </w:tcPr>
          <w:p>
            <w:pPr>
              <w:pStyle w:val="TableContents"/>
              <w:spacing w:before="0" w:after="283"/>
              <w:rPr/>
            </w:pPr>
            <w:r>
              <w:rPr/>
              <w:t> </w:t>
            </w:r>
          </w:p>
        </w:tc>
        <w:tc>
          <w:tcPr>
            <w:tcW w:w="6040"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6" w:space="0" w:color="000000"/>
              </w:pBdr>
              <w:spacing w:before="0" w:after="283"/>
              <w:rPr/>
            </w:pPr>
            <w:r>
              <w:rPr/>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486" w:type="dxa"/>
            <w:tcBorders/>
            <w:shd w:fill="E5FFFF" w:val="clear"/>
            <w:vAlign w:val="bottom"/>
          </w:tcPr>
          <w:p>
            <w:pPr>
              <w:pStyle w:val="HorizontalLine"/>
              <w:pBdr>
                <w:bottom w:val="single" w:sz="6"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6" w:space="0" w:color="000000"/>
              </w:pBdr>
              <w:spacing w:before="0" w:after="283"/>
              <w:rPr/>
            </w:pPr>
            <w:r>
              <w:rPr/>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rPr>
                <w:sz w:val="4"/>
                <w:szCs w:val="4"/>
              </w:rPr>
            </w:pPr>
            <w:r>
              <w:rPr>
                <w:sz w:val="4"/>
                <w:szCs w:val="4"/>
              </w:rPr>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794" w:type="dxa"/>
            <w:tcBorders/>
            <w:shd w:fill="FFFFFF" w:val="clear"/>
            <w:vAlign w:val="bottom"/>
          </w:tcPr>
          <w:p>
            <w:pPr>
              <w:pStyle w:val="TableContents"/>
              <w:spacing w:before="0" w:after="283"/>
              <w:jc w:val="right"/>
              <w:rPr>
                <w:rFonts w:ascii="Arial" w:hAnsi="Arial"/>
              </w:rPr>
            </w:pPr>
            <w:r>
              <w:rPr>
                <w:rFonts w:ascii="Arial" w:hAnsi="Arial"/>
              </w:rPr>
              <w:t>(2,124</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486" w:type="dxa"/>
            <w:tcBorders/>
            <w:shd w:fill="FFFFFF" w:val="clear"/>
            <w:vAlign w:val="bottom"/>
          </w:tcPr>
          <w:p>
            <w:pPr>
              <w:pStyle w:val="TableContents"/>
              <w:spacing w:before="0" w:after="283"/>
              <w:jc w:val="right"/>
              <w:rPr>
                <w:rFonts w:ascii="Arial" w:hAnsi="Arial"/>
              </w:rPr>
            </w:pPr>
            <w:r>
              <w:rPr>
                <w:rFonts w:ascii="Arial" w:hAnsi="Arial"/>
              </w:rPr>
              <w:t>842</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794" w:type="dxa"/>
            <w:tcBorders/>
            <w:shd w:fill="FFFFFF" w:val="clear"/>
            <w:vAlign w:val="bottom"/>
          </w:tcPr>
          <w:p>
            <w:pPr>
              <w:pStyle w:val="TableContents"/>
              <w:spacing w:before="0" w:after="283"/>
              <w:jc w:val="right"/>
              <w:rPr>
                <w:rFonts w:ascii="Arial" w:hAnsi="Arial"/>
              </w:rPr>
            </w:pPr>
            <w:r>
              <w:rPr>
                <w:rFonts w:ascii="Arial" w:hAnsi="Arial"/>
              </w:rPr>
              <w:t>(1,282</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E5FFFF" w:val="clear"/>
            <w:vAlign w:val="center"/>
          </w:tcPr>
          <w:p>
            <w:pPr>
              <w:pStyle w:val="TableContents"/>
              <w:spacing w:before="0" w:after="283"/>
              <w:rPr/>
            </w:pPr>
            <w:r>
              <w:rPr/>
              <w:t> </w:t>
            </w:r>
          </w:p>
        </w:tc>
        <w:tc>
          <w:tcPr>
            <w:tcW w:w="6040"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18" w:space="0" w:color="000000"/>
              </w:pBdr>
              <w:spacing w:before="0" w:after="283"/>
              <w:rPr/>
            </w:pPr>
            <w:r>
              <w:rPr/>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486" w:type="dxa"/>
            <w:tcBorders/>
            <w:shd w:fill="E5FFFF" w:val="clear"/>
            <w:vAlign w:val="bottom"/>
          </w:tcPr>
          <w:p>
            <w:pPr>
              <w:pStyle w:val="HorizontalLine"/>
              <w:pBdr>
                <w:bottom w:val="single" w:sz="18"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18" w:space="0" w:color="000000"/>
              </w:pBdr>
              <w:spacing w:before="0" w:after="283"/>
              <w:rPr/>
            </w:pPr>
            <w:r>
              <w:rPr/>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b/>
                <w:u w:val="single"/>
              </w:rPr>
            </w:pPr>
            <w:r>
              <w:rPr>
                <w:rFonts w:ascii="Arial" w:hAnsi="Arial"/>
                <w:b/>
                <w:u w:val="single"/>
              </w:rPr>
              <w:t>Year Ended December 31, 2005</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r>
      <w:tr>
        <w:trPr/>
        <w:tc>
          <w:tcPr>
            <w:tcW w:w="411" w:type="dxa"/>
            <w:tcBorders/>
            <w:shd w:fill="E5FFFF" w:val="clear"/>
            <w:vAlign w:val="bottom"/>
          </w:tcPr>
          <w:p>
            <w:pPr>
              <w:pStyle w:val="TableContents"/>
              <w:spacing w:before="0" w:after="283"/>
              <w:jc w:val="left"/>
              <w:rPr/>
            </w:pPr>
            <w:r>
              <w:rPr/>
              <w:t>      </w:t>
            </w:r>
          </w:p>
        </w:tc>
        <w:tc>
          <w:tcPr>
            <w:tcW w:w="6040" w:type="dxa"/>
            <w:tcBorders/>
            <w:shd w:fill="E5FFFF" w:val="clear"/>
            <w:vAlign w:val="bottom"/>
          </w:tcPr>
          <w:p>
            <w:pPr>
              <w:pStyle w:val="TableContents"/>
              <w:spacing w:before="0" w:after="283"/>
              <w:jc w:val="left"/>
              <w:rPr>
                <w:rFonts w:ascii="Arial" w:hAnsi="Arial"/>
              </w:rPr>
            </w:pPr>
            <w:r>
              <w:rPr>
                <w:rFonts w:ascii="Arial" w:hAnsi="Arial"/>
              </w:rPr>
              <w:t>Foreign exchange translation adjustments</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(147</w:t>
            </w:r>
          </w:p>
        </w:tc>
        <w:tc>
          <w:tcPr>
            <w:tcW w:w="109" w:type="dxa"/>
            <w:tcBorders/>
            <w:shd w:fill="E5FFFF" w:val="clear"/>
            <w:vAlign w:val="bottom"/>
          </w:tcPr>
          <w:p>
            <w:pPr>
              <w:pStyle w:val="TableContents"/>
              <w:spacing w:before="0" w:after="283"/>
              <w:jc w:val="left"/>
              <w:rPr>
                <w:rFonts w:ascii="Arial" w:hAnsi="Arial"/>
              </w:rPr>
            </w:pPr>
            <w:r>
              <w:rPr>
                <w:rFonts w:ascii="Arial" w:hAnsi="Arial"/>
              </w:rPr>
              <w:t>)</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486" w:type="dxa"/>
            <w:tcBorders/>
            <w:shd w:fill="E5FFFF" w:val="clear"/>
            <w:vAlign w:val="bottom"/>
          </w:tcPr>
          <w:p>
            <w:pPr>
              <w:pStyle w:val="TableContents"/>
              <w:spacing w:before="0" w:after="283"/>
              <w:jc w:val="right"/>
              <w:rPr/>
            </w:pPr>
            <w:r>
              <w:rPr/>
              <w:t>—</w:t>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(147</w:t>
            </w:r>
          </w:p>
        </w:tc>
        <w:tc>
          <w:tcPr>
            <w:tcW w:w="109"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rPr>
            </w:pPr>
            <w:r>
              <w:rPr>
                <w:rFonts w:ascii="Arial" w:hAnsi="Arial"/>
              </w:rPr>
              <w:t>Minimum pension liability adjustment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(26</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bottom"/>
          </w:tcPr>
          <w:p>
            <w:pPr>
              <w:pStyle w:val="TableContents"/>
              <w:spacing w:before="0" w:after="283"/>
              <w:jc w:val="right"/>
              <w:rPr>
                <w:rFonts w:ascii="Arial" w:hAnsi="Arial"/>
              </w:rPr>
            </w:pPr>
            <w:r>
              <w:rPr>
                <w:rFonts w:ascii="Arial" w:hAnsi="Arial"/>
              </w:rPr>
              <w:t>10</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(16</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E5FFFF" w:val="clear"/>
            <w:vAlign w:val="center"/>
          </w:tcPr>
          <w:p>
            <w:pPr>
              <w:pStyle w:val="TableContents"/>
              <w:spacing w:before="0" w:after="283"/>
              <w:rPr/>
            </w:pPr>
            <w:r>
              <w:rPr/>
              <w:t> </w:t>
            </w:r>
          </w:p>
        </w:tc>
        <w:tc>
          <w:tcPr>
            <w:tcW w:w="6040"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6" w:space="0" w:color="000000"/>
              </w:pBdr>
              <w:spacing w:before="0" w:after="283"/>
              <w:rPr/>
            </w:pPr>
            <w:r>
              <w:rPr/>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486" w:type="dxa"/>
            <w:tcBorders/>
            <w:shd w:fill="E5FFFF" w:val="clear"/>
            <w:vAlign w:val="bottom"/>
          </w:tcPr>
          <w:p>
            <w:pPr>
              <w:pStyle w:val="HorizontalLine"/>
              <w:pBdr>
                <w:bottom w:val="single" w:sz="6"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6" w:space="0" w:color="000000"/>
              </w:pBdr>
              <w:spacing w:before="0" w:after="283"/>
              <w:rPr/>
            </w:pPr>
            <w:r>
              <w:rPr/>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rPr>
                <w:sz w:val="4"/>
                <w:szCs w:val="4"/>
              </w:rPr>
            </w:pPr>
            <w:r>
              <w:rPr>
                <w:sz w:val="4"/>
                <w:szCs w:val="4"/>
              </w:rPr>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794" w:type="dxa"/>
            <w:tcBorders/>
            <w:shd w:fill="FFFFFF" w:val="clear"/>
            <w:vAlign w:val="bottom"/>
          </w:tcPr>
          <w:p>
            <w:pPr>
              <w:pStyle w:val="TableContents"/>
              <w:spacing w:before="0" w:after="283"/>
              <w:jc w:val="right"/>
              <w:rPr>
                <w:rFonts w:ascii="Arial" w:hAnsi="Arial"/>
              </w:rPr>
            </w:pPr>
            <w:r>
              <w:rPr>
                <w:rFonts w:ascii="Arial" w:hAnsi="Arial"/>
              </w:rPr>
              <w:t>(173</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486" w:type="dxa"/>
            <w:tcBorders/>
            <w:shd w:fill="FFFFFF" w:val="clear"/>
            <w:vAlign w:val="bottom"/>
          </w:tcPr>
          <w:p>
            <w:pPr>
              <w:pStyle w:val="TableContents"/>
              <w:spacing w:before="0" w:after="283"/>
              <w:jc w:val="right"/>
              <w:rPr>
                <w:rFonts w:ascii="Arial" w:hAnsi="Arial"/>
              </w:rPr>
            </w:pPr>
            <w:r>
              <w:rPr>
                <w:rFonts w:ascii="Arial" w:hAnsi="Arial"/>
              </w:rPr>
              <w:t>10</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right"/>
              <w:rPr>
                <w:rFonts w:ascii="Arial" w:hAnsi="Arial"/>
              </w:rPr>
            </w:pPr>
            <w:r>
              <w:rPr>
                <w:rFonts w:ascii="Arial" w:hAnsi="Arial"/>
              </w:rPr>
              <w:t>$</w:t>
            </w:r>
          </w:p>
        </w:tc>
        <w:tc>
          <w:tcPr>
            <w:tcW w:w="794" w:type="dxa"/>
            <w:tcBorders/>
            <w:shd w:fill="FFFFFF" w:val="clear"/>
            <w:vAlign w:val="bottom"/>
          </w:tcPr>
          <w:p>
            <w:pPr>
              <w:pStyle w:val="TableContents"/>
              <w:spacing w:before="0" w:after="283"/>
              <w:jc w:val="right"/>
              <w:rPr>
                <w:rFonts w:ascii="Arial" w:hAnsi="Arial"/>
              </w:rPr>
            </w:pPr>
            <w:r>
              <w:rPr>
                <w:rFonts w:ascii="Arial" w:hAnsi="Arial"/>
              </w:rPr>
              <w:t>(163</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E5FFFF" w:val="clear"/>
            <w:vAlign w:val="center"/>
          </w:tcPr>
          <w:p>
            <w:pPr>
              <w:pStyle w:val="TableContents"/>
              <w:spacing w:before="0" w:after="283"/>
              <w:rPr/>
            </w:pPr>
            <w:r>
              <w:rPr/>
              <w:t> </w:t>
            </w:r>
          </w:p>
        </w:tc>
        <w:tc>
          <w:tcPr>
            <w:tcW w:w="6040"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18" w:space="0" w:color="000000"/>
              </w:pBdr>
              <w:spacing w:before="0" w:after="283"/>
              <w:rPr/>
            </w:pPr>
            <w:r>
              <w:rPr/>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486" w:type="dxa"/>
            <w:tcBorders/>
            <w:shd w:fill="E5FFFF" w:val="clear"/>
            <w:vAlign w:val="bottom"/>
          </w:tcPr>
          <w:p>
            <w:pPr>
              <w:pStyle w:val="HorizontalLine"/>
              <w:pBdr>
                <w:bottom w:val="single" w:sz="18" w:space="0" w:color="000000"/>
              </w:pBdr>
              <w:spacing w:before="0" w:after="283"/>
              <w:rPr/>
            </w:pPr>
            <w:r>
              <w:rPr/>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HorizontalLine"/>
              <w:pBdr>
                <w:bottom w:val="single" w:sz="18" w:space="0" w:color="000000"/>
              </w:pBdr>
              <w:spacing w:before="0" w:after="283"/>
              <w:rPr/>
            </w:pPr>
            <w:r>
              <w:rPr/>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b/>
                <w:u w:val="single"/>
              </w:rPr>
            </w:pPr>
            <w:r>
              <w:rPr>
                <w:rFonts w:ascii="Arial" w:hAnsi="Arial"/>
                <w:b/>
                <w:u w:val="single"/>
              </w:rPr>
              <w:t>Year Ended December 31, 2004</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r>
      <w:tr>
        <w:trPr/>
        <w:tc>
          <w:tcPr>
            <w:tcW w:w="411" w:type="dxa"/>
            <w:tcBorders/>
            <w:shd w:fill="E5FFFF" w:val="clear"/>
            <w:vAlign w:val="bottom"/>
          </w:tcPr>
          <w:p>
            <w:pPr>
              <w:pStyle w:val="TableContents"/>
              <w:spacing w:before="0" w:after="283"/>
              <w:jc w:val="left"/>
              <w:rPr/>
            </w:pPr>
            <w:r>
              <w:rPr/>
              <w:t>      </w:t>
            </w:r>
          </w:p>
        </w:tc>
        <w:tc>
          <w:tcPr>
            <w:tcW w:w="6040" w:type="dxa"/>
            <w:tcBorders/>
            <w:shd w:fill="E5FFFF" w:val="clear"/>
            <w:vAlign w:val="bottom"/>
          </w:tcPr>
          <w:p>
            <w:pPr>
              <w:pStyle w:val="TableContents"/>
              <w:spacing w:before="0" w:after="283"/>
              <w:jc w:val="left"/>
              <w:rPr>
                <w:rFonts w:ascii="Arial" w:hAnsi="Arial"/>
              </w:rPr>
            </w:pPr>
            <w:r>
              <w:rPr>
                <w:rFonts w:ascii="Arial" w:hAnsi="Arial"/>
              </w:rPr>
              <w:t>Foreign exchange translation adjustments</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351</w:t>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486" w:type="dxa"/>
            <w:tcBorders/>
            <w:shd w:fill="E5FFFF" w:val="clear"/>
            <w:vAlign w:val="bottom"/>
          </w:tcPr>
          <w:p>
            <w:pPr>
              <w:pStyle w:val="TableContents"/>
              <w:spacing w:before="0" w:after="283"/>
              <w:jc w:val="right"/>
              <w:rPr/>
            </w:pPr>
            <w:r>
              <w:rPr/>
              <w:t>—</w:t>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351</w:t>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jc w:val="left"/>
              <w:rPr>
                <w:rFonts w:ascii="Arial" w:hAnsi="Arial"/>
              </w:rPr>
            </w:pPr>
            <w:r>
              <w:rPr>
                <w:rFonts w:ascii="Arial" w:hAnsi="Arial"/>
              </w:rPr>
              <w:t>Change in fair value of effective cash flow hedges</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(15</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bottom"/>
          </w:tcPr>
          <w:p>
            <w:pPr>
              <w:pStyle w:val="TableContents"/>
              <w:spacing w:before="0" w:after="283"/>
              <w:jc w:val="right"/>
              <w:rPr>
                <w:rFonts w:ascii="Arial" w:hAnsi="Arial"/>
              </w:rPr>
            </w:pPr>
            <w:r>
              <w:rPr>
                <w:rFonts w:ascii="Arial" w:hAnsi="Arial"/>
              </w:rPr>
              <w:t>6</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TableContents"/>
              <w:spacing w:before="0" w:after="283"/>
              <w:jc w:val="right"/>
              <w:rPr>
                <w:rFonts w:ascii="Arial" w:hAnsi="Arial"/>
              </w:rPr>
            </w:pPr>
            <w:r>
              <w:rPr>
                <w:rFonts w:ascii="Arial" w:hAnsi="Arial"/>
              </w:rPr>
              <w:t>(9</w:t>
            </w:r>
          </w:p>
        </w:tc>
        <w:tc>
          <w:tcPr>
            <w:tcW w:w="10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E5FFFF" w:val="clear"/>
            <w:vAlign w:val="bottom"/>
          </w:tcPr>
          <w:p>
            <w:pPr>
              <w:pStyle w:val="TableContents"/>
              <w:spacing w:before="0" w:after="283"/>
              <w:jc w:val="left"/>
              <w:rPr/>
            </w:pPr>
            <w:r>
              <w:rPr/>
              <w:t>      </w:t>
            </w:r>
          </w:p>
        </w:tc>
        <w:tc>
          <w:tcPr>
            <w:tcW w:w="6040" w:type="dxa"/>
            <w:tcBorders/>
            <w:shd w:fill="E5FFFF" w:val="clear"/>
            <w:vAlign w:val="bottom"/>
          </w:tcPr>
          <w:p>
            <w:pPr>
              <w:pStyle w:val="TableContents"/>
              <w:spacing w:before="0" w:after="283"/>
              <w:jc w:val="left"/>
              <w:rPr>
                <w:rFonts w:ascii="Arial" w:hAnsi="Arial"/>
              </w:rPr>
            </w:pPr>
            <w:r>
              <w:rPr>
                <w:rFonts w:ascii="Arial" w:hAnsi="Arial"/>
              </w:rPr>
              <w:t>Minimum pension liability adjustment</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TableContents"/>
              <w:spacing w:before="0" w:after="283"/>
              <w:jc w:val="right"/>
              <w:rPr>
                <w:rFonts w:ascii="Arial" w:hAnsi="Arial"/>
              </w:rPr>
            </w:pPr>
            <w:r>
              <w:rPr>
                <w:rFonts w:ascii="Arial" w:hAnsi="Arial"/>
              </w:rPr>
              <w:t>(19</w:t>
            </w:r>
          </w:p>
        </w:tc>
        <w:tc>
          <w:tcPr>
            <w:tcW w:w="109" w:type="dxa"/>
            <w:tcBorders/>
            <w:shd w:fill="E5FFFF" w:val="clear"/>
            <w:vAlign w:val="bottom"/>
          </w:tcPr>
          <w:p>
            <w:pPr>
              <w:pStyle w:val="TableContents"/>
              <w:spacing w:before="0" w:after="283"/>
              <w:jc w:val="left"/>
              <w:rPr>
                <w:rFonts w:ascii="Arial" w:hAnsi="Arial"/>
              </w:rPr>
            </w:pPr>
            <w:r>
              <w:rPr>
                <w:rFonts w:ascii="Arial" w:hAnsi="Arial"/>
              </w:rPr>
              <w:t>)</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486" w:type="dxa"/>
            <w:tcBorders/>
            <w:shd w:fill="E5FFFF" w:val="clear"/>
            <w:vAlign w:val="bottom"/>
          </w:tcPr>
          <w:p>
            <w:pPr>
              <w:pStyle w:val="TableContents"/>
              <w:spacing w:before="0" w:after="283"/>
              <w:jc w:val="right"/>
              <w:rPr>
                <w:rFonts w:ascii="Arial" w:hAnsi="Arial"/>
              </w:rPr>
            </w:pPr>
            <w:r>
              <w:rPr>
                <w:rFonts w:ascii="Arial" w:hAnsi="Arial"/>
              </w:rPr>
              <w:t>4</w:t>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center"/>
          </w:tcPr>
          <w:p>
            <w:pPr>
              <w:pStyle w:val="TableContents"/>
              <w:spacing w:before="0" w:after="283"/>
              <w:rPr/>
            </w:pPr>
            <w:r>
              <w:rPr/>
              <w:t> </w:t>
            </w:r>
          </w:p>
        </w:tc>
        <w:tc>
          <w:tcPr>
            <w:tcW w:w="794" w:type="dxa"/>
            <w:tcBorders/>
            <w:shd w:fill="E5FFFF" w:val="clear"/>
            <w:vAlign w:val="bottom"/>
          </w:tcPr>
          <w:p>
            <w:pPr>
              <w:pStyle w:val="TableContents"/>
              <w:spacing w:before="0" w:after="283"/>
              <w:jc w:val="right"/>
              <w:rPr>
                <w:rFonts w:ascii="Arial" w:hAnsi="Arial"/>
              </w:rPr>
            </w:pPr>
            <w:r>
              <w:rPr>
                <w:rFonts w:ascii="Arial" w:hAnsi="Arial"/>
              </w:rPr>
              <w:t>(15</w:t>
            </w:r>
          </w:p>
        </w:tc>
        <w:tc>
          <w:tcPr>
            <w:tcW w:w="109"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1" w:type="dxa"/>
            <w:tcBorders/>
            <w:shd w:fill="FFFFFF" w:val="clear"/>
            <w:vAlign w:val="center"/>
          </w:tcPr>
          <w:p>
            <w:pPr>
              <w:pStyle w:val="TableContents"/>
              <w:spacing w:before="0" w:after="283"/>
              <w:rPr/>
            </w:pPr>
            <w:r>
              <w:rPr/>
              <w:t> </w:t>
            </w:r>
          </w:p>
        </w:tc>
        <w:tc>
          <w:tcPr>
            <w:tcW w:w="6040" w:type="dxa"/>
            <w:tcBorders/>
            <w:shd w:fill="FFFFFF" w:val="clear"/>
            <w:vAlign w:val="center"/>
          </w:tcPr>
          <w:p>
            <w:pPr>
              <w:pStyle w:val="TableContents"/>
              <w:spacing w:before="0" w:after="283"/>
              <w:rPr/>
            </w:pPr>
            <w:r>
              <w:rPr/>
              <w:t> </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HorizontalLine"/>
              <w:pBdr>
                <w:bottom w:val="single" w:sz="6" w:space="0" w:color="000000"/>
              </w:pBdr>
              <w:spacing w:before="0" w:after="283"/>
              <w:rPr/>
            </w:pPr>
            <w:r>
              <w:rPr/>
            </w:r>
          </w:p>
        </w:tc>
        <w:tc>
          <w:tcPr>
            <w:tcW w:w="109" w:type="dxa"/>
            <w:tcBorders/>
            <w:shd w:fill="FFFFFF" w:val="clear"/>
            <w:vAlign w:val="center"/>
          </w:tcPr>
          <w:p>
            <w:pPr>
              <w:pStyle w:val="TableContents"/>
              <w:spacing w:before="0" w:after="283"/>
              <w:rPr/>
            </w:pPr>
            <w:r>
              <w:rPr/>
              <w:t> </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bottom"/>
          </w:tcPr>
          <w:p>
            <w:pPr>
              <w:pStyle w:val="HorizontalLine"/>
              <w:pBdr>
                <w:bottom w:val="single" w:sz="6" w:space="0" w:color="000000"/>
              </w:pBdr>
              <w:spacing w:before="0" w:after="283"/>
              <w:rPr/>
            </w:pPr>
            <w:r>
              <w:rPr/>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HorizontalLine"/>
              <w:pBdr>
                <w:bottom w:val="single" w:sz="6" w:space="0" w:color="000000"/>
              </w:pBdr>
              <w:spacing w:before="0" w:after="283"/>
              <w:rPr/>
            </w:pPr>
            <w:r>
              <w:rPr/>
            </w:r>
          </w:p>
        </w:tc>
        <w:tc>
          <w:tcPr>
            <w:tcW w:w="109" w:type="dxa"/>
            <w:tcBorders/>
            <w:shd w:fill="FFFFFF" w:val="clear"/>
            <w:vAlign w:val="center"/>
          </w:tcPr>
          <w:p>
            <w:pPr>
              <w:pStyle w:val="TableContents"/>
              <w:spacing w:before="0" w:after="283"/>
              <w:rPr/>
            </w:pPr>
            <w:r>
              <w:rPr/>
              <w:t> </w:t>
            </w:r>
          </w:p>
        </w:tc>
      </w:tr>
      <w:tr>
        <w:trPr/>
        <w:tc>
          <w:tcPr>
            <w:tcW w:w="411" w:type="dxa"/>
            <w:tcBorders/>
            <w:shd w:fill="E5FFFF" w:val="clear"/>
            <w:vAlign w:val="bottom"/>
          </w:tcPr>
          <w:p>
            <w:pPr>
              <w:pStyle w:val="TableContents"/>
              <w:spacing w:before="0" w:after="283"/>
              <w:jc w:val="left"/>
              <w:rPr/>
            </w:pPr>
            <w:r>
              <w:rPr/>
              <w:t>      </w:t>
            </w:r>
          </w:p>
        </w:tc>
        <w:tc>
          <w:tcPr>
            <w:tcW w:w="6040" w:type="dxa"/>
            <w:tcBorders/>
            <w:shd w:fill="E5FFFF" w:val="clear"/>
            <w:vAlign w:val="bottom"/>
          </w:tcPr>
          <w:p>
            <w:pPr>
              <w:pStyle w:val="TableContents"/>
              <w:spacing w:before="0" w:after="283"/>
              <w:rPr>
                <w:sz w:val="4"/>
                <w:szCs w:val="4"/>
              </w:rPr>
            </w:pPr>
            <w:r>
              <w:rPr>
                <w:sz w:val="4"/>
                <w:szCs w:val="4"/>
              </w:rPr>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317</w:t>
            </w:r>
          </w:p>
        </w:tc>
        <w:tc>
          <w:tcPr>
            <w:tcW w:w="109" w:type="dxa"/>
            <w:tcBorders/>
            <w:shd w:fill="E5FFFF" w:val="clear"/>
            <w:vAlign w:val="center"/>
          </w:tcPr>
          <w:p>
            <w:pPr>
              <w:pStyle w:val="TableContents"/>
              <w:spacing w:before="0" w:after="283"/>
              <w:rPr/>
            </w:pPr>
            <w:r>
              <w:rPr/>
              <w:t> </w:t>
            </w:r>
          </w:p>
        </w:tc>
        <w:tc>
          <w:tcPr>
            <w:tcW w:w="274"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486" w:type="dxa"/>
            <w:tcBorders/>
            <w:shd w:fill="E5FFFF" w:val="clear"/>
            <w:vAlign w:val="bottom"/>
          </w:tcPr>
          <w:p>
            <w:pPr>
              <w:pStyle w:val="TableContents"/>
              <w:spacing w:before="0" w:after="283"/>
              <w:jc w:val="right"/>
              <w:rPr>
                <w:rFonts w:ascii="Arial" w:hAnsi="Arial"/>
              </w:rPr>
            </w:pPr>
            <w:r>
              <w:rPr>
                <w:rFonts w:ascii="Arial" w:hAnsi="Arial"/>
              </w:rPr>
              <w:t>10</w:t>
            </w:r>
          </w:p>
        </w:tc>
        <w:tc>
          <w:tcPr>
            <w:tcW w:w="10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7" w:type="dxa"/>
            <w:tcBorders/>
            <w:shd w:fill="E5FFFF" w:val="clear"/>
            <w:vAlign w:val="bottom"/>
          </w:tcPr>
          <w:p>
            <w:pPr>
              <w:pStyle w:val="TableContents"/>
              <w:spacing w:before="0" w:after="283"/>
              <w:jc w:val="right"/>
              <w:rPr>
                <w:rFonts w:ascii="Arial" w:hAnsi="Arial"/>
              </w:rPr>
            </w:pPr>
            <w:r>
              <w:rPr>
                <w:rFonts w:ascii="Arial" w:hAnsi="Arial"/>
              </w:rPr>
              <w:t>$</w:t>
            </w:r>
          </w:p>
        </w:tc>
        <w:tc>
          <w:tcPr>
            <w:tcW w:w="794" w:type="dxa"/>
            <w:tcBorders/>
            <w:shd w:fill="E5FFFF" w:val="clear"/>
            <w:vAlign w:val="bottom"/>
          </w:tcPr>
          <w:p>
            <w:pPr>
              <w:pStyle w:val="TableContents"/>
              <w:spacing w:before="0" w:after="283"/>
              <w:jc w:val="right"/>
              <w:rPr>
                <w:rFonts w:ascii="Arial" w:hAnsi="Arial"/>
              </w:rPr>
            </w:pPr>
            <w:r>
              <w:rPr>
                <w:rFonts w:ascii="Arial" w:hAnsi="Arial"/>
              </w:rPr>
              <w:t>327</w:t>
            </w:r>
          </w:p>
        </w:tc>
        <w:tc>
          <w:tcPr>
            <w:tcW w:w="109" w:type="dxa"/>
            <w:tcBorders/>
            <w:shd w:fill="E5FFFF" w:val="clear"/>
            <w:vAlign w:val="center"/>
          </w:tcPr>
          <w:p>
            <w:pPr>
              <w:pStyle w:val="TableContents"/>
              <w:spacing w:before="0" w:after="283"/>
              <w:rPr/>
            </w:pPr>
            <w:r>
              <w:rPr/>
              <w:t> </w:t>
            </w:r>
          </w:p>
        </w:tc>
      </w:tr>
      <w:tr>
        <w:trPr/>
        <w:tc>
          <w:tcPr>
            <w:tcW w:w="411" w:type="dxa"/>
            <w:tcBorders/>
            <w:shd w:fill="FFFFFF" w:val="clear"/>
            <w:vAlign w:val="center"/>
          </w:tcPr>
          <w:p>
            <w:pPr>
              <w:pStyle w:val="TableContents"/>
              <w:spacing w:before="0" w:after="283"/>
              <w:rPr/>
            </w:pPr>
            <w:r>
              <w:rPr/>
              <w:t> </w:t>
            </w:r>
          </w:p>
        </w:tc>
        <w:tc>
          <w:tcPr>
            <w:tcW w:w="6040" w:type="dxa"/>
            <w:tcBorders/>
            <w:shd w:fill="FFFFFF" w:val="clear"/>
            <w:vAlign w:val="center"/>
          </w:tcPr>
          <w:p>
            <w:pPr>
              <w:pStyle w:val="TableContents"/>
              <w:spacing w:before="0" w:after="283"/>
              <w:rPr/>
            </w:pPr>
            <w:r>
              <w:rPr/>
              <w:t> </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HorizontalLine"/>
              <w:pBdr>
                <w:bottom w:val="single" w:sz="18" w:space="0" w:color="000000"/>
              </w:pBdr>
              <w:spacing w:before="0" w:after="283"/>
              <w:rPr/>
            </w:pPr>
            <w:r>
              <w:rPr/>
            </w:r>
          </w:p>
        </w:tc>
        <w:tc>
          <w:tcPr>
            <w:tcW w:w="109" w:type="dxa"/>
            <w:tcBorders/>
            <w:shd w:fill="FFFFFF" w:val="clear"/>
            <w:vAlign w:val="center"/>
          </w:tcPr>
          <w:p>
            <w:pPr>
              <w:pStyle w:val="TableContents"/>
              <w:spacing w:before="0" w:after="283"/>
              <w:rPr/>
            </w:pPr>
            <w:r>
              <w:rPr/>
              <w:t> </w:t>
            </w:r>
          </w:p>
        </w:tc>
        <w:tc>
          <w:tcPr>
            <w:tcW w:w="274"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bottom"/>
          </w:tcPr>
          <w:p>
            <w:pPr>
              <w:pStyle w:val="HorizontalLine"/>
              <w:pBdr>
                <w:bottom w:val="single" w:sz="18" w:space="0" w:color="000000"/>
              </w:pBdr>
              <w:spacing w:before="0" w:after="283"/>
              <w:rPr/>
            </w:pPr>
            <w:r>
              <w:rPr/>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bottom"/>
          </w:tcPr>
          <w:p>
            <w:pPr>
              <w:pStyle w:val="HorizontalLine"/>
              <w:pBdr>
                <w:bottom w:val="single" w:sz="18" w:space="0" w:color="000000"/>
              </w:pBdr>
              <w:spacing w:before="0" w:after="283"/>
              <w:rPr/>
            </w:pPr>
            <w:r>
              <w:rPr/>
            </w:r>
          </w:p>
        </w:tc>
        <w:tc>
          <w:tcPr>
            <w:tcW w:w="109" w:type="dxa"/>
            <w:tcBorders/>
            <w:shd w:fill="FFFFFF" w:val="clear"/>
            <w:vAlign w:val="center"/>
          </w:tcPr>
          <w:p>
            <w:pPr>
              <w:pStyle w:val="TableContents"/>
              <w:spacing w:before="0" w:after="283"/>
              <w:rPr/>
            </w:pPr>
            <w:r>
              <w:rPr/>
              <w:t> </w:t>
            </w:r>
          </w:p>
        </w:tc>
      </w:tr>
      <w:tr>
        <w:trPr/>
        <w:tc>
          <w:tcPr>
            <w:tcW w:w="411" w:type="dxa"/>
            <w:tcBorders/>
            <w:shd w:fill="FFFFFF" w:val="clear"/>
            <w:vAlign w:val="bottom"/>
          </w:tcPr>
          <w:p>
            <w:pPr>
              <w:pStyle w:val="TableContents"/>
              <w:spacing w:before="0" w:after="283"/>
              <w:jc w:val="left"/>
              <w:rPr/>
            </w:pPr>
            <w:r>
              <w:rPr/>
              <w:t>      </w:t>
            </w:r>
          </w:p>
        </w:tc>
        <w:tc>
          <w:tcPr>
            <w:tcW w:w="6040" w:type="dxa"/>
            <w:tcBorders/>
            <w:shd w:fill="FFFFFF" w:val="clear"/>
            <w:vAlign w:val="bottom"/>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486" w:type="dxa"/>
            <w:tcBorders/>
            <w:shd w:fill="FFFFFF" w:val="clear"/>
            <w:vAlign w:val="center"/>
          </w:tcPr>
          <w:p>
            <w:pPr>
              <w:pStyle w:val="TableContents"/>
              <w:spacing w:before="0" w:after="283"/>
              <w:rPr/>
            </w:pPr>
            <w:r>
              <w:rPr/>
              <w:t> </w:t>
            </w:r>
          </w:p>
        </w:tc>
        <w:tc>
          <w:tcPr>
            <w:tcW w:w="108"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794"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components of Accumulated Other Comprehensive Income (Loss) are as follows:</w:t>
      </w:r>
    </w:p>
    <w:tbl>
      <w:tblPr>
        <w:tblW w:w="5000" w:type="pct"/>
        <w:jc w:val="left"/>
        <w:tblInd w:w="0" w:type="dxa"/>
        <w:tblCellMar>
          <w:top w:w="0" w:type="dxa"/>
          <w:left w:w="0" w:type="dxa"/>
          <w:bottom w:w="0" w:type="dxa"/>
          <w:right w:w="0" w:type="dxa"/>
        </w:tblCellMar>
      </w:tblPr>
      <w:tblGrid>
        <w:gridCol w:w="448"/>
        <w:gridCol w:w="7048"/>
        <w:gridCol w:w="299"/>
        <w:gridCol w:w="193"/>
        <w:gridCol w:w="866"/>
        <w:gridCol w:w="118"/>
        <w:gridCol w:w="299"/>
        <w:gridCol w:w="193"/>
        <w:gridCol w:w="622"/>
        <w:gridCol w:w="119"/>
      </w:tblGrid>
      <w:tr>
        <w:trPr/>
        <w:tc>
          <w:tcPr>
            <w:tcW w:w="448" w:type="dxa"/>
            <w:tcBorders/>
            <w:shd w:fill="FFFFFF" w:val="clear"/>
            <w:vAlign w:val="center"/>
          </w:tcPr>
          <w:p>
            <w:pPr>
              <w:pStyle w:val="TableContents"/>
              <w:spacing w:before="0" w:after="283"/>
              <w:rPr/>
            </w:pPr>
            <w:r>
              <w:rPr/>
              <w:t> </w:t>
            </w:r>
          </w:p>
        </w:tc>
        <w:tc>
          <w:tcPr>
            <w:tcW w:w="7048"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2410"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448" w:type="dxa"/>
            <w:tcBorders/>
            <w:shd w:fill="FFFFFF" w:val="clear"/>
            <w:vAlign w:val="center"/>
          </w:tcPr>
          <w:p>
            <w:pPr>
              <w:pStyle w:val="TableContents"/>
              <w:spacing w:before="0" w:after="283"/>
              <w:rPr/>
            </w:pPr>
            <w:r>
              <w:rPr/>
              <w:t> </w:t>
            </w:r>
          </w:p>
        </w:tc>
        <w:tc>
          <w:tcPr>
            <w:tcW w:w="7048"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177"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99" w:type="dxa"/>
            <w:tcBorders/>
            <w:shd w:fill="FFFFFF" w:val="clear"/>
            <w:vAlign w:val="center"/>
          </w:tcPr>
          <w:p>
            <w:pPr>
              <w:pStyle w:val="TableContents"/>
              <w:spacing w:before="0" w:after="283"/>
              <w:rPr/>
            </w:pPr>
            <w:r>
              <w:rPr/>
              <w:t> </w:t>
            </w:r>
          </w:p>
        </w:tc>
        <w:tc>
          <w:tcPr>
            <w:tcW w:w="93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448" w:type="dxa"/>
            <w:tcBorders/>
            <w:shd w:fill="E5FFFF" w:val="clear"/>
            <w:vAlign w:val="bottom"/>
          </w:tcPr>
          <w:p>
            <w:pPr>
              <w:pStyle w:val="TableContents"/>
              <w:spacing w:before="0" w:after="283"/>
              <w:jc w:val="left"/>
              <w:rPr/>
            </w:pPr>
            <w:r>
              <w:rPr/>
              <w:t>      </w:t>
            </w:r>
          </w:p>
        </w:tc>
        <w:tc>
          <w:tcPr>
            <w:tcW w:w="7048" w:type="dxa"/>
            <w:tcBorders/>
            <w:shd w:fill="E5FFFF" w:val="clear"/>
            <w:vAlign w:val="bottom"/>
          </w:tcPr>
          <w:p>
            <w:pPr>
              <w:pStyle w:val="TableContents"/>
              <w:spacing w:before="0" w:after="283"/>
              <w:jc w:val="left"/>
              <w:rPr>
                <w:rFonts w:ascii="Arial" w:hAnsi="Arial"/>
              </w:rPr>
            </w:pPr>
            <w:r>
              <w:rPr>
                <w:rFonts w:ascii="Arial" w:hAnsi="Arial"/>
              </w:rPr>
              <w:t>Cumulative foreign exchange translation adjustments</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866" w:type="dxa"/>
            <w:tcBorders/>
            <w:shd w:fill="E5FFFF" w:val="clear"/>
            <w:vAlign w:val="bottom"/>
          </w:tcPr>
          <w:p>
            <w:pPr>
              <w:pStyle w:val="TableContents"/>
              <w:spacing w:before="0" w:after="283"/>
              <w:jc w:val="right"/>
              <w:rPr>
                <w:rFonts w:ascii="Arial" w:hAnsi="Arial"/>
              </w:rPr>
            </w:pPr>
            <w:r>
              <w:rPr>
                <w:rFonts w:ascii="Arial" w:hAnsi="Arial"/>
              </w:rPr>
              <w:t>575</w:t>
            </w:r>
          </w:p>
        </w:tc>
        <w:tc>
          <w:tcPr>
            <w:tcW w:w="118" w:type="dxa"/>
            <w:tcBorders/>
            <w:shd w:fill="E5FFFF" w:val="clear"/>
            <w:vAlign w:val="center"/>
          </w:tcPr>
          <w:p>
            <w:pPr>
              <w:pStyle w:val="TableContents"/>
              <w:spacing w:before="0" w:after="283"/>
              <w:rPr/>
            </w:pPr>
            <w:r>
              <w:rPr/>
              <w:t> </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rPr>
            </w:pPr>
            <w:r>
              <w:rPr>
                <w:rFonts w:ascii="Arial" w:hAnsi="Arial"/>
              </w:rPr>
              <w:t>$</w:t>
            </w:r>
          </w:p>
        </w:tc>
        <w:tc>
          <w:tcPr>
            <w:tcW w:w="622" w:type="dxa"/>
            <w:tcBorders/>
            <w:shd w:fill="E5FFFF" w:val="clear"/>
            <w:vAlign w:val="bottom"/>
          </w:tcPr>
          <w:p>
            <w:pPr>
              <w:pStyle w:val="TableContents"/>
              <w:spacing w:before="0" w:after="283"/>
              <w:jc w:val="right"/>
              <w:rPr>
                <w:rFonts w:ascii="Arial" w:hAnsi="Arial"/>
              </w:rPr>
            </w:pPr>
            <w:r>
              <w:rPr>
                <w:rFonts w:ascii="Arial" w:hAnsi="Arial"/>
              </w:rPr>
              <w:t>342</w:t>
            </w:r>
          </w:p>
        </w:tc>
        <w:tc>
          <w:tcPr>
            <w:tcW w:w="119" w:type="dxa"/>
            <w:tcBorders/>
            <w:shd w:fill="E5FFFF" w:val="clear"/>
            <w:vAlign w:val="center"/>
          </w:tcPr>
          <w:p>
            <w:pPr>
              <w:pStyle w:val="TableContents"/>
              <w:spacing w:before="0" w:after="283"/>
              <w:rPr/>
            </w:pPr>
            <w:r>
              <w:rPr/>
              <w:t> </w:t>
            </w:r>
          </w:p>
        </w:tc>
      </w:tr>
      <w:tr>
        <w:trPr/>
        <w:tc>
          <w:tcPr>
            <w:tcW w:w="448" w:type="dxa"/>
            <w:tcBorders/>
            <w:shd w:fill="FFFFFF" w:val="clear"/>
            <w:vAlign w:val="bottom"/>
          </w:tcPr>
          <w:p>
            <w:pPr>
              <w:pStyle w:val="TableContents"/>
              <w:spacing w:before="0" w:after="283"/>
              <w:jc w:val="left"/>
              <w:rPr/>
            </w:pPr>
            <w:r>
              <w:rPr/>
              <w:t>      </w:t>
            </w:r>
          </w:p>
        </w:tc>
        <w:tc>
          <w:tcPr>
            <w:tcW w:w="7048" w:type="dxa"/>
            <w:tcBorders/>
            <w:shd w:fill="FFFFFF" w:val="clear"/>
            <w:vAlign w:val="bottom"/>
          </w:tcPr>
          <w:p>
            <w:pPr>
              <w:pStyle w:val="TableContents"/>
              <w:spacing w:before="0" w:after="283"/>
              <w:jc w:val="left"/>
              <w:rPr>
                <w:rFonts w:ascii="Arial" w:hAnsi="Arial"/>
              </w:rPr>
            </w:pPr>
            <w:r>
              <w:rPr>
                <w:rFonts w:ascii="Arial" w:hAnsi="Arial"/>
              </w:rPr>
              <w:t>Fair value of effective cash flow hedges</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866" w:type="dxa"/>
            <w:tcBorders/>
            <w:shd w:fill="FFFFFF" w:val="clear"/>
            <w:vAlign w:val="bottom"/>
          </w:tcPr>
          <w:p>
            <w:pPr>
              <w:pStyle w:val="TableContents"/>
              <w:spacing w:before="0" w:after="283"/>
              <w:jc w:val="right"/>
              <w:rPr>
                <w:rFonts w:ascii="Arial" w:hAnsi="Arial"/>
              </w:rPr>
            </w:pPr>
            <w:r>
              <w:rPr>
                <w:rFonts w:ascii="Arial" w:hAnsi="Arial"/>
              </w:rPr>
              <w:t>5</w:t>
            </w:r>
          </w:p>
        </w:tc>
        <w:tc>
          <w:tcPr>
            <w:tcW w:w="118" w:type="dxa"/>
            <w:tcBorders/>
            <w:shd w:fill="FFFFFF" w:val="clear"/>
            <w:vAlign w:val="center"/>
          </w:tcPr>
          <w:p>
            <w:pPr>
              <w:pStyle w:val="TableContents"/>
              <w:spacing w:before="0" w:after="283"/>
              <w:rPr/>
            </w:pPr>
            <w:r>
              <w:rPr/>
              <w:t> </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622" w:type="dxa"/>
            <w:tcBorders/>
            <w:shd w:fill="FFFFFF" w:val="clear"/>
            <w:vAlign w:val="bottom"/>
          </w:tcPr>
          <w:p>
            <w:pPr>
              <w:pStyle w:val="TableContents"/>
              <w:spacing w:before="0" w:after="283"/>
              <w:jc w:val="right"/>
              <w:rPr>
                <w:rFonts w:ascii="Arial" w:hAnsi="Arial"/>
              </w:rPr>
            </w:pPr>
            <w:r>
              <w:rPr>
                <w:rFonts w:ascii="Arial" w:hAnsi="Arial"/>
              </w:rPr>
              <w:t>8</w:t>
            </w:r>
          </w:p>
        </w:tc>
        <w:tc>
          <w:tcPr>
            <w:tcW w:w="119" w:type="dxa"/>
            <w:tcBorders/>
            <w:shd w:fill="FFFFFF" w:val="clear"/>
            <w:vAlign w:val="center"/>
          </w:tcPr>
          <w:p>
            <w:pPr>
              <w:pStyle w:val="TableContents"/>
              <w:spacing w:before="0" w:after="283"/>
              <w:rPr/>
            </w:pPr>
            <w:r>
              <w:rPr/>
              <w:t> </w:t>
            </w:r>
          </w:p>
        </w:tc>
      </w:tr>
      <w:tr>
        <w:trPr/>
        <w:tc>
          <w:tcPr>
            <w:tcW w:w="448" w:type="dxa"/>
            <w:tcBorders/>
            <w:shd w:fill="E5FFFF" w:val="clear"/>
            <w:vAlign w:val="bottom"/>
          </w:tcPr>
          <w:p>
            <w:pPr>
              <w:pStyle w:val="TableContents"/>
              <w:spacing w:before="0" w:after="283"/>
              <w:jc w:val="left"/>
              <w:rPr/>
            </w:pPr>
            <w:r>
              <w:rPr/>
              <w:t>      </w:t>
            </w:r>
          </w:p>
        </w:tc>
        <w:tc>
          <w:tcPr>
            <w:tcW w:w="7048" w:type="dxa"/>
            <w:tcBorders/>
            <w:shd w:fill="E5FFFF" w:val="clear"/>
            <w:vAlign w:val="bottom"/>
          </w:tcPr>
          <w:p>
            <w:pPr>
              <w:pStyle w:val="TableContents"/>
              <w:spacing w:before="0" w:after="283"/>
              <w:jc w:val="left"/>
              <w:rPr>
                <w:rFonts w:ascii="Arial" w:hAnsi="Arial"/>
              </w:rPr>
            </w:pPr>
            <w:r>
              <w:rPr>
                <w:rFonts w:ascii="Arial" w:hAnsi="Arial"/>
              </w:rPr>
              <w:t>Pension and postretirement benefit adjustment</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866" w:type="dxa"/>
            <w:tcBorders/>
            <w:shd w:fill="E5FFFF" w:val="clear"/>
            <w:vAlign w:val="bottom"/>
          </w:tcPr>
          <w:p>
            <w:pPr>
              <w:pStyle w:val="TableContents"/>
              <w:spacing w:before="0" w:after="283"/>
              <w:jc w:val="right"/>
              <w:rPr>
                <w:rFonts w:ascii="Arial" w:hAnsi="Arial"/>
              </w:rPr>
            </w:pPr>
            <w:r>
              <w:rPr>
                <w:rFonts w:ascii="Arial" w:hAnsi="Arial"/>
              </w:rPr>
              <w:t>(1,887</w:t>
            </w:r>
          </w:p>
        </w:tc>
        <w:tc>
          <w:tcPr>
            <w:tcW w:w="118" w:type="dxa"/>
            <w:tcBorders/>
            <w:shd w:fill="E5FFFF" w:val="clear"/>
            <w:vAlign w:val="bottom"/>
          </w:tcPr>
          <w:p>
            <w:pPr>
              <w:pStyle w:val="TableContents"/>
              <w:spacing w:before="0" w:after="283"/>
              <w:jc w:val="left"/>
              <w:rPr>
                <w:rFonts w:ascii="Arial" w:hAnsi="Arial"/>
              </w:rPr>
            </w:pPr>
            <w:r>
              <w:rPr>
                <w:rFonts w:ascii="Arial" w:hAnsi="Arial"/>
              </w:rPr>
              <w:t>)</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622" w:type="dxa"/>
            <w:tcBorders/>
            <w:shd w:fill="E5FFFF" w:val="clear"/>
            <w:vAlign w:val="bottom"/>
          </w:tcPr>
          <w:p>
            <w:pPr>
              <w:pStyle w:val="TableContents"/>
              <w:spacing w:before="0" w:after="283"/>
              <w:jc w:val="right"/>
              <w:rPr/>
            </w:pPr>
            <w:r>
              <w:rPr/>
              <w:t>—</w:t>
            </w:r>
          </w:p>
        </w:tc>
        <w:tc>
          <w:tcPr>
            <w:tcW w:w="119" w:type="dxa"/>
            <w:tcBorders/>
            <w:shd w:fill="E5FFFF" w:val="clear"/>
            <w:vAlign w:val="center"/>
          </w:tcPr>
          <w:p>
            <w:pPr>
              <w:pStyle w:val="TableContents"/>
              <w:spacing w:before="0" w:after="283"/>
              <w:rPr/>
            </w:pPr>
            <w:r>
              <w:rPr/>
              <w:t> </w:t>
            </w:r>
          </w:p>
        </w:tc>
      </w:tr>
      <w:tr>
        <w:trPr/>
        <w:tc>
          <w:tcPr>
            <w:tcW w:w="448" w:type="dxa"/>
            <w:tcBorders/>
            <w:shd w:fill="FFFFFF" w:val="clear"/>
            <w:vAlign w:val="bottom"/>
          </w:tcPr>
          <w:p>
            <w:pPr>
              <w:pStyle w:val="TableContents"/>
              <w:spacing w:before="0" w:after="283"/>
              <w:jc w:val="left"/>
              <w:rPr/>
            </w:pPr>
            <w:r>
              <w:rPr/>
              <w:t>      </w:t>
            </w:r>
          </w:p>
        </w:tc>
        <w:tc>
          <w:tcPr>
            <w:tcW w:w="7048" w:type="dxa"/>
            <w:tcBorders/>
            <w:shd w:fill="FFFFFF" w:val="clear"/>
            <w:vAlign w:val="bottom"/>
          </w:tcPr>
          <w:p>
            <w:pPr>
              <w:pStyle w:val="TableContents"/>
              <w:spacing w:before="0" w:after="283"/>
              <w:jc w:val="left"/>
              <w:rPr>
                <w:rFonts w:ascii="Arial" w:hAnsi="Arial"/>
              </w:rPr>
            </w:pPr>
            <w:r>
              <w:rPr>
                <w:rFonts w:ascii="Arial" w:hAnsi="Arial"/>
              </w:rPr>
              <w:t>Minimum pension liability</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866" w:type="dxa"/>
            <w:tcBorders/>
            <w:shd w:fill="FFFFFF" w:val="clear"/>
            <w:vAlign w:val="bottom"/>
          </w:tcPr>
          <w:p>
            <w:pPr>
              <w:pStyle w:val="TableContents"/>
              <w:spacing w:before="0" w:after="283"/>
              <w:jc w:val="right"/>
              <w:rPr/>
            </w:pPr>
            <w:r>
              <w:rPr/>
              <w:t>—</w:t>
            </w:r>
          </w:p>
        </w:tc>
        <w:tc>
          <w:tcPr>
            <w:tcW w:w="118" w:type="dxa"/>
            <w:tcBorders/>
            <w:shd w:fill="FFFFFF" w:val="clear"/>
            <w:vAlign w:val="center"/>
          </w:tcPr>
          <w:p>
            <w:pPr>
              <w:pStyle w:val="TableContents"/>
              <w:spacing w:before="0" w:after="283"/>
              <w:rPr/>
            </w:pPr>
            <w:r>
              <w:rPr/>
              <w:t> </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622" w:type="dxa"/>
            <w:tcBorders/>
            <w:shd w:fill="FFFFFF" w:val="clear"/>
            <w:vAlign w:val="bottom"/>
          </w:tcPr>
          <w:p>
            <w:pPr>
              <w:pStyle w:val="TableContents"/>
              <w:spacing w:before="0" w:after="283"/>
              <w:jc w:val="right"/>
              <w:rPr>
                <w:rFonts w:ascii="Arial" w:hAnsi="Arial"/>
              </w:rPr>
            </w:pPr>
            <w:r>
              <w:rPr>
                <w:rFonts w:ascii="Arial" w:hAnsi="Arial"/>
              </w:rPr>
              <w:t>(375</w:t>
            </w:r>
          </w:p>
        </w:tc>
        <w:tc>
          <w:tcPr>
            <w:tcW w:w="11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48" w:type="dxa"/>
            <w:tcBorders/>
            <w:shd w:fill="E5FFFF" w:val="clear"/>
            <w:vAlign w:val="center"/>
          </w:tcPr>
          <w:p>
            <w:pPr>
              <w:pStyle w:val="TableContents"/>
              <w:spacing w:before="0" w:after="283"/>
              <w:rPr/>
            </w:pPr>
            <w:r>
              <w:rPr/>
              <w:t> </w:t>
            </w:r>
          </w:p>
        </w:tc>
        <w:tc>
          <w:tcPr>
            <w:tcW w:w="7048" w:type="dxa"/>
            <w:tcBorders/>
            <w:shd w:fill="E5FFFF" w:val="clear"/>
            <w:vAlign w:val="center"/>
          </w:tcPr>
          <w:p>
            <w:pPr>
              <w:pStyle w:val="TableContents"/>
              <w:spacing w:before="0" w:after="283"/>
              <w:rPr/>
            </w:pPr>
            <w:r>
              <w:rPr/>
              <w:t> </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866" w:type="dxa"/>
            <w:tcBorders/>
            <w:shd w:fill="E5FFFF" w:val="clear"/>
            <w:vAlign w:val="bottom"/>
          </w:tcPr>
          <w:p>
            <w:pPr>
              <w:pStyle w:val="HorizontalLine"/>
              <w:pBdr>
                <w:bottom w:val="single" w:sz="6" w:space="0" w:color="000000"/>
              </w:pBdr>
              <w:spacing w:before="0" w:after="283"/>
              <w:rPr/>
            </w:pPr>
            <w:r>
              <w:rPr/>
            </w:r>
          </w:p>
        </w:tc>
        <w:tc>
          <w:tcPr>
            <w:tcW w:w="118" w:type="dxa"/>
            <w:tcBorders/>
            <w:shd w:fill="E5FFFF" w:val="clear"/>
            <w:vAlign w:val="center"/>
          </w:tcPr>
          <w:p>
            <w:pPr>
              <w:pStyle w:val="TableContents"/>
              <w:spacing w:before="0" w:after="283"/>
              <w:rPr/>
            </w:pPr>
            <w:r>
              <w:rPr/>
              <w:t> </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622" w:type="dxa"/>
            <w:tcBorders/>
            <w:shd w:fill="E5FFFF" w:val="clear"/>
            <w:vAlign w:val="bottom"/>
          </w:tcPr>
          <w:p>
            <w:pPr>
              <w:pStyle w:val="HorizontalLine"/>
              <w:pBdr>
                <w:bottom w:val="single" w:sz="6" w:space="0" w:color="000000"/>
              </w:pBdr>
              <w:spacing w:before="0" w:after="283"/>
              <w:rPr/>
            </w:pPr>
            <w:r>
              <w:rPr/>
            </w:r>
          </w:p>
        </w:tc>
        <w:tc>
          <w:tcPr>
            <w:tcW w:w="119" w:type="dxa"/>
            <w:tcBorders/>
            <w:shd w:fill="E5FFFF" w:val="clear"/>
            <w:vAlign w:val="center"/>
          </w:tcPr>
          <w:p>
            <w:pPr>
              <w:pStyle w:val="TableContents"/>
              <w:spacing w:before="0" w:after="283"/>
              <w:rPr/>
            </w:pPr>
            <w:r>
              <w:rPr/>
              <w:t> </w:t>
            </w:r>
          </w:p>
        </w:tc>
      </w:tr>
      <w:tr>
        <w:trPr/>
        <w:tc>
          <w:tcPr>
            <w:tcW w:w="448" w:type="dxa"/>
            <w:tcBorders/>
            <w:shd w:fill="FFFFFF" w:val="clear"/>
            <w:vAlign w:val="bottom"/>
          </w:tcPr>
          <w:p>
            <w:pPr>
              <w:pStyle w:val="TableContents"/>
              <w:spacing w:before="0" w:after="283"/>
              <w:jc w:val="left"/>
              <w:rPr/>
            </w:pPr>
            <w:r>
              <w:rPr/>
              <w:t>      </w:t>
            </w:r>
          </w:p>
        </w:tc>
        <w:tc>
          <w:tcPr>
            <w:tcW w:w="7048" w:type="dxa"/>
            <w:tcBorders/>
            <w:shd w:fill="FFFFFF" w:val="clear"/>
            <w:vAlign w:val="bottom"/>
          </w:tcPr>
          <w:p>
            <w:pPr>
              <w:pStyle w:val="TableContents"/>
              <w:spacing w:before="0" w:after="283"/>
              <w:rPr>
                <w:sz w:val="4"/>
                <w:szCs w:val="4"/>
              </w:rPr>
            </w:pPr>
            <w:r>
              <w:rPr>
                <w:sz w:val="4"/>
                <w:szCs w:val="4"/>
              </w:rPr>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right"/>
              <w:rPr>
                <w:rFonts w:ascii="Arial" w:hAnsi="Arial"/>
              </w:rPr>
            </w:pPr>
            <w:r>
              <w:rPr>
                <w:rFonts w:ascii="Arial" w:hAnsi="Arial"/>
              </w:rPr>
              <w:t>$</w:t>
            </w:r>
          </w:p>
        </w:tc>
        <w:tc>
          <w:tcPr>
            <w:tcW w:w="866" w:type="dxa"/>
            <w:tcBorders/>
            <w:shd w:fill="FFFFFF" w:val="clear"/>
            <w:vAlign w:val="bottom"/>
          </w:tcPr>
          <w:p>
            <w:pPr>
              <w:pStyle w:val="TableContents"/>
              <w:spacing w:before="0" w:after="283"/>
              <w:jc w:val="right"/>
              <w:rPr>
                <w:rFonts w:ascii="Arial" w:hAnsi="Arial"/>
              </w:rPr>
            </w:pPr>
            <w:r>
              <w:rPr>
                <w:rFonts w:ascii="Arial" w:hAnsi="Arial"/>
              </w:rPr>
              <w:t>(1,307</w:t>
            </w:r>
          </w:p>
        </w:tc>
        <w:tc>
          <w:tcPr>
            <w:tcW w:w="118" w:type="dxa"/>
            <w:tcBorders/>
            <w:shd w:fill="FFFFFF" w:val="clear"/>
            <w:vAlign w:val="bottom"/>
          </w:tcPr>
          <w:p>
            <w:pPr>
              <w:pStyle w:val="TableContents"/>
              <w:spacing w:before="0" w:after="283"/>
              <w:jc w:val="left"/>
              <w:rPr>
                <w:rFonts w:ascii="Arial" w:hAnsi="Arial"/>
              </w:rPr>
            </w:pPr>
            <w:r>
              <w:rPr>
                <w:rFonts w:ascii="Arial" w:hAnsi="Arial"/>
              </w:rPr>
              <w:t>)</w:t>
            </w:r>
          </w:p>
        </w:tc>
        <w:tc>
          <w:tcPr>
            <w:tcW w:w="299"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right"/>
              <w:rPr>
                <w:rFonts w:ascii="Arial" w:hAnsi="Arial"/>
              </w:rPr>
            </w:pPr>
            <w:r>
              <w:rPr>
                <w:rFonts w:ascii="Arial" w:hAnsi="Arial"/>
              </w:rPr>
              <w:t>$</w:t>
            </w:r>
          </w:p>
        </w:tc>
        <w:tc>
          <w:tcPr>
            <w:tcW w:w="622" w:type="dxa"/>
            <w:tcBorders/>
            <w:shd w:fill="FFFFFF" w:val="clear"/>
            <w:vAlign w:val="bottom"/>
          </w:tcPr>
          <w:p>
            <w:pPr>
              <w:pStyle w:val="TableContents"/>
              <w:spacing w:before="0" w:after="283"/>
              <w:jc w:val="right"/>
              <w:rPr>
                <w:rFonts w:ascii="Arial" w:hAnsi="Arial"/>
              </w:rPr>
            </w:pPr>
            <w:r>
              <w:rPr>
                <w:rFonts w:ascii="Arial" w:hAnsi="Arial"/>
              </w:rPr>
              <w:t>(25</w:t>
            </w:r>
          </w:p>
        </w:tc>
        <w:tc>
          <w:tcPr>
            <w:tcW w:w="119"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48" w:type="dxa"/>
            <w:tcBorders/>
            <w:shd w:fill="E5FFFF" w:val="clear"/>
            <w:vAlign w:val="center"/>
          </w:tcPr>
          <w:p>
            <w:pPr>
              <w:pStyle w:val="TableContents"/>
              <w:spacing w:before="0" w:after="283"/>
              <w:rPr/>
            </w:pPr>
            <w:r>
              <w:rPr/>
              <w:t> </w:t>
            </w:r>
          </w:p>
        </w:tc>
        <w:tc>
          <w:tcPr>
            <w:tcW w:w="7048" w:type="dxa"/>
            <w:tcBorders/>
            <w:shd w:fill="E5FFFF" w:val="clear"/>
            <w:vAlign w:val="center"/>
          </w:tcPr>
          <w:p>
            <w:pPr>
              <w:pStyle w:val="TableContents"/>
              <w:spacing w:before="0" w:after="283"/>
              <w:rPr/>
            </w:pPr>
            <w:r>
              <w:rPr/>
              <w:t> </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866" w:type="dxa"/>
            <w:tcBorders/>
            <w:shd w:fill="E5FFFF" w:val="clear"/>
            <w:vAlign w:val="bottom"/>
          </w:tcPr>
          <w:p>
            <w:pPr>
              <w:pStyle w:val="HorizontalLine"/>
              <w:pBdr>
                <w:bottom w:val="single" w:sz="18" w:space="0" w:color="000000"/>
              </w:pBdr>
              <w:spacing w:before="0" w:after="283"/>
              <w:rPr/>
            </w:pPr>
            <w:r>
              <w:rPr/>
            </w:r>
          </w:p>
        </w:tc>
        <w:tc>
          <w:tcPr>
            <w:tcW w:w="118" w:type="dxa"/>
            <w:tcBorders/>
            <w:shd w:fill="E5FFFF" w:val="clear"/>
            <w:vAlign w:val="center"/>
          </w:tcPr>
          <w:p>
            <w:pPr>
              <w:pStyle w:val="TableContents"/>
              <w:spacing w:before="0" w:after="283"/>
              <w:rPr/>
            </w:pPr>
            <w:r>
              <w:rPr/>
              <w:t> </w:t>
            </w:r>
          </w:p>
        </w:tc>
        <w:tc>
          <w:tcPr>
            <w:tcW w:w="299"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622" w:type="dxa"/>
            <w:tcBorders/>
            <w:shd w:fill="E5FFFF" w:val="clear"/>
            <w:vAlign w:val="bottom"/>
          </w:tcPr>
          <w:p>
            <w:pPr>
              <w:pStyle w:val="HorizontalLine"/>
              <w:pBdr>
                <w:bottom w:val="single" w:sz="18" w:space="0" w:color="000000"/>
              </w:pBdr>
              <w:spacing w:before="0" w:after="283"/>
              <w:rPr/>
            </w:pPr>
            <w:r>
              <w:rPr/>
            </w:r>
          </w:p>
        </w:tc>
        <w:tc>
          <w:tcPr>
            <w:tcW w:w="119" w:type="dxa"/>
            <w:tcBorders/>
            <w:shd w:fill="E5FFFF" w:val="clear"/>
            <w:vAlign w:val="center"/>
          </w:tcPr>
          <w:p>
            <w:pPr>
              <w:pStyle w:val="TableContents"/>
              <w:spacing w:before="0" w:after="283"/>
              <w:rPr/>
            </w:pPr>
            <w:r>
              <w:rPr/>
              <w:t> </w:t>
            </w:r>
          </w:p>
        </w:tc>
      </w:tr>
      <w:tr>
        <w:trPr/>
        <w:tc>
          <w:tcPr>
            <w:tcW w:w="448" w:type="dxa"/>
            <w:tcBorders/>
            <w:shd w:fill="FFFFFF" w:val="clear"/>
            <w:vAlign w:val="bottom"/>
          </w:tcPr>
          <w:p>
            <w:pPr>
              <w:pStyle w:val="TableContents"/>
              <w:spacing w:before="0" w:after="283"/>
              <w:jc w:val="left"/>
              <w:rPr/>
            </w:pPr>
            <w:r>
              <w:rPr/>
              <w:t>      </w:t>
            </w:r>
          </w:p>
        </w:tc>
        <w:tc>
          <w:tcPr>
            <w:tcW w:w="7048" w:type="dxa"/>
            <w:tcBorders/>
            <w:shd w:fill="FFFFFF" w:val="clear"/>
            <w:vAlign w:val="bottom"/>
          </w:tcPr>
          <w:p>
            <w:pPr>
              <w:pStyle w:val="TableContents"/>
              <w:spacing w:before="0" w:after="283"/>
              <w:rPr>
                <w:sz w:val="4"/>
                <w:szCs w:val="4"/>
              </w:rPr>
            </w:pPr>
            <w:r>
              <w:rPr>
                <w:sz w:val="4"/>
                <w:szCs w:val="4"/>
              </w:rPr>
            </w:r>
          </w:p>
        </w:tc>
        <w:tc>
          <w:tcPr>
            <w:tcW w:w="299"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866" w:type="dxa"/>
            <w:tcBorders/>
            <w:shd w:fill="FFFFFF" w:val="clear"/>
            <w:vAlign w:val="center"/>
          </w:tcPr>
          <w:p>
            <w:pPr>
              <w:pStyle w:val="TableContents"/>
              <w:spacing w:before="0" w:after="283"/>
              <w:rPr/>
            </w:pPr>
            <w:r>
              <w:rPr/>
              <w:t> </w:t>
            </w:r>
          </w:p>
        </w:tc>
        <w:tc>
          <w:tcPr>
            <w:tcW w:w="118"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622" w:type="dxa"/>
            <w:tcBorders/>
            <w:shd w:fill="FFFFFF" w:val="clear"/>
            <w:vAlign w:val="center"/>
          </w:tcPr>
          <w:p>
            <w:pPr>
              <w:pStyle w:val="TableContents"/>
              <w:spacing w:before="0" w:after="283"/>
              <w:rPr/>
            </w:pPr>
            <w:r>
              <w:rPr/>
              <w:t> </w:t>
            </w:r>
          </w:p>
        </w:tc>
        <w:tc>
          <w:tcPr>
            <w:tcW w:w="119"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71</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Note 20—Stock-Based Compensation Plans</w:t>
      </w:r>
    </w:p>
    <w:p>
      <w:pPr>
        <w:pStyle w:val="TextBody"/>
        <w:jc w:val="left"/>
        <w:rPr/>
      </w:pPr>
      <w:r>
        <w:rPr/>
        <w:t>      </w:t>
      </w:r>
      <w:r>
        <w:rPr>
          <w:rFonts w:ascii="Arial" w:hAnsi="Arial"/>
        </w:rPr>
        <w:t>We have stock-based compensation plans available to grant non-qualified stock options, incentive stock options, stock appreciation rights, restricted units and restricted stock to key employees. Under the 2006 Stock Incentive Plan of Honeywell International Inc. and its Affiliates (the Plan), which was approved by the shareowners at the Annual Meeting of Shareowners and became effective on April 24, 2006, a maximum of 43 million shares of common stock may be awarded. We expect that common stock awarded on an annual basis will be between 1.0 and 1.5 percent of total common stock outstanding. Following approval of the Plan on April 24, 2006, we will not grant any new awards under any previously existing stock-based compensation plans. Additionally, under the 2006 Stock Plan for Non-Employee Directors of Honeywell International Inc. (the Directors Plan), which was approved by the shareowners at the Annual Meeting of Shareowners and became effective on April 24, 2006, 500,000 shares of Honeywell common stock may be awarded. The Directors Plan replaces the 1994 Stock Plan for Non-Employee Directors of Honeywell International Inc.</w:t>
      </w:r>
    </w:p>
    <w:p>
      <w:pPr>
        <w:pStyle w:val="TextBody"/>
        <w:jc w:val="left"/>
        <w:rPr/>
      </w:pPr>
      <w:r>
        <w:rPr/>
        <w:t>      </w:t>
      </w:r>
      <w:r>
        <w:rPr>
          <w:rFonts w:ascii="Arial" w:hAnsi="Arial"/>
          <w:b/>
          <w:i/>
        </w:rPr>
        <w:t>Stock Options—</w:t>
      </w:r>
      <w:r>
        <w:rPr>
          <w:rFonts w:ascii="Arial" w:hAnsi="Arial"/>
        </w:rPr>
        <w:t>The exercise price, term and other conditions applicable to each option granted under our stock plans are 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have generally vested over a three-year period and expire after ten years. Starting with 2007 option grants the vesting period will be extended to four years.</w:t>
      </w:r>
    </w:p>
    <w:p>
      <w:pPr>
        <w:pStyle w:val="TextBody"/>
        <w:jc w:val="left"/>
        <w:rPr/>
      </w:pPr>
      <w:r>
        <w:rPr/>
        <w:t>      </w:t>
      </w:r>
      <w:r>
        <w:rPr>
          <w:rFonts w:ascii="Arial" w:hAnsi="Arial"/>
        </w:rPr>
        <w:t>The fair value of each option award is estimated on the date of grant using the Black-Scholes option-pricing model. Expected volatility is based on implied volatilities from traded options on Honeywell stock. We used a Monte Carlo simulation model to derive an expected term. Such model uses historical data to estimate option exercise activity and post-vest termination behavior. The expected term represents an estimate of the time options are expected to remain outstanding. The risk-free rate for periods within the contractual life of the option is based on the U.S. treasury yield curve in effect at the time of grant.</w:t>
      </w:r>
    </w:p>
    <w:p>
      <w:pPr>
        <w:pStyle w:val="TextBody"/>
        <w:jc w:val="left"/>
        <w:rPr/>
      </w:pPr>
      <w:r>
        <w:rPr/>
        <w:t>      </w:t>
      </w:r>
      <w:r>
        <w:rPr>
          <w:rFonts w:ascii="Arial" w:hAnsi="Arial"/>
        </w:rPr>
        <w:t>The fair value of each stock option grant made during 2006 was estimated on the grant-date using the Black-Scholes model using the following weighted-average assumptions consistent with the requirements of SFAS No. 123R.</w:t>
      </w:r>
    </w:p>
    <w:tbl>
      <w:tblPr>
        <w:tblW w:w="5000" w:type="pct"/>
        <w:jc w:val="left"/>
        <w:tblInd w:w="0" w:type="dxa"/>
        <w:tblCellMar>
          <w:top w:w="0" w:type="dxa"/>
          <w:left w:w="0" w:type="dxa"/>
          <w:bottom w:w="0" w:type="dxa"/>
          <w:right w:w="0" w:type="dxa"/>
        </w:tblCellMar>
      </w:tblPr>
      <w:tblGrid>
        <w:gridCol w:w="5938"/>
        <w:gridCol w:w="423"/>
        <w:gridCol w:w="251"/>
        <w:gridCol w:w="2617"/>
        <w:gridCol w:w="976"/>
      </w:tblGrid>
      <w:tr>
        <w:trPr/>
        <w:tc>
          <w:tcPr>
            <w:tcW w:w="5938" w:type="dxa"/>
            <w:tcBorders/>
            <w:shd w:fill="FFFFFF" w:val="clear"/>
            <w:vAlign w:val="center"/>
          </w:tcPr>
          <w:p>
            <w:pPr>
              <w:pStyle w:val="TableContents"/>
              <w:spacing w:before="0" w:after="283"/>
              <w:rPr/>
            </w:pPr>
            <w:r>
              <w:rPr/>
              <w:t> </w:t>
            </w:r>
          </w:p>
        </w:tc>
        <w:tc>
          <w:tcPr>
            <w:tcW w:w="423" w:type="dxa"/>
            <w:tcBorders/>
            <w:shd w:fill="FFFFFF" w:val="clear"/>
            <w:vAlign w:val="center"/>
          </w:tcPr>
          <w:p>
            <w:pPr>
              <w:pStyle w:val="TableContents"/>
              <w:spacing w:before="0" w:after="283"/>
              <w:rPr/>
            </w:pPr>
            <w:r>
              <w:rPr/>
              <w:t> </w:t>
            </w:r>
          </w:p>
        </w:tc>
        <w:tc>
          <w:tcPr>
            <w:tcW w:w="3844" w:type="dxa"/>
            <w:gridSpan w:val="3"/>
            <w:tcBorders/>
            <w:shd w:fill="FFFFFF" w:val="clear"/>
            <w:vAlign w:val="bottom"/>
          </w:tcPr>
          <w:p>
            <w:pPr>
              <w:pStyle w:val="TableContents"/>
              <w:spacing w:before="0" w:after="0"/>
              <w:jc w:val="center"/>
              <w:rPr>
                <w:rFonts w:ascii="Arial" w:hAnsi="Arial"/>
                <w:b/>
              </w:rPr>
            </w:pPr>
            <w:r>
              <w:rPr>
                <w:rFonts w:ascii="Arial" w:hAnsi="Arial"/>
                <w:b/>
              </w:rPr>
              <w:t>Year Ended</w:t>
              <w:br/>
              <w:t>December 31, 2006</w:t>
            </w:r>
          </w:p>
          <w:p>
            <w:pPr>
              <w:pStyle w:val="HorizontalLine"/>
              <w:pBdr>
                <w:bottom w:val="single" w:sz="6" w:space="0" w:color="000000"/>
              </w:pBdr>
              <w:spacing w:before="0" w:after="283"/>
              <w:rPr/>
            </w:pPr>
            <w:r>
              <w:rPr/>
            </w:r>
          </w:p>
        </w:tc>
      </w:tr>
      <w:tr>
        <w:trPr/>
        <w:tc>
          <w:tcPr>
            <w:tcW w:w="5938" w:type="dxa"/>
            <w:tcBorders/>
            <w:shd w:fill="FFFFFF" w:val="clear"/>
            <w:vAlign w:val="bottom"/>
          </w:tcPr>
          <w:p>
            <w:pPr>
              <w:pStyle w:val="TableContents"/>
              <w:spacing w:before="0" w:after="283"/>
              <w:jc w:val="left"/>
              <w:rPr>
                <w:rFonts w:ascii="Arial" w:hAnsi="Arial"/>
              </w:rPr>
            </w:pPr>
            <w:r>
              <w:rPr>
                <w:rFonts w:ascii="Arial" w:hAnsi="Arial"/>
              </w:rPr>
              <w:t>Expected volatility</w:t>
            </w:r>
          </w:p>
        </w:tc>
        <w:tc>
          <w:tcPr>
            <w:tcW w:w="423" w:type="dxa"/>
            <w:tcBorders/>
            <w:shd w:fill="FFFFFF" w:val="clear"/>
            <w:vAlign w:val="bottom"/>
          </w:tcPr>
          <w:p>
            <w:pPr>
              <w:pStyle w:val="TableContents"/>
              <w:spacing w:before="0" w:after="283"/>
              <w:jc w:val="right"/>
              <w:rPr/>
            </w:pPr>
            <w:r>
              <w:rPr/>
              <w:t>    </w:t>
            </w:r>
          </w:p>
        </w:tc>
        <w:tc>
          <w:tcPr>
            <w:tcW w:w="251" w:type="dxa"/>
            <w:tcBorders/>
            <w:shd w:fill="FFFFFF" w:val="clear"/>
            <w:vAlign w:val="center"/>
          </w:tcPr>
          <w:p>
            <w:pPr>
              <w:pStyle w:val="TableContents"/>
              <w:spacing w:before="0" w:after="283"/>
              <w:rPr/>
            </w:pPr>
            <w:r>
              <w:rPr/>
              <w:t> </w:t>
            </w:r>
          </w:p>
        </w:tc>
        <w:tc>
          <w:tcPr>
            <w:tcW w:w="2617" w:type="dxa"/>
            <w:tcBorders/>
            <w:shd w:fill="FFFFFF" w:val="clear"/>
            <w:vAlign w:val="bottom"/>
          </w:tcPr>
          <w:p>
            <w:pPr>
              <w:pStyle w:val="TableContents"/>
              <w:spacing w:before="0" w:after="283"/>
              <w:jc w:val="right"/>
              <w:rPr>
                <w:rFonts w:ascii="Arial" w:hAnsi="Arial"/>
              </w:rPr>
            </w:pPr>
            <w:r>
              <w:rPr>
                <w:rFonts w:ascii="Arial" w:hAnsi="Arial"/>
              </w:rPr>
              <w:t>22.32</w:t>
            </w:r>
          </w:p>
        </w:tc>
        <w:tc>
          <w:tcPr>
            <w:tcW w:w="97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38" w:type="dxa"/>
            <w:tcBorders/>
            <w:shd w:fill="E5FFFF" w:val="clear"/>
            <w:vAlign w:val="bottom"/>
          </w:tcPr>
          <w:p>
            <w:pPr>
              <w:pStyle w:val="TableContents"/>
              <w:spacing w:before="0" w:after="283"/>
              <w:jc w:val="left"/>
              <w:rPr>
                <w:rFonts w:ascii="Arial" w:hAnsi="Arial"/>
              </w:rPr>
            </w:pPr>
            <w:r>
              <w:rPr>
                <w:rFonts w:ascii="Arial" w:hAnsi="Arial"/>
              </w:rPr>
              <w:t>Expected annual dividend yield</w:t>
            </w:r>
          </w:p>
        </w:tc>
        <w:tc>
          <w:tcPr>
            <w:tcW w:w="423" w:type="dxa"/>
            <w:tcBorders/>
            <w:shd w:fill="E5FFFF" w:val="clear"/>
            <w:vAlign w:val="bottom"/>
          </w:tcPr>
          <w:p>
            <w:pPr>
              <w:pStyle w:val="TableContents"/>
              <w:spacing w:before="0" w:after="283"/>
              <w:jc w:val="right"/>
              <w:rPr/>
            </w:pPr>
            <w:r>
              <w:rPr/>
              <w:t>    </w:t>
            </w:r>
          </w:p>
        </w:tc>
        <w:tc>
          <w:tcPr>
            <w:tcW w:w="251" w:type="dxa"/>
            <w:tcBorders/>
            <w:shd w:fill="E5FFFF" w:val="clear"/>
            <w:vAlign w:val="center"/>
          </w:tcPr>
          <w:p>
            <w:pPr>
              <w:pStyle w:val="TableContents"/>
              <w:spacing w:before="0" w:after="283"/>
              <w:rPr/>
            </w:pPr>
            <w:r>
              <w:rPr/>
              <w:t> </w:t>
            </w:r>
          </w:p>
        </w:tc>
        <w:tc>
          <w:tcPr>
            <w:tcW w:w="2617" w:type="dxa"/>
            <w:tcBorders/>
            <w:shd w:fill="E5FFFF" w:val="clear"/>
            <w:vAlign w:val="bottom"/>
          </w:tcPr>
          <w:p>
            <w:pPr>
              <w:pStyle w:val="TableContents"/>
              <w:spacing w:before="0" w:after="283"/>
              <w:jc w:val="right"/>
              <w:rPr>
                <w:rFonts w:ascii="Arial" w:hAnsi="Arial"/>
              </w:rPr>
            </w:pPr>
            <w:r>
              <w:rPr>
                <w:rFonts w:ascii="Arial" w:hAnsi="Arial"/>
              </w:rPr>
              <w:t>2.15</w:t>
            </w:r>
          </w:p>
        </w:tc>
        <w:tc>
          <w:tcPr>
            <w:tcW w:w="97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938" w:type="dxa"/>
            <w:tcBorders/>
            <w:shd w:fill="FFFFFF" w:val="clear"/>
            <w:vAlign w:val="bottom"/>
          </w:tcPr>
          <w:p>
            <w:pPr>
              <w:pStyle w:val="TableContents"/>
              <w:spacing w:before="0" w:after="283"/>
              <w:jc w:val="left"/>
              <w:rPr>
                <w:rFonts w:ascii="Arial" w:hAnsi="Arial"/>
              </w:rPr>
            </w:pPr>
            <w:r>
              <w:rPr>
                <w:rFonts w:ascii="Arial" w:hAnsi="Arial"/>
              </w:rPr>
              <w:t>Risk-free rate of return</w:t>
            </w:r>
          </w:p>
        </w:tc>
        <w:tc>
          <w:tcPr>
            <w:tcW w:w="423" w:type="dxa"/>
            <w:tcBorders/>
            <w:shd w:fill="FFFFFF" w:val="clear"/>
            <w:vAlign w:val="bottom"/>
          </w:tcPr>
          <w:p>
            <w:pPr>
              <w:pStyle w:val="TableContents"/>
              <w:spacing w:before="0" w:after="283"/>
              <w:jc w:val="right"/>
              <w:rPr/>
            </w:pPr>
            <w:r>
              <w:rPr/>
              <w:t>    </w:t>
            </w:r>
          </w:p>
        </w:tc>
        <w:tc>
          <w:tcPr>
            <w:tcW w:w="251" w:type="dxa"/>
            <w:tcBorders/>
            <w:shd w:fill="FFFFFF" w:val="clear"/>
            <w:vAlign w:val="center"/>
          </w:tcPr>
          <w:p>
            <w:pPr>
              <w:pStyle w:val="TableContents"/>
              <w:spacing w:before="0" w:after="283"/>
              <w:rPr/>
            </w:pPr>
            <w:r>
              <w:rPr/>
              <w:t> </w:t>
            </w:r>
          </w:p>
        </w:tc>
        <w:tc>
          <w:tcPr>
            <w:tcW w:w="2617" w:type="dxa"/>
            <w:tcBorders/>
            <w:shd w:fill="FFFFFF" w:val="clear"/>
            <w:vAlign w:val="bottom"/>
          </w:tcPr>
          <w:p>
            <w:pPr>
              <w:pStyle w:val="TableContents"/>
              <w:spacing w:before="0" w:after="283"/>
              <w:jc w:val="right"/>
              <w:rPr>
                <w:rFonts w:ascii="Arial" w:hAnsi="Arial"/>
              </w:rPr>
            </w:pPr>
            <w:r>
              <w:rPr>
                <w:rFonts w:ascii="Arial" w:hAnsi="Arial"/>
              </w:rPr>
              <w:t>4.63</w:t>
            </w:r>
          </w:p>
        </w:tc>
        <w:tc>
          <w:tcPr>
            <w:tcW w:w="97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38" w:type="dxa"/>
            <w:tcBorders/>
            <w:shd w:fill="E5FFFF" w:val="clear"/>
            <w:vAlign w:val="bottom"/>
          </w:tcPr>
          <w:p>
            <w:pPr>
              <w:pStyle w:val="TableContents"/>
              <w:spacing w:before="0" w:after="283"/>
              <w:jc w:val="left"/>
              <w:rPr>
                <w:rFonts w:ascii="Arial" w:hAnsi="Arial"/>
              </w:rPr>
            </w:pPr>
            <w:r>
              <w:rPr>
                <w:rFonts w:ascii="Arial" w:hAnsi="Arial"/>
              </w:rPr>
              <w:t>Expected option term (years)</w:t>
            </w:r>
          </w:p>
        </w:tc>
        <w:tc>
          <w:tcPr>
            <w:tcW w:w="423" w:type="dxa"/>
            <w:tcBorders/>
            <w:shd w:fill="E5FFFF" w:val="clear"/>
            <w:vAlign w:val="bottom"/>
          </w:tcPr>
          <w:p>
            <w:pPr>
              <w:pStyle w:val="TableContents"/>
              <w:spacing w:before="0" w:after="283"/>
              <w:jc w:val="right"/>
              <w:rPr/>
            </w:pPr>
            <w:r>
              <w:rPr/>
              <w:t>    </w:t>
            </w:r>
          </w:p>
        </w:tc>
        <w:tc>
          <w:tcPr>
            <w:tcW w:w="251" w:type="dxa"/>
            <w:tcBorders/>
            <w:shd w:fill="E5FFFF" w:val="clear"/>
            <w:vAlign w:val="center"/>
          </w:tcPr>
          <w:p>
            <w:pPr>
              <w:pStyle w:val="TableContents"/>
              <w:spacing w:before="0" w:after="283"/>
              <w:rPr/>
            </w:pPr>
            <w:r>
              <w:rPr/>
              <w:t> </w:t>
            </w:r>
          </w:p>
        </w:tc>
        <w:tc>
          <w:tcPr>
            <w:tcW w:w="2617" w:type="dxa"/>
            <w:tcBorders/>
            <w:shd w:fill="E5FFFF" w:val="clear"/>
            <w:vAlign w:val="bottom"/>
          </w:tcPr>
          <w:p>
            <w:pPr>
              <w:pStyle w:val="TableContents"/>
              <w:spacing w:before="0" w:after="283"/>
              <w:jc w:val="right"/>
              <w:rPr>
                <w:rFonts w:ascii="Arial" w:hAnsi="Arial"/>
              </w:rPr>
            </w:pPr>
            <w:r>
              <w:rPr>
                <w:rFonts w:ascii="Arial" w:hAnsi="Arial"/>
              </w:rPr>
              <w:t>5.0</w:t>
            </w:r>
          </w:p>
        </w:tc>
        <w:tc>
          <w:tcPr>
            <w:tcW w:w="976" w:type="dxa"/>
            <w:tcBorders/>
            <w:shd w:fill="E5FFFF" w:val="clear"/>
            <w:vAlign w:val="center"/>
          </w:tcPr>
          <w:p>
            <w:pPr>
              <w:pStyle w:val="TableContents"/>
              <w:spacing w:before="0" w:after="283"/>
              <w:rPr/>
            </w:pPr>
            <w:r>
              <w:rPr/>
              <w:t> </w:t>
            </w:r>
          </w:p>
        </w:tc>
      </w:tr>
      <w:tr>
        <w:trPr/>
        <w:tc>
          <w:tcPr>
            <w:tcW w:w="5938" w:type="dxa"/>
            <w:tcBorders/>
            <w:shd w:fill="FFFFFF" w:val="clear"/>
            <w:vAlign w:val="bottom"/>
          </w:tcPr>
          <w:p>
            <w:pPr>
              <w:pStyle w:val="TableContents"/>
              <w:spacing w:before="0" w:after="283"/>
              <w:rPr>
                <w:sz w:val="4"/>
                <w:szCs w:val="4"/>
              </w:rPr>
            </w:pPr>
            <w:r>
              <w:rPr>
                <w:sz w:val="4"/>
                <w:szCs w:val="4"/>
              </w:rPr>
            </w:r>
          </w:p>
        </w:tc>
        <w:tc>
          <w:tcPr>
            <w:tcW w:w="423"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2617" w:type="dxa"/>
            <w:tcBorders/>
            <w:shd w:fill="FFFFFF" w:val="clear"/>
            <w:vAlign w:val="center"/>
          </w:tcPr>
          <w:p>
            <w:pPr>
              <w:pStyle w:val="TableContents"/>
              <w:spacing w:before="0" w:after="283"/>
              <w:rPr/>
            </w:pPr>
            <w:r>
              <w:rPr/>
              <w:t> </w:t>
            </w:r>
          </w:p>
        </w:tc>
        <w:tc>
          <w:tcPr>
            <w:tcW w:w="976"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72</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The following table summarizes information about stock option activity for the three years ended December 31, 2006:</w:t>
      </w:r>
    </w:p>
    <w:tbl>
      <w:tblPr>
        <w:tblW w:w="5000" w:type="pct"/>
        <w:jc w:val="left"/>
        <w:tblInd w:w="0" w:type="dxa"/>
        <w:tblCellMar>
          <w:top w:w="0" w:type="dxa"/>
          <w:left w:w="0" w:type="dxa"/>
          <w:bottom w:w="0" w:type="dxa"/>
          <w:right w:w="0" w:type="dxa"/>
        </w:tblCellMar>
      </w:tblPr>
      <w:tblGrid>
        <w:gridCol w:w="403"/>
        <w:gridCol w:w="6408"/>
        <w:gridCol w:w="268"/>
        <w:gridCol w:w="68"/>
        <w:gridCol w:w="1450"/>
        <w:gridCol w:w="107"/>
        <w:gridCol w:w="268"/>
        <w:gridCol w:w="229"/>
        <w:gridCol w:w="914"/>
        <w:gridCol w:w="90"/>
      </w:tblGrid>
      <w:tr>
        <w:trPr/>
        <w:tc>
          <w:tcPr>
            <w:tcW w:w="403" w:type="dxa"/>
            <w:tcBorders/>
            <w:shd w:fill="FFFFFF" w:val="clear"/>
            <w:vAlign w:val="center"/>
          </w:tcPr>
          <w:p>
            <w:pPr>
              <w:pStyle w:val="TableContents"/>
              <w:spacing w:before="0" w:after="283"/>
              <w:rPr/>
            </w:pPr>
            <w:r>
              <w:rPr/>
              <w:t> </w:t>
            </w:r>
          </w:p>
        </w:tc>
        <w:tc>
          <w:tcPr>
            <w:tcW w:w="6408"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1625" w:type="dxa"/>
            <w:gridSpan w:val="3"/>
            <w:tcBorders/>
            <w:shd w:fill="FFFFFF" w:val="clear"/>
            <w:vAlign w:val="bottom"/>
          </w:tcPr>
          <w:p>
            <w:pPr>
              <w:pStyle w:val="TableContents"/>
              <w:spacing w:before="0" w:after="0"/>
              <w:jc w:val="center"/>
              <w:rPr>
                <w:rFonts w:ascii="Arial" w:hAnsi="Arial"/>
                <w:b/>
              </w:rPr>
            </w:pPr>
            <w:r>
              <w:rPr>
                <w:rFonts w:ascii="Arial" w:hAnsi="Arial"/>
                <w:b/>
              </w:rPr>
              <w:t>Number of</w:t>
              <w:br/>
              <w:t>Options</w:t>
            </w:r>
          </w:p>
          <w:p>
            <w:pPr>
              <w:pStyle w:val="HorizontalLine"/>
              <w:pBdr>
                <w:bottom w:val="single" w:sz="6" w:space="0" w:color="000000"/>
              </w:pBdr>
              <w:spacing w:before="0" w:after="283"/>
              <w:rPr/>
            </w:pPr>
            <w:r>
              <w:rPr/>
            </w:r>
          </w:p>
        </w:tc>
        <w:tc>
          <w:tcPr>
            <w:tcW w:w="268" w:type="dxa"/>
            <w:tcBorders/>
            <w:shd w:fill="FFFFFF" w:val="clear"/>
            <w:vAlign w:val="center"/>
          </w:tcPr>
          <w:p>
            <w:pPr>
              <w:pStyle w:val="TableContents"/>
              <w:spacing w:before="0" w:after="283"/>
              <w:rPr/>
            </w:pPr>
            <w:r>
              <w:rPr/>
              <w:t> </w:t>
            </w:r>
          </w:p>
        </w:tc>
        <w:tc>
          <w:tcPr>
            <w:tcW w:w="1233" w:type="dxa"/>
            <w:gridSpan w:val="3"/>
            <w:tcBorders/>
            <w:shd w:fill="FFFFFF" w:val="clear"/>
            <w:vAlign w:val="bottom"/>
          </w:tcPr>
          <w:p>
            <w:pPr>
              <w:pStyle w:val="TableContents"/>
              <w:spacing w:before="0" w:after="0"/>
              <w:jc w:val="center"/>
              <w:rPr>
                <w:rFonts w:ascii="Arial" w:hAnsi="Arial"/>
                <w:b/>
              </w:rPr>
            </w:pPr>
            <w:r>
              <w:rPr>
                <w:rFonts w:ascii="Arial" w:hAnsi="Arial"/>
                <w:b/>
              </w:rPr>
              <w:t>Weighted</w:t>
              <w:br/>
              <w:t>Average</w:t>
              <w:br/>
              <w:t>Exercise</w:t>
              <w:br/>
              <w:t>Price</w:t>
            </w:r>
          </w:p>
          <w:p>
            <w:pPr>
              <w:pStyle w:val="HorizontalLine"/>
              <w:pBdr>
                <w:bottom w:val="single" w:sz="6" w:space="0" w:color="000000"/>
              </w:pBdr>
              <w:spacing w:before="0" w:after="283"/>
              <w:rPr/>
            </w:pPr>
            <w:r>
              <w:rPr/>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jc w:val="left"/>
              <w:rPr>
                <w:rFonts w:ascii="Arial" w:hAnsi="Arial"/>
              </w:rPr>
            </w:pPr>
            <w:r>
              <w:rPr>
                <w:rFonts w:ascii="Arial" w:hAnsi="Arial"/>
              </w:rPr>
              <w:t>Outstanding at December 31, 2003</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Arial" w:hAnsi="Arial"/>
              </w:rPr>
            </w:pPr>
            <w:r>
              <w:rPr>
                <w:rFonts w:ascii="Arial" w:hAnsi="Arial"/>
              </w:rPr>
              <w:t>54,444,346</w:t>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229" w:type="dxa"/>
            <w:tcBorders/>
            <w:shd w:fill="FFFFFF" w:val="clear"/>
            <w:vAlign w:val="bottom"/>
          </w:tcPr>
          <w:p>
            <w:pPr>
              <w:pStyle w:val="TableContents"/>
              <w:spacing w:before="0" w:after="283"/>
              <w:jc w:val="right"/>
              <w:rPr>
                <w:rFonts w:ascii="Arial" w:hAnsi="Arial"/>
              </w:rPr>
            </w:pPr>
            <w:r>
              <w:rPr>
                <w:rFonts w:ascii="Arial" w:hAnsi="Arial"/>
              </w:rPr>
              <w:t>$</w:t>
            </w:r>
          </w:p>
        </w:tc>
        <w:tc>
          <w:tcPr>
            <w:tcW w:w="914" w:type="dxa"/>
            <w:tcBorders/>
            <w:shd w:fill="FFFFFF" w:val="clear"/>
            <w:vAlign w:val="bottom"/>
          </w:tcPr>
          <w:p>
            <w:pPr>
              <w:pStyle w:val="TableContents"/>
              <w:spacing w:before="0" w:after="283"/>
              <w:jc w:val="right"/>
              <w:rPr>
                <w:rFonts w:ascii="Arial" w:hAnsi="Arial"/>
              </w:rPr>
            </w:pPr>
            <w:r>
              <w:rPr>
                <w:rFonts w:ascii="Arial" w:hAnsi="Arial"/>
              </w:rPr>
              <w:t>37.68</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Granted</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9,469,800</w:t>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bottom"/>
          </w:tcPr>
          <w:p>
            <w:pPr>
              <w:pStyle w:val="TableContents"/>
              <w:spacing w:before="0" w:after="283"/>
              <w:jc w:val="right"/>
              <w:rPr>
                <w:rFonts w:ascii="Arial" w:hAnsi="Arial"/>
              </w:rPr>
            </w:pPr>
            <w:r>
              <w:rPr>
                <w:rFonts w:ascii="Arial" w:hAnsi="Arial"/>
              </w:rPr>
              <w:t>35.49</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jc w:val="left"/>
              <w:rPr>
                <w:rFonts w:ascii="Arial" w:hAnsi="Arial"/>
              </w:rPr>
            </w:pPr>
            <w:r>
              <w:rPr>
                <w:rFonts w:ascii="Arial" w:hAnsi="Arial"/>
              </w:rPr>
              <w:t>Exercised</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Arial" w:hAnsi="Arial"/>
              </w:rPr>
            </w:pPr>
            <w:r>
              <w:rPr>
                <w:rFonts w:ascii="Arial" w:hAnsi="Arial"/>
              </w:rPr>
              <w:t>(2,955,232</w:t>
            </w:r>
          </w:p>
        </w:tc>
        <w:tc>
          <w:tcPr>
            <w:tcW w:w="107" w:type="dxa"/>
            <w:tcBorders/>
            <w:shd w:fill="FFFFFF" w:val="clear"/>
            <w:vAlign w:val="bottom"/>
          </w:tcPr>
          <w:p>
            <w:pPr>
              <w:pStyle w:val="TableContents"/>
              <w:spacing w:before="0" w:after="283"/>
              <w:jc w:val="left"/>
              <w:rPr>
                <w:rFonts w:ascii="Arial" w:hAnsi="Arial"/>
              </w:rPr>
            </w:pPr>
            <w:r>
              <w:rPr>
                <w:rFonts w:ascii="Arial" w:hAnsi="Arial"/>
              </w:rPr>
              <w:t>)</w:t>
            </w:r>
          </w:p>
        </w:tc>
        <w:tc>
          <w:tcPr>
            <w:tcW w:w="268" w:type="dxa"/>
            <w:tcBorders/>
            <w:shd w:fill="FFFFFF" w:val="clear"/>
            <w:vAlign w:val="bottom"/>
          </w:tcPr>
          <w:p>
            <w:pPr>
              <w:pStyle w:val="TableContents"/>
              <w:spacing w:before="0" w:after="283"/>
              <w:jc w:val="right"/>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bottom"/>
          </w:tcPr>
          <w:p>
            <w:pPr>
              <w:pStyle w:val="TableContents"/>
              <w:spacing w:before="0" w:after="283"/>
              <w:jc w:val="right"/>
              <w:rPr>
                <w:rFonts w:ascii="Arial" w:hAnsi="Arial"/>
              </w:rPr>
            </w:pPr>
            <w:r>
              <w:rPr>
                <w:rFonts w:ascii="Arial" w:hAnsi="Arial"/>
              </w:rPr>
              <w:t>21.20</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Lapsed or canceled</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(2,433,985</w:t>
            </w:r>
          </w:p>
        </w:tc>
        <w:tc>
          <w:tcPr>
            <w:tcW w:w="107" w:type="dxa"/>
            <w:tcBorders/>
            <w:shd w:fill="E5FFFF" w:val="clear"/>
            <w:vAlign w:val="bottom"/>
          </w:tcPr>
          <w:p>
            <w:pPr>
              <w:pStyle w:val="TableContents"/>
              <w:spacing w:before="0" w:after="283"/>
              <w:jc w:val="left"/>
              <w:rPr>
                <w:rFonts w:ascii="Arial" w:hAnsi="Arial"/>
              </w:rPr>
            </w:pPr>
            <w:r>
              <w:rPr>
                <w:rFonts w:ascii="Arial" w:hAnsi="Arial"/>
              </w:rPr>
              <w:t>)</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bottom"/>
          </w:tcPr>
          <w:p>
            <w:pPr>
              <w:pStyle w:val="TableContents"/>
              <w:spacing w:before="0" w:after="283"/>
              <w:jc w:val="right"/>
              <w:rPr>
                <w:rFonts w:ascii="Arial" w:hAnsi="Arial"/>
              </w:rPr>
            </w:pPr>
            <w:r>
              <w:rPr>
                <w:rFonts w:ascii="Arial" w:hAnsi="Arial"/>
              </w:rPr>
              <w:t>39.41</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center"/>
          </w:tcPr>
          <w:p>
            <w:pPr>
              <w:pStyle w:val="TableContents"/>
              <w:spacing w:before="0" w:after="283"/>
              <w:rPr/>
            </w:pPr>
            <w:r>
              <w:rPr/>
              <w:t> </w:t>
            </w:r>
          </w:p>
        </w:tc>
        <w:tc>
          <w:tcPr>
            <w:tcW w:w="6408"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HorizontalLine"/>
              <w:pBdr>
                <w:bottom w:val="single" w:sz="6" w:space="0" w:color="000000"/>
              </w:pBdr>
              <w:spacing w:before="0" w:after="283"/>
              <w:rPr/>
            </w:pPr>
            <w:r>
              <w:rPr/>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Outstanding at December 31, 2004</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58,524,929</w:t>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bottom"/>
          </w:tcPr>
          <w:p>
            <w:pPr>
              <w:pStyle w:val="TableContents"/>
              <w:spacing w:before="0" w:after="283"/>
              <w:jc w:val="right"/>
              <w:rPr>
                <w:rFonts w:ascii="Arial" w:hAnsi="Arial"/>
              </w:rPr>
            </w:pPr>
            <w:r>
              <w:rPr>
                <w:rFonts w:ascii="Arial" w:hAnsi="Arial"/>
              </w:rPr>
              <w:t>38.09</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jc w:val="left"/>
              <w:rPr>
                <w:rFonts w:ascii="Arial" w:hAnsi="Arial"/>
              </w:rPr>
            </w:pPr>
            <w:r>
              <w:rPr>
                <w:rFonts w:ascii="Arial" w:hAnsi="Arial"/>
              </w:rPr>
              <w:t>Granted</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Arial" w:hAnsi="Arial"/>
              </w:rPr>
            </w:pPr>
            <w:r>
              <w:rPr>
                <w:rFonts w:ascii="Arial" w:hAnsi="Arial"/>
              </w:rPr>
              <w:t>10,327,350</w:t>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bottom"/>
          </w:tcPr>
          <w:p>
            <w:pPr>
              <w:pStyle w:val="TableContents"/>
              <w:spacing w:before="0" w:after="283"/>
              <w:jc w:val="right"/>
              <w:rPr>
                <w:rFonts w:ascii="Arial" w:hAnsi="Arial"/>
              </w:rPr>
            </w:pPr>
            <w:r>
              <w:rPr>
                <w:rFonts w:ascii="Arial" w:hAnsi="Arial"/>
              </w:rPr>
              <w:t>36.75</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Exercised</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(5,372,501</w:t>
            </w:r>
          </w:p>
        </w:tc>
        <w:tc>
          <w:tcPr>
            <w:tcW w:w="107" w:type="dxa"/>
            <w:tcBorders/>
            <w:shd w:fill="E5FFFF" w:val="clear"/>
            <w:vAlign w:val="bottom"/>
          </w:tcPr>
          <w:p>
            <w:pPr>
              <w:pStyle w:val="TableContents"/>
              <w:spacing w:before="0" w:after="283"/>
              <w:jc w:val="left"/>
              <w:rPr>
                <w:rFonts w:ascii="Arial" w:hAnsi="Arial"/>
              </w:rPr>
            </w:pPr>
            <w:r>
              <w:rPr>
                <w:rFonts w:ascii="Arial" w:hAnsi="Arial"/>
              </w:rPr>
              <w:t>)</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bottom"/>
          </w:tcPr>
          <w:p>
            <w:pPr>
              <w:pStyle w:val="TableContents"/>
              <w:spacing w:before="0" w:after="283"/>
              <w:jc w:val="right"/>
              <w:rPr>
                <w:rFonts w:ascii="Arial" w:hAnsi="Arial"/>
              </w:rPr>
            </w:pPr>
            <w:r>
              <w:rPr>
                <w:rFonts w:ascii="Arial" w:hAnsi="Arial"/>
              </w:rPr>
              <w:t>29.07</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jc w:val="left"/>
              <w:rPr>
                <w:rFonts w:ascii="Arial" w:hAnsi="Arial"/>
              </w:rPr>
            </w:pPr>
            <w:r>
              <w:rPr>
                <w:rFonts w:ascii="Arial" w:hAnsi="Arial"/>
              </w:rPr>
              <w:t>Lapsed or canceled</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Arial" w:hAnsi="Arial"/>
              </w:rPr>
            </w:pPr>
            <w:r>
              <w:rPr>
                <w:rFonts w:ascii="Arial" w:hAnsi="Arial"/>
              </w:rPr>
              <w:t>(4,261,523</w:t>
            </w:r>
          </w:p>
        </w:tc>
        <w:tc>
          <w:tcPr>
            <w:tcW w:w="107" w:type="dxa"/>
            <w:tcBorders/>
            <w:shd w:fill="FFFFFF" w:val="clear"/>
            <w:vAlign w:val="bottom"/>
          </w:tcPr>
          <w:p>
            <w:pPr>
              <w:pStyle w:val="TableContents"/>
              <w:spacing w:before="0" w:after="283"/>
              <w:jc w:val="left"/>
              <w:rPr>
                <w:rFonts w:ascii="Arial" w:hAnsi="Arial"/>
              </w:rPr>
            </w:pPr>
            <w:r>
              <w:rPr>
                <w:rFonts w:ascii="Arial" w:hAnsi="Arial"/>
              </w:rPr>
              <w:t>)</w:t>
            </w:r>
          </w:p>
        </w:tc>
        <w:tc>
          <w:tcPr>
            <w:tcW w:w="268" w:type="dxa"/>
            <w:tcBorders/>
            <w:shd w:fill="FFFFFF" w:val="clear"/>
            <w:vAlign w:val="bottom"/>
          </w:tcPr>
          <w:p>
            <w:pPr>
              <w:pStyle w:val="TableContents"/>
              <w:spacing w:before="0" w:after="283"/>
              <w:jc w:val="right"/>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bottom"/>
          </w:tcPr>
          <w:p>
            <w:pPr>
              <w:pStyle w:val="TableContents"/>
              <w:spacing w:before="0" w:after="283"/>
              <w:jc w:val="right"/>
              <w:rPr>
                <w:rFonts w:ascii="Arial" w:hAnsi="Arial"/>
              </w:rPr>
            </w:pPr>
            <w:r>
              <w:rPr>
                <w:rFonts w:ascii="Arial" w:hAnsi="Arial"/>
              </w:rPr>
              <w:t>40.46</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center"/>
          </w:tcPr>
          <w:p>
            <w:pPr>
              <w:pStyle w:val="TableContents"/>
              <w:spacing w:before="0" w:after="283"/>
              <w:rPr/>
            </w:pPr>
            <w:r>
              <w:rPr/>
              <w:t> </w:t>
            </w:r>
          </w:p>
        </w:tc>
        <w:tc>
          <w:tcPr>
            <w:tcW w:w="6408"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HorizontalLine"/>
              <w:pBdr>
                <w:bottom w:val="single" w:sz="6" w:space="0" w:color="000000"/>
              </w:pBdr>
              <w:spacing w:before="0" w:after="283"/>
              <w:rPr/>
            </w:pPr>
            <w:r>
              <w:rPr/>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center"/>
          </w:tcPr>
          <w:p>
            <w:pPr>
              <w:pStyle w:val="TableContents"/>
              <w:spacing w:before="0" w:after="283"/>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center"/>
          </w:tcPr>
          <w:p>
            <w:pPr>
              <w:pStyle w:val="TableContents"/>
              <w:spacing w:before="0" w:after="283"/>
              <w:rPr/>
            </w:pPr>
            <w:r>
              <w:rPr/>
              <w:t> </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jc w:val="left"/>
              <w:rPr>
                <w:rFonts w:ascii="Arial" w:hAnsi="Arial"/>
              </w:rPr>
            </w:pPr>
            <w:r>
              <w:rPr>
                <w:rFonts w:ascii="Arial" w:hAnsi="Arial"/>
              </w:rPr>
              <w:t>Outstanding at December 31, 2005</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Arial" w:hAnsi="Arial"/>
              </w:rPr>
            </w:pPr>
            <w:r>
              <w:rPr>
                <w:rFonts w:ascii="Arial" w:hAnsi="Arial"/>
              </w:rPr>
              <w:t>59,218,255</w:t>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bottom"/>
          </w:tcPr>
          <w:p>
            <w:pPr>
              <w:pStyle w:val="TableContents"/>
              <w:spacing w:before="0" w:after="283"/>
              <w:jc w:val="right"/>
              <w:rPr>
                <w:rFonts w:ascii="Arial" w:hAnsi="Arial"/>
              </w:rPr>
            </w:pPr>
            <w:r>
              <w:rPr>
                <w:rFonts w:ascii="Arial" w:hAnsi="Arial"/>
              </w:rPr>
              <w:t>38.50</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Granted</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9,193,200</w:t>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bottom"/>
          </w:tcPr>
          <w:p>
            <w:pPr>
              <w:pStyle w:val="TableContents"/>
              <w:spacing w:before="0" w:after="283"/>
              <w:jc w:val="right"/>
              <w:rPr>
                <w:rFonts w:ascii="Arial" w:hAnsi="Arial"/>
              </w:rPr>
            </w:pPr>
            <w:r>
              <w:rPr>
                <w:rFonts w:ascii="Arial" w:hAnsi="Arial"/>
              </w:rPr>
              <w:t>42.35</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jc w:val="left"/>
              <w:rPr>
                <w:rFonts w:ascii="Arial" w:hAnsi="Arial"/>
              </w:rPr>
            </w:pPr>
            <w:r>
              <w:rPr>
                <w:rFonts w:ascii="Arial" w:hAnsi="Arial"/>
              </w:rPr>
              <w:t>Exercised</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TableContents"/>
              <w:spacing w:before="0" w:after="283"/>
              <w:jc w:val="right"/>
              <w:rPr>
                <w:rFonts w:ascii="Arial" w:hAnsi="Arial"/>
              </w:rPr>
            </w:pPr>
            <w:r>
              <w:rPr>
                <w:rFonts w:ascii="Arial" w:hAnsi="Arial"/>
              </w:rPr>
              <w:t>(11,466,491</w:t>
            </w:r>
          </w:p>
        </w:tc>
        <w:tc>
          <w:tcPr>
            <w:tcW w:w="107" w:type="dxa"/>
            <w:tcBorders/>
            <w:shd w:fill="FFFFFF" w:val="clear"/>
            <w:vAlign w:val="bottom"/>
          </w:tcPr>
          <w:p>
            <w:pPr>
              <w:pStyle w:val="TableContents"/>
              <w:spacing w:before="0" w:after="283"/>
              <w:jc w:val="left"/>
              <w:rPr>
                <w:rFonts w:ascii="Arial" w:hAnsi="Arial"/>
              </w:rPr>
            </w:pPr>
            <w:r>
              <w:rPr>
                <w:rFonts w:ascii="Arial" w:hAnsi="Arial"/>
              </w:rPr>
              <w:t>)</w:t>
            </w:r>
          </w:p>
        </w:tc>
        <w:tc>
          <w:tcPr>
            <w:tcW w:w="268" w:type="dxa"/>
            <w:tcBorders/>
            <w:shd w:fill="FFFFFF" w:val="clear"/>
            <w:vAlign w:val="bottom"/>
          </w:tcPr>
          <w:p>
            <w:pPr>
              <w:pStyle w:val="TableContents"/>
              <w:spacing w:before="0" w:after="283"/>
              <w:jc w:val="right"/>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bottom"/>
          </w:tcPr>
          <w:p>
            <w:pPr>
              <w:pStyle w:val="TableContents"/>
              <w:spacing w:before="0" w:after="283"/>
              <w:jc w:val="right"/>
              <w:rPr>
                <w:rFonts w:ascii="Arial" w:hAnsi="Arial"/>
              </w:rPr>
            </w:pPr>
            <w:r>
              <w:rPr>
                <w:rFonts w:ascii="Arial" w:hAnsi="Arial"/>
              </w:rPr>
              <w:t>33.61</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Lapsed or canceled</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(2,712,287</w:t>
            </w:r>
          </w:p>
        </w:tc>
        <w:tc>
          <w:tcPr>
            <w:tcW w:w="107" w:type="dxa"/>
            <w:tcBorders/>
            <w:shd w:fill="E5FFFF" w:val="clear"/>
            <w:vAlign w:val="bottom"/>
          </w:tcPr>
          <w:p>
            <w:pPr>
              <w:pStyle w:val="TableContents"/>
              <w:spacing w:before="0" w:after="283"/>
              <w:jc w:val="left"/>
              <w:rPr>
                <w:rFonts w:ascii="Arial" w:hAnsi="Arial"/>
              </w:rPr>
            </w:pPr>
            <w:r>
              <w:rPr>
                <w:rFonts w:ascii="Arial" w:hAnsi="Arial"/>
              </w:rPr>
              <w:t>)</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center"/>
          </w:tcPr>
          <w:p>
            <w:pPr>
              <w:pStyle w:val="TableContents"/>
              <w:spacing w:before="0" w:after="283"/>
              <w:rPr/>
            </w:pPr>
            <w:r>
              <w:rPr/>
              <w:t> </w:t>
            </w:r>
          </w:p>
        </w:tc>
        <w:tc>
          <w:tcPr>
            <w:tcW w:w="914" w:type="dxa"/>
            <w:tcBorders/>
            <w:shd w:fill="E5FFFF" w:val="clear"/>
            <w:vAlign w:val="bottom"/>
          </w:tcPr>
          <w:p>
            <w:pPr>
              <w:pStyle w:val="TableContents"/>
              <w:spacing w:before="0" w:after="283"/>
              <w:jc w:val="right"/>
              <w:rPr>
                <w:rFonts w:ascii="Arial" w:hAnsi="Arial"/>
              </w:rPr>
            </w:pPr>
            <w:r>
              <w:rPr>
                <w:rFonts w:ascii="Arial" w:hAnsi="Arial"/>
              </w:rPr>
              <w:t>42.27</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center"/>
          </w:tcPr>
          <w:p>
            <w:pPr>
              <w:pStyle w:val="TableContents"/>
              <w:spacing w:before="0" w:after="283"/>
              <w:rPr/>
            </w:pPr>
            <w:r>
              <w:rPr/>
              <w:t> </w:t>
            </w:r>
          </w:p>
        </w:tc>
        <w:tc>
          <w:tcPr>
            <w:tcW w:w="6408"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HorizontalLine"/>
              <w:pBdr>
                <w:bottom w:val="single" w:sz="6" w:space="0" w:color="000000"/>
              </w:pBdr>
              <w:spacing w:before="0" w:after="283"/>
              <w:rPr/>
            </w:pPr>
            <w:r>
              <w:rPr/>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Outstanding at December 31, 2006</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54,232,677</w:t>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bottom"/>
          </w:tcPr>
          <w:p>
            <w:pPr>
              <w:pStyle w:val="TableContents"/>
              <w:spacing w:before="0" w:after="283"/>
              <w:jc w:val="right"/>
              <w:rPr>
                <w:rFonts w:ascii="Arial" w:hAnsi="Arial"/>
              </w:rPr>
            </w:pPr>
            <w:r>
              <w:rPr>
                <w:rFonts w:ascii="Arial" w:hAnsi="Arial"/>
              </w:rPr>
              <w:t>$</w:t>
            </w:r>
          </w:p>
        </w:tc>
        <w:tc>
          <w:tcPr>
            <w:tcW w:w="914" w:type="dxa"/>
            <w:tcBorders/>
            <w:shd w:fill="E5FFFF" w:val="clear"/>
            <w:vAlign w:val="bottom"/>
          </w:tcPr>
          <w:p>
            <w:pPr>
              <w:pStyle w:val="TableContents"/>
              <w:spacing w:before="0" w:after="283"/>
              <w:jc w:val="right"/>
              <w:rPr>
                <w:rFonts w:ascii="Arial" w:hAnsi="Arial"/>
              </w:rPr>
            </w:pPr>
            <w:r>
              <w:rPr>
                <w:rFonts w:ascii="Arial" w:hAnsi="Arial"/>
              </w:rPr>
              <w:t>39.98</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center"/>
          </w:tcPr>
          <w:p>
            <w:pPr>
              <w:pStyle w:val="TableContents"/>
              <w:spacing w:before="0" w:after="283"/>
              <w:rPr/>
            </w:pPr>
            <w:r>
              <w:rPr/>
              <w:t> </w:t>
            </w:r>
          </w:p>
        </w:tc>
        <w:tc>
          <w:tcPr>
            <w:tcW w:w="6408"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HorizontalLine"/>
              <w:pBdr>
                <w:bottom w:val="single" w:sz="18" w:space="0" w:color="000000"/>
              </w:pBdr>
              <w:spacing w:before="0" w:after="283"/>
              <w:rPr/>
            </w:pPr>
            <w:r>
              <w:rPr/>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Vested and expected to vest at December 31, 2006(1)</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52,076,411</w:t>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bottom"/>
          </w:tcPr>
          <w:p>
            <w:pPr>
              <w:pStyle w:val="TableContents"/>
              <w:spacing w:before="0" w:after="283"/>
              <w:jc w:val="right"/>
              <w:rPr>
                <w:rFonts w:ascii="Arial" w:hAnsi="Arial"/>
              </w:rPr>
            </w:pPr>
            <w:r>
              <w:rPr>
                <w:rFonts w:ascii="Arial" w:hAnsi="Arial"/>
              </w:rPr>
              <w:t>$</w:t>
            </w:r>
          </w:p>
        </w:tc>
        <w:tc>
          <w:tcPr>
            <w:tcW w:w="914" w:type="dxa"/>
            <w:tcBorders/>
            <w:shd w:fill="E5FFFF" w:val="clear"/>
            <w:vAlign w:val="bottom"/>
          </w:tcPr>
          <w:p>
            <w:pPr>
              <w:pStyle w:val="TableContents"/>
              <w:spacing w:before="0" w:after="283"/>
              <w:jc w:val="right"/>
              <w:rPr>
                <w:rFonts w:ascii="Arial" w:hAnsi="Arial"/>
              </w:rPr>
            </w:pPr>
            <w:r>
              <w:rPr>
                <w:rFonts w:ascii="Arial" w:hAnsi="Arial"/>
              </w:rPr>
              <w:t>39.76</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center"/>
          </w:tcPr>
          <w:p>
            <w:pPr>
              <w:pStyle w:val="TableContents"/>
              <w:spacing w:before="0" w:after="283"/>
              <w:rPr/>
            </w:pPr>
            <w:r>
              <w:rPr/>
              <w:t> </w:t>
            </w:r>
          </w:p>
        </w:tc>
        <w:tc>
          <w:tcPr>
            <w:tcW w:w="6408"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HorizontalLine"/>
              <w:pBdr>
                <w:bottom w:val="single" w:sz="18" w:space="0" w:color="000000"/>
              </w:pBdr>
              <w:spacing w:before="0" w:after="283"/>
              <w:rPr/>
            </w:pPr>
            <w:r>
              <w:rPr/>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r>
        <w:trPr/>
        <w:tc>
          <w:tcPr>
            <w:tcW w:w="403" w:type="dxa"/>
            <w:tcBorders/>
            <w:shd w:fill="E5FFFF" w:val="clear"/>
            <w:vAlign w:val="bottom"/>
          </w:tcPr>
          <w:p>
            <w:pPr>
              <w:pStyle w:val="TableContents"/>
              <w:spacing w:before="0" w:after="283"/>
              <w:jc w:val="left"/>
              <w:rPr/>
            </w:pPr>
            <w:r>
              <w:rPr/>
              <w:t>      </w:t>
            </w:r>
          </w:p>
        </w:tc>
        <w:tc>
          <w:tcPr>
            <w:tcW w:w="6408" w:type="dxa"/>
            <w:tcBorders/>
            <w:shd w:fill="E5FFFF" w:val="clear"/>
            <w:vAlign w:val="bottom"/>
          </w:tcPr>
          <w:p>
            <w:pPr>
              <w:pStyle w:val="TableContents"/>
              <w:spacing w:before="0" w:after="283"/>
              <w:jc w:val="left"/>
              <w:rPr>
                <w:rFonts w:ascii="Arial" w:hAnsi="Arial"/>
              </w:rPr>
            </w:pPr>
            <w:r>
              <w:rPr>
                <w:rFonts w:ascii="Arial" w:hAnsi="Arial"/>
              </w:rPr>
              <w:t>Exercisable at December 31, 2006</w:t>
            </w:r>
          </w:p>
        </w:tc>
        <w:tc>
          <w:tcPr>
            <w:tcW w:w="268" w:type="dxa"/>
            <w:tcBorders/>
            <w:shd w:fill="E5FFFF" w:val="clear"/>
            <w:vAlign w:val="bottom"/>
          </w:tcPr>
          <w:p>
            <w:pPr>
              <w:pStyle w:val="TableContents"/>
              <w:spacing w:before="0" w:after="283"/>
              <w:jc w:val="right"/>
              <w:rPr/>
            </w:pPr>
            <w:r>
              <w:rPr/>
              <w:t>    </w:t>
            </w:r>
          </w:p>
        </w:tc>
        <w:tc>
          <w:tcPr>
            <w:tcW w:w="68" w:type="dxa"/>
            <w:tcBorders/>
            <w:shd w:fill="E5FFFF" w:val="clear"/>
            <w:vAlign w:val="center"/>
          </w:tcPr>
          <w:p>
            <w:pPr>
              <w:pStyle w:val="TableContents"/>
              <w:spacing w:before="0" w:after="283"/>
              <w:rPr/>
            </w:pPr>
            <w:r>
              <w:rPr/>
              <w:t> </w:t>
            </w:r>
          </w:p>
        </w:tc>
        <w:tc>
          <w:tcPr>
            <w:tcW w:w="1450" w:type="dxa"/>
            <w:tcBorders/>
            <w:shd w:fill="E5FFFF" w:val="clear"/>
            <w:vAlign w:val="bottom"/>
          </w:tcPr>
          <w:p>
            <w:pPr>
              <w:pStyle w:val="TableContents"/>
              <w:spacing w:before="0" w:after="283"/>
              <w:jc w:val="right"/>
              <w:rPr>
                <w:rFonts w:ascii="Arial" w:hAnsi="Arial"/>
              </w:rPr>
            </w:pPr>
            <w:r>
              <w:rPr>
                <w:rFonts w:ascii="Arial" w:hAnsi="Arial"/>
              </w:rPr>
              <w:t>37,902,956</w:t>
            </w:r>
          </w:p>
        </w:tc>
        <w:tc>
          <w:tcPr>
            <w:tcW w:w="107" w:type="dxa"/>
            <w:tcBorders/>
            <w:shd w:fill="E5FFFF" w:val="clear"/>
            <w:vAlign w:val="center"/>
          </w:tcPr>
          <w:p>
            <w:pPr>
              <w:pStyle w:val="TableContents"/>
              <w:spacing w:before="0" w:after="283"/>
              <w:rPr/>
            </w:pPr>
            <w:r>
              <w:rPr/>
              <w:t> </w:t>
            </w:r>
          </w:p>
        </w:tc>
        <w:tc>
          <w:tcPr>
            <w:tcW w:w="268" w:type="dxa"/>
            <w:tcBorders/>
            <w:shd w:fill="E5FFFF" w:val="clear"/>
            <w:vAlign w:val="bottom"/>
          </w:tcPr>
          <w:p>
            <w:pPr>
              <w:pStyle w:val="TableContents"/>
              <w:spacing w:before="0" w:after="283"/>
              <w:jc w:val="right"/>
              <w:rPr/>
            </w:pPr>
            <w:r>
              <w:rPr/>
              <w:t>    </w:t>
            </w:r>
          </w:p>
        </w:tc>
        <w:tc>
          <w:tcPr>
            <w:tcW w:w="229" w:type="dxa"/>
            <w:tcBorders/>
            <w:shd w:fill="E5FFFF" w:val="clear"/>
            <w:vAlign w:val="bottom"/>
          </w:tcPr>
          <w:p>
            <w:pPr>
              <w:pStyle w:val="TableContents"/>
              <w:spacing w:before="0" w:after="283"/>
              <w:jc w:val="right"/>
              <w:rPr>
                <w:rFonts w:ascii="Arial" w:hAnsi="Arial"/>
              </w:rPr>
            </w:pPr>
            <w:r>
              <w:rPr>
                <w:rFonts w:ascii="Arial" w:hAnsi="Arial"/>
              </w:rPr>
              <w:t>$</w:t>
            </w:r>
          </w:p>
        </w:tc>
        <w:tc>
          <w:tcPr>
            <w:tcW w:w="914" w:type="dxa"/>
            <w:tcBorders/>
            <w:shd w:fill="E5FFFF" w:val="clear"/>
            <w:vAlign w:val="bottom"/>
          </w:tcPr>
          <w:p>
            <w:pPr>
              <w:pStyle w:val="TableContents"/>
              <w:spacing w:before="0" w:after="283"/>
              <w:jc w:val="right"/>
              <w:rPr>
                <w:rFonts w:ascii="Arial" w:hAnsi="Arial"/>
              </w:rPr>
            </w:pPr>
            <w:r>
              <w:rPr>
                <w:rFonts w:ascii="Arial" w:hAnsi="Arial"/>
              </w:rPr>
              <w:t>40.16</w:t>
            </w:r>
          </w:p>
        </w:tc>
        <w:tc>
          <w:tcPr>
            <w:tcW w:w="90" w:type="dxa"/>
            <w:tcBorders/>
            <w:shd w:fill="E5FFFF" w:val="clear"/>
            <w:vAlign w:val="center"/>
          </w:tcPr>
          <w:p>
            <w:pPr>
              <w:pStyle w:val="TableContents"/>
              <w:spacing w:before="0" w:after="283"/>
              <w:rPr/>
            </w:pPr>
            <w:r>
              <w:rPr/>
              <w:t> </w:t>
            </w:r>
          </w:p>
        </w:tc>
      </w:tr>
      <w:tr>
        <w:trPr/>
        <w:tc>
          <w:tcPr>
            <w:tcW w:w="403" w:type="dxa"/>
            <w:tcBorders/>
            <w:shd w:fill="FFFFFF" w:val="clear"/>
            <w:vAlign w:val="center"/>
          </w:tcPr>
          <w:p>
            <w:pPr>
              <w:pStyle w:val="TableContents"/>
              <w:spacing w:before="0" w:after="283"/>
              <w:rPr/>
            </w:pPr>
            <w:r>
              <w:rPr/>
              <w:t> </w:t>
            </w:r>
          </w:p>
        </w:tc>
        <w:tc>
          <w:tcPr>
            <w:tcW w:w="6408" w:type="dxa"/>
            <w:tcBorders/>
            <w:shd w:fill="FFFFFF" w:val="clear"/>
            <w:vAlign w:val="center"/>
          </w:tcPr>
          <w:p>
            <w:pPr>
              <w:pStyle w:val="TableContents"/>
              <w:spacing w:before="0" w:after="283"/>
              <w:rPr/>
            </w:pPr>
            <w:r>
              <w:rPr/>
              <w:t> </w:t>
            </w:r>
          </w:p>
        </w:tc>
        <w:tc>
          <w:tcPr>
            <w:tcW w:w="268" w:type="dxa"/>
            <w:tcBorders/>
            <w:shd w:fill="FFFFFF" w:val="clear"/>
            <w:vAlign w:val="bottom"/>
          </w:tcPr>
          <w:p>
            <w:pPr>
              <w:pStyle w:val="TableContents"/>
              <w:spacing w:before="0" w:after="283"/>
              <w:jc w:val="right"/>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bottom"/>
          </w:tcPr>
          <w:p>
            <w:pPr>
              <w:pStyle w:val="HorizontalLine"/>
              <w:pBdr>
                <w:bottom w:val="single" w:sz="18" w:space="0" w:color="000000"/>
              </w:pBdr>
              <w:spacing w:before="0" w:after="283"/>
              <w:rPr/>
            </w:pPr>
            <w:r>
              <w:rPr/>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r>
        <w:trPr/>
        <w:tc>
          <w:tcPr>
            <w:tcW w:w="403" w:type="dxa"/>
            <w:tcBorders/>
            <w:shd w:fill="FFFFFF" w:val="clear"/>
            <w:vAlign w:val="bottom"/>
          </w:tcPr>
          <w:p>
            <w:pPr>
              <w:pStyle w:val="TableContents"/>
              <w:spacing w:before="0" w:after="283"/>
              <w:jc w:val="left"/>
              <w:rPr/>
            </w:pPr>
            <w:r>
              <w:rPr/>
              <w:t>      </w:t>
            </w:r>
          </w:p>
        </w:tc>
        <w:tc>
          <w:tcPr>
            <w:tcW w:w="6408" w:type="dxa"/>
            <w:tcBorders/>
            <w:shd w:fill="FFFFFF" w:val="clear"/>
            <w:vAlign w:val="bottom"/>
          </w:tcPr>
          <w:p>
            <w:pPr>
              <w:pStyle w:val="TableContents"/>
              <w:spacing w:before="0" w:after="283"/>
              <w:rPr>
                <w:sz w:val="4"/>
                <w:szCs w:val="4"/>
              </w:rPr>
            </w:pPr>
            <w:r>
              <w:rPr>
                <w:sz w:val="4"/>
                <w:szCs w:val="4"/>
              </w:rPr>
            </w:r>
          </w:p>
        </w:tc>
        <w:tc>
          <w:tcPr>
            <w:tcW w:w="2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1450"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68"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914"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83"/>
        <w:gridCol w:w="180"/>
        <w:gridCol w:w="9742"/>
      </w:tblGrid>
      <w:tr>
        <w:trPr/>
        <w:tc>
          <w:tcPr>
            <w:tcW w:w="283"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42" w:type="dxa"/>
            <w:tcBorders/>
            <w:shd w:fill="FFFFFF" w:val="clear"/>
            <w:vAlign w:val="center"/>
          </w:tcPr>
          <w:p>
            <w:pPr>
              <w:pStyle w:val="TableContents"/>
              <w:spacing w:before="0" w:after="283"/>
              <w:rPr/>
            </w:pPr>
            <w:r>
              <w:rPr/>
              <w:t> </w:t>
            </w:r>
          </w:p>
        </w:tc>
      </w:tr>
      <w:tr>
        <w:trPr/>
        <w:tc>
          <w:tcPr>
            <w:tcW w:w="283"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42" w:type="dxa"/>
            <w:tcBorders/>
            <w:shd w:fill="FFFFFF" w:val="clear"/>
            <w:vAlign w:val="bottom"/>
          </w:tcPr>
          <w:p>
            <w:pPr>
              <w:pStyle w:val="TableContents"/>
              <w:spacing w:before="0" w:after="283"/>
              <w:jc w:val="left"/>
              <w:rPr>
                <w:rFonts w:ascii="Arial" w:hAnsi="Arial"/>
              </w:rPr>
            </w:pPr>
            <w:r>
              <w:rPr>
                <w:rFonts w:ascii="Arial" w:hAnsi="Arial"/>
              </w:rPr>
              <w:t>The expected to vest options are the result of applying the pre-vesting forfeiture rate assumption to total outstanding options.</w:t>
            </w:r>
          </w:p>
        </w:tc>
      </w:tr>
    </w:tbl>
    <w:p>
      <w:pPr>
        <w:pStyle w:val="TextBody"/>
        <w:jc w:val="left"/>
        <w:rPr/>
      </w:pPr>
      <w:r>
        <w:rPr/>
        <w:t>      </w:t>
      </w:r>
      <w:r>
        <w:rPr>
          <w:rFonts w:ascii="Arial" w:hAnsi="Arial"/>
        </w:rPr>
        <w:t>The following table summarizes information about stock options outstanding and exercisable at December 31, 2006:</w:t>
      </w:r>
    </w:p>
    <w:tbl>
      <w:tblPr>
        <w:tblW w:w="10345" w:type="dxa"/>
        <w:jc w:val="left"/>
        <w:tblInd w:w="0" w:type="dxa"/>
        <w:tblCellMar>
          <w:top w:w="0" w:type="dxa"/>
          <w:left w:w="0" w:type="dxa"/>
          <w:bottom w:w="0" w:type="dxa"/>
          <w:right w:w="0" w:type="dxa"/>
        </w:tblCellMar>
      </w:tblPr>
      <w:tblGrid>
        <w:gridCol w:w="980"/>
        <w:gridCol w:w="120"/>
        <w:gridCol w:w="64"/>
        <w:gridCol w:w="1301"/>
        <w:gridCol w:w="65"/>
        <w:gridCol w:w="120"/>
        <w:gridCol w:w="109"/>
        <w:gridCol w:w="881"/>
        <w:gridCol w:w="110"/>
        <w:gridCol w:w="120"/>
        <w:gridCol w:w="204"/>
        <w:gridCol w:w="816"/>
        <w:gridCol w:w="80"/>
        <w:gridCol w:w="120"/>
        <w:gridCol w:w="295"/>
        <w:gridCol w:w="810"/>
        <w:gridCol w:w="115"/>
        <w:gridCol w:w="120"/>
        <w:gridCol w:w="60"/>
        <w:gridCol w:w="1233"/>
        <w:gridCol w:w="62"/>
        <w:gridCol w:w="120"/>
        <w:gridCol w:w="204"/>
        <w:gridCol w:w="816"/>
        <w:gridCol w:w="80"/>
        <w:gridCol w:w="120"/>
        <w:gridCol w:w="295"/>
        <w:gridCol w:w="810"/>
        <w:gridCol w:w="115"/>
      </w:tblGrid>
      <w:tr>
        <w:trPr/>
        <w:tc>
          <w:tcPr>
            <w:tcW w:w="98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5210" w:type="dxa"/>
            <w:gridSpan w:val="15"/>
            <w:tcBorders/>
            <w:shd w:fill="FFFFFF" w:val="clear"/>
            <w:vAlign w:val="bottom"/>
          </w:tcPr>
          <w:p>
            <w:pPr>
              <w:pStyle w:val="TableContents"/>
              <w:spacing w:before="0" w:after="0"/>
              <w:jc w:val="center"/>
              <w:rPr>
                <w:rFonts w:ascii="Arial" w:hAnsi="Arial"/>
                <w:b/>
              </w:rPr>
            </w:pPr>
            <w:r>
              <w:rPr>
                <w:rFonts w:ascii="Arial" w:hAnsi="Arial"/>
                <w:b/>
              </w:rPr>
              <w:t>Options Outstanding</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3915" w:type="dxa"/>
            <w:gridSpan w:val="11"/>
            <w:tcBorders/>
            <w:shd w:fill="FFFFFF" w:val="clear"/>
            <w:vAlign w:val="bottom"/>
          </w:tcPr>
          <w:p>
            <w:pPr>
              <w:pStyle w:val="TableContents"/>
              <w:spacing w:before="0" w:after="0"/>
              <w:jc w:val="center"/>
              <w:rPr>
                <w:rFonts w:ascii="Arial" w:hAnsi="Arial"/>
                <w:b/>
              </w:rPr>
            </w:pPr>
            <w:r>
              <w:rPr>
                <w:rFonts w:ascii="Arial" w:hAnsi="Arial"/>
                <w:b/>
              </w:rPr>
              <w:t>Options Exercisable</w:t>
            </w:r>
          </w:p>
          <w:p>
            <w:pPr>
              <w:pStyle w:val="HorizontalLine"/>
              <w:pBdr>
                <w:bottom w:val="single" w:sz="6" w:space="0" w:color="000000"/>
              </w:pBdr>
              <w:spacing w:before="0" w:after="283"/>
              <w:rPr/>
            </w:pPr>
            <w:r>
              <w:rPr/>
            </w:r>
          </w:p>
        </w:tc>
      </w:tr>
      <w:tr>
        <w:trPr/>
        <w:tc>
          <w:tcPr>
            <w:tcW w:w="980" w:type="dxa"/>
            <w:tcBorders/>
            <w:shd w:fill="FFFFFF" w:val="clear"/>
            <w:vAlign w:val="bottom"/>
          </w:tcPr>
          <w:p>
            <w:pPr>
              <w:pStyle w:val="TableContents"/>
              <w:spacing w:before="0" w:after="0"/>
              <w:jc w:val="left"/>
              <w:rPr>
                <w:rFonts w:ascii="Arial" w:hAnsi="Arial"/>
                <w:b/>
              </w:rPr>
            </w:pPr>
            <w:r>
              <w:rPr>
                <w:rFonts w:ascii="Arial" w:hAnsi="Arial"/>
                <w:b/>
              </w:rPr>
              <w:t>Range of exercise prices</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430" w:type="dxa"/>
            <w:gridSpan w:val="3"/>
            <w:tcBorders/>
            <w:shd w:fill="FFFFFF" w:val="clear"/>
            <w:vAlign w:val="bottom"/>
          </w:tcPr>
          <w:p>
            <w:pPr>
              <w:pStyle w:val="TableContents"/>
              <w:spacing w:before="0" w:after="0"/>
              <w:jc w:val="center"/>
              <w:rPr>
                <w:rFonts w:ascii="Arial" w:hAnsi="Arial"/>
                <w:b/>
              </w:rPr>
            </w:pPr>
            <w:r>
              <w:rPr>
                <w:rFonts w:ascii="Arial" w:hAnsi="Arial"/>
                <w:b/>
              </w:rPr>
              <w:t>Number</w:t>
              <w:br/>
              <w:t>Outstanding</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100" w:type="dxa"/>
            <w:gridSpan w:val="3"/>
            <w:tcBorders/>
            <w:shd w:fill="FFFFFF" w:val="clear"/>
            <w:vAlign w:val="bottom"/>
          </w:tcPr>
          <w:p>
            <w:pPr>
              <w:pStyle w:val="TableContents"/>
              <w:spacing w:before="0" w:after="0"/>
              <w:jc w:val="center"/>
              <w:rPr>
                <w:rFonts w:ascii="Arial" w:hAnsi="Arial"/>
                <w:b/>
              </w:rPr>
            </w:pPr>
            <w:r>
              <w:rPr>
                <w:rFonts w:ascii="Arial" w:hAnsi="Arial"/>
                <w:b/>
              </w:rPr>
              <w:t>Weighted</w:t>
              <w:br/>
              <w:t>Average</w:t>
              <w:br/>
              <w:t>Life(1)</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100" w:type="dxa"/>
            <w:gridSpan w:val="3"/>
            <w:tcBorders/>
            <w:shd w:fill="FFFFFF" w:val="clear"/>
            <w:vAlign w:val="bottom"/>
          </w:tcPr>
          <w:p>
            <w:pPr>
              <w:pStyle w:val="TableContents"/>
              <w:spacing w:before="0" w:after="0"/>
              <w:jc w:val="center"/>
              <w:rPr>
                <w:rFonts w:ascii="Arial" w:hAnsi="Arial"/>
                <w:b/>
              </w:rPr>
            </w:pPr>
            <w:r>
              <w:rPr>
                <w:rFonts w:ascii="Arial" w:hAnsi="Arial"/>
                <w:b/>
              </w:rPr>
              <w:t>Weighted</w:t>
              <w:br/>
              <w:t>Average</w:t>
              <w:br/>
              <w:t>Exercise</w:t>
              <w:br/>
              <w:t>Price</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220" w:type="dxa"/>
            <w:gridSpan w:val="3"/>
            <w:tcBorders/>
            <w:shd w:fill="FFFFFF" w:val="clear"/>
            <w:vAlign w:val="bottom"/>
          </w:tcPr>
          <w:p>
            <w:pPr>
              <w:pStyle w:val="TableContents"/>
              <w:spacing w:before="0" w:after="0"/>
              <w:jc w:val="center"/>
              <w:rPr>
                <w:rFonts w:ascii="Arial" w:hAnsi="Arial"/>
                <w:b/>
              </w:rPr>
            </w:pPr>
            <w:r>
              <w:rPr>
                <w:rFonts w:ascii="Arial" w:hAnsi="Arial"/>
                <w:b/>
              </w:rPr>
              <w:t>Aggregate</w:t>
              <w:br/>
              <w:t>Intrinsic</w:t>
              <w:br/>
              <w:t>Value</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355" w:type="dxa"/>
            <w:gridSpan w:val="3"/>
            <w:tcBorders/>
            <w:shd w:fill="FFFFFF" w:val="clear"/>
            <w:vAlign w:val="bottom"/>
          </w:tcPr>
          <w:p>
            <w:pPr>
              <w:pStyle w:val="TableContents"/>
              <w:spacing w:before="0" w:after="0"/>
              <w:jc w:val="center"/>
              <w:rPr>
                <w:rFonts w:ascii="Arial" w:hAnsi="Arial"/>
                <w:b/>
              </w:rPr>
            </w:pPr>
            <w:r>
              <w:rPr>
                <w:rFonts w:ascii="Arial" w:hAnsi="Arial"/>
                <w:b/>
              </w:rPr>
              <w:t>Number</w:t>
              <w:br/>
              <w:t>Exercisable</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100" w:type="dxa"/>
            <w:gridSpan w:val="3"/>
            <w:tcBorders/>
            <w:shd w:fill="FFFFFF" w:val="clear"/>
            <w:vAlign w:val="bottom"/>
          </w:tcPr>
          <w:p>
            <w:pPr>
              <w:pStyle w:val="TableContents"/>
              <w:spacing w:before="0" w:after="0"/>
              <w:jc w:val="center"/>
              <w:rPr>
                <w:rFonts w:ascii="Arial" w:hAnsi="Arial"/>
                <w:b/>
              </w:rPr>
            </w:pPr>
            <w:r>
              <w:rPr>
                <w:rFonts w:ascii="Arial" w:hAnsi="Arial"/>
                <w:b/>
              </w:rPr>
              <w:t>Weighted</w:t>
              <w:br/>
              <w:t>Average</w:t>
              <w:br/>
              <w:t>Exercise</w:t>
              <w:br/>
              <w:t>Price</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1220" w:type="dxa"/>
            <w:gridSpan w:val="3"/>
            <w:tcBorders/>
            <w:shd w:fill="FFFFFF" w:val="clear"/>
            <w:vAlign w:val="bottom"/>
          </w:tcPr>
          <w:p>
            <w:pPr>
              <w:pStyle w:val="TableContents"/>
              <w:spacing w:before="0" w:after="0"/>
              <w:jc w:val="center"/>
              <w:rPr>
                <w:rFonts w:ascii="Arial" w:hAnsi="Arial"/>
                <w:b/>
              </w:rPr>
            </w:pPr>
            <w:r>
              <w:rPr>
                <w:rFonts w:ascii="Arial" w:hAnsi="Arial"/>
                <w:b/>
              </w:rPr>
              <w:t>Aggregate</w:t>
              <w:br/>
              <w:t>Intrinsic</w:t>
              <w:br/>
              <w:t>Value</w:t>
            </w:r>
          </w:p>
          <w:p>
            <w:pPr>
              <w:pStyle w:val="HorizontalLine"/>
              <w:pBdr>
                <w:bottom w:val="single" w:sz="6" w:space="0" w:color="000000"/>
              </w:pBdr>
              <w:spacing w:before="0" w:after="283"/>
              <w:rPr/>
            </w:pPr>
            <w:r>
              <w:rPr/>
            </w:r>
          </w:p>
        </w:tc>
      </w:tr>
      <w:tr>
        <w:trPr/>
        <w:tc>
          <w:tcPr>
            <w:tcW w:w="980" w:type="dxa"/>
            <w:tcBorders/>
            <w:shd w:fill="E5FFFF" w:val="clear"/>
            <w:vAlign w:val="bottom"/>
          </w:tcPr>
          <w:p>
            <w:pPr>
              <w:pStyle w:val="TableContents"/>
              <w:spacing w:before="0" w:after="283"/>
              <w:jc w:val="left"/>
              <w:rPr>
                <w:rFonts w:ascii="Arial" w:hAnsi="Arial"/>
              </w:rPr>
            </w:pPr>
            <w:r>
              <w:rPr>
                <w:rFonts w:ascii="Arial" w:hAnsi="Arial"/>
              </w:rPr>
              <w:t>$21.75–$32.63</w:t>
            </w:r>
          </w:p>
        </w:tc>
        <w:tc>
          <w:tcPr>
            <w:tcW w:w="120" w:type="dxa"/>
            <w:tcBorders/>
            <w:shd w:fill="E5FFFF" w:val="clear"/>
            <w:vAlign w:val="bottom"/>
          </w:tcPr>
          <w:p>
            <w:pPr>
              <w:pStyle w:val="TableContents"/>
              <w:spacing w:before="0" w:after="283"/>
              <w:jc w:val="right"/>
              <w:rPr/>
            </w:pPr>
            <w:r>
              <w:rPr/>
              <w:t>  </w:t>
            </w:r>
          </w:p>
        </w:tc>
        <w:tc>
          <w:tcPr>
            <w:tcW w:w="64" w:type="dxa"/>
            <w:tcBorders/>
            <w:shd w:fill="E5FFFF" w:val="clear"/>
            <w:vAlign w:val="center"/>
          </w:tcPr>
          <w:p>
            <w:pPr>
              <w:pStyle w:val="TableContents"/>
              <w:spacing w:before="0" w:after="283"/>
              <w:rPr/>
            </w:pPr>
            <w:r>
              <w:rPr/>
              <w:t> </w:t>
            </w:r>
          </w:p>
        </w:tc>
        <w:tc>
          <w:tcPr>
            <w:tcW w:w="1301" w:type="dxa"/>
            <w:tcBorders/>
            <w:shd w:fill="E5FFFF" w:val="clear"/>
            <w:vAlign w:val="bottom"/>
          </w:tcPr>
          <w:p>
            <w:pPr>
              <w:pStyle w:val="TableContents"/>
              <w:spacing w:before="0" w:after="283"/>
              <w:jc w:val="right"/>
              <w:rPr>
                <w:rFonts w:ascii="Arial" w:hAnsi="Arial"/>
              </w:rPr>
            </w:pPr>
            <w:r>
              <w:rPr>
                <w:rFonts w:ascii="Arial" w:hAnsi="Arial"/>
              </w:rPr>
              <w:t>5,197,055</w:t>
            </w:r>
          </w:p>
        </w:tc>
        <w:tc>
          <w:tcPr>
            <w:tcW w:w="65"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109" w:type="dxa"/>
            <w:tcBorders/>
            <w:shd w:fill="E5FFFF" w:val="clear"/>
            <w:vAlign w:val="center"/>
          </w:tcPr>
          <w:p>
            <w:pPr>
              <w:pStyle w:val="TableContents"/>
              <w:spacing w:before="0" w:after="283"/>
              <w:rPr/>
            </w:pPr>
            <w:r>
              <w:rPr/>
              <w:t> </w:t>
            </w:r>
          </w:p>
        </w:tc>
        <w:tc>
          <w:tcPr>
            <w:tcW w:w="881" w:type="dxa"/>
            <w:tcBorders/>
            <w:shd w:fill="E5FFFF" w:val="clear"/>
            <w:vAlign w:val="bottom"/>
          </w:tcPr>
          <w:p>
            <w:pPr>
              <w:pStyle w:val="TableContents"/>
              <w:spacing w:before="0" w:after="283"/>
              <w:jc w:val="right"/>
              <w:rPr>
                <w:rFonts w:ascii="Arial" w:hAnsi="Arial"/>
              </w:rPr>
            </w:pPr>
            <w:r>
              <w:rPr>
                <w:rFonts w:ascii="Arial" w:hAnsi="Arial"/>
              </w:rPr>
              <w:t>6.07</w:t>
            </w:r>
          </w:p>
        </w:tc>
        <w:tc>
          <w:tcPr>
            <w:tcW w:w="11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04" w:type="dxa"/>
            <w:tcBorders/>
            <w:shd w:fill="E5FFFF" w:val="clear"/>
            <w:vAlign w:val="bottom"/>
          </w:tcPr>
          <w:p>
            <w:pPr>
              <w:pStyle w:val="TableContents"/>
              <w:spacing w:before="0" w:after="283"/>
              <w:jc w:val="right"/>
              <w:rPr>
                <w:rFonts w:ascii="Arial" w:hAnsi="Arial"/>
              </w:rPr>
            </w:pPr>
            <w:r>
              <w:rPr>
                <w:rFonts w:ascii="Arial" w:hAnsi="Arial"/>
              </w:rPr>
              <w:t>$</w:t>
            </w:r>
          </w:p>
        </w:tc>
        <w:tc>
          <w:tcPr>
            <w:tcW w:w="816" w:type="dxa"/>
            <w:tcBorders/>
            <w:shd w:fill="E5FFFF" w:val="clear"/>
            <w:vAlign w:val="bottom"/>
          </w:tcPr>
          <w:p>
            <w:pPr>
              <w:pStyle w:val="TableContents"/>
              <w:spacing w:before="0" w:after="283"/>
              <w:jc w:val="right"/>
              <w:rPr>
                <w:rFonts w:ascii="Arial" w:hAnsi="Arial"/>
              </w:rPr>
            </w:pPr>
            <w:r>
              <w:rPr>
                <w:rFonts w:ascii="Arial" w:hAnsi="Arial"/>
              </w:rPr>
              <w:t>24.07</w:t>
            </w:r>
          </w:p>
        </w:tc>
        <w:tc>
          <w:tcPr>
            <w:tcW w:w="8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95" w:type="dxa"/>
            <w:tcBorders/>
            <w:shd w:fill="E5FFFF" w:val="clear"/>
            <w:vAlign w:val="bottom"/>
          </w:tcPr>
          <w:p>
            <w:pPr>
              <w:pStyle w:val="TableContents"/>
              <w:spacing w:before="0" w:after="283"/>
              <w:jc w:val="right"/>
              <w:rPr>
                <w:rFonts w:ascii="Arial" w:hAnsi="Arial"/>
              </w:rPr>
            </w:pPr>
            <w:r>
              <w:rPr>
                <w:rFonts w:ascii="Arial" w:hAnsi="Arial"/>
              </w:rPr>
              <w:t>$</w:t>
            </w:r>
          </w:p>
        </w:tc>
        <w:tc>
          <w:tcPr>
            <w:tcW w:w="810" w:type="dxa"/>
            <w:tcBorders/>
            <w:shd w:fill="E5FFFF" w:val="clear"/>
            <w:vAlign w:val="bottom"/>
          </w:tcPr>
          <w:p>
            <w:pPr>
              <w:pStyle w:val="TableContents"/>
              <w:spacing w:before="0" w:after="283"/>
              <w:jc w:val="right"/>
              <w:rPr>
                <w:rFonts w:ascii="Arial" w:hAnsi="Arial"/>
              </w:rPr>
            </w:pPr>
            <w:r>
              <w:rPr>
                <w:rFonts w:ascii="Arial" w:hAnsi="Arial"/>
              </w:rPr>
              <w:t>111</w:t>
            </w:r>
          </w:p>
        </w:tc>
        <w:tc>
          <w:tcPr>
            <w:tcW w:w="115"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1233" w:type="dxa"/>
            <w:tcBorders/>
            <w:shd w:fill="E5FFFF" w:val="clear"/>
            <w:vAlign w:val="bottom"/>
          </w:tcPr>
          <w:p>
            <w:pPr>
              <w:pStyle w:val="TableContents"/>
              <w:spacing w:before="0" w:after="283"/>
              <w:jc w:val="right"/>
              <w:rPr>
                <w:rFonts w:ascii="Arial" w:hAnsi="Arial"/>
              </w:rPr>
            </w:pPr>
            <w:r>
              <w:rPr>
                <w:rFonts w:ascii="Arial" w:hAnsi="Arial"/>
              </w:rPr>
              <w:t>5,151,345</w:t>
            </w:r>
          </w:p>
        </w:tc>
        <w:tc>
          <w:tcPr>
            <w:tcW w:w="62"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04" w:type="dxa"/>
            <w:tcBorders/>
            <w:shd w:fill="E5FFFF" w:val="clear"/>
            <w:vAlign w:val="bottom"/>
          </w:tcPr>
          <w:p>
            <w:pPr>
              <w:pStyle w:val="TableContents"/>
              <w:spacing w:before="0" w:after="283"/>
              <w:jc w:val="right"/>
              <w:rPr>
                <w:rFonts w:ascii="Arial" w:hAnsi="Arial"/>
              </w:rPr>
            </w:pPr>
            <w:r>
              <w:rPr>
                <w:rFonts w:ascii="Arial" w:hAnsi="Arial"/>
              </w:rPr>
              <w:t>$</w:t>
            </w:r>
          </w:p>
        </w:tc>
        <w:tc>
          <w:tcPr>
            <w:tcW w:w="816" w:type="dxa"/>
            <w:tcBorders/>
            <w:shd w:fill="E5FFFF" w:val="clear"/>
            <w:vAlign w:val="bottom"/>
          </w:tcPr>
          <w:p>
            <w:pPr>
              <w:pStyle w:val="TableContents"/>
              <w:spacing w:before="0" w:after="283"/>
              <w:jc w:val="right"/>
              <w:rPr>
                <w:rFonts w:ascii="Arial" w:hAnsi="Arial"/>
              </w:rPr>
            </w:pPr>
            <w:r>
              <w:rPr>
                <w:rFonts w:ascii="Arial" w:hAnsi="Arial"/>
              </w:rPr>
              <w:t>24.03</w:t>
            </w:r>
          </w:p>
        </w:tc>
        <w:tc>
          <w:tcPr>
            <w:tcW w:w="8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95" w:type="dxa"/>
            <w:tcBorders/>
            <w:shd w:fill="E5FFFF" w:val="clear"/>
            <w:vAlign w:val="bottom"/>
          </w:tcPr>
          <w:p>
            <w:pPr>
              <w:pStyle w:val="TableContents"/>
              <w:spacing w:before="0" w:after="283"/>
              <w:jc w:val="right"/>
              <w:rPr>
                <w:rFonts w:ascii="Arial" w:hAnsi="Arial"/>
              </w:rPr>
            </w:pPr>
            <w:r>
              <w:rPr>
                <w:rFonts w:ascii="Arial" w:hAnsi="Arial"/>
              </w:rPr>
              <w:t>$</w:t>
            </w:r>
          </w:p>
        </w:tc>
        <w:tc>
          <w:tcPr>
            <w:tcW w:w="810" w:type="dxa"/>
            <w:tcBorders/>
            <w:shd w:fill="E5FFFF" w:val="clear"/>
            <w:vAlign w:val="bottom"/>
          </w:tcPr>
          <w:p>
            <w:pPr>
              <w:pStyle w:val="TableContents"/>
              <w:spacing w:before="0" w:after="283"/>
              <w:jc w:val="right"/>
              <w:rPr>
                <w:rFonts w:ascii="Arial" w:hAnsi="Arial"/>
              </w:rPr>
            </w:pPr>
            <w:r>
              <w:rPr>
                <w:rFonts w:ascii="Arial" w:hAnsi="Arial"/>
              </w:rPr>
              <w:t>110</w:t>
            </w:r>
          </w:p>
        </w:tc>
        <w:tc>
          <w:tcPr>
            <w:tcW w:w="115" w:type="dxa"/>
            <w:tcBorders/>
            <w:shd w:fill="E5FFFF" w:val="clear"/>
            <w:vAlign w:val="center"/>
          </w:tcPr>
          <w:p>
            <w:pPr>
              <w:pStyle w:val="TableContents"/>
              <w:spacing w:before="0" w:after="283"/>
              <w:rPr/>
            </w:pPr>
            <w:r>
              <w:rPr/>
              <w:t> </w:t>
            </w:r>
          </w:p>
        </w:tc>
      </w:tr>
      <w:tr>
        <w:trPr/>
        <w:tc>
          <w:tcPr>
            <w:tcW w:w="980" w:type="dxa"/>
            <w:tcBorders/>
            <w:shd w:fill="FFFFFF" w:val="clear"/>
            <w:vAlign w:val="bottom"/>
          </w:tcPr>
          <w:p>
            <w:pPr>
              <w:pStyle w:val="TableContents"/>
              <w:spacing w:before="0" w:after="283"/>
              <w:jc w:val="left"/>
              <w:rPr>
                <w:rFonts w:ascii="Arial" w:hAnsi="Arial"/>
              </w:rPr>
            </w:pPr>
            <w:r>
              <w:rPr>
                <w:rFonts w:ascii="Arial" w:hAnsi="Arial"/>
              </w:rPr>
              <w:t>$33.00–$49.50</w:t>
            </w:r>
          </w:p>
        </w:tc>
        <w:tc>
          <w:tcPr>
            <w:tcW w:w="120" w:type="dxa"/>
            <w:tcBorders/>
            <w:shd w:fill="FFFFFF" w:val="clear"/>
            <w:vAlign w:val="bottom"/>
          </w:tcPr>
          <w:p>
            <w:pPr>
              <w:pStyle w:val="TableContents"/>
              <w:spacing w:before="0" w:after="283"/>
              <w:jc w:val="right"/>
              <w:rPr/>
            </w:pPr>
            <w:r>
              <w:rPr/>
              <w:t>  </w:t>
            </w:r>
          </w:p>
        </w:tc>
        <w:tc>
          <w:tcPr>
            <w:tcW w:w="64" w:type="dxa"/>
            <w:tcBorders/>
            <w:shd w:fill="FFFFFF" w:val="clear"/>
            <w:vAlign w:val="center"/>
          </w:tcPr>
          <w:p>
            <w:pPr>
              <w:pStyle w:val="TableContents"/>
              <w:spacing w:before="0" w:after="283"/>
              <w:rPr/>
            </w:pPr>
            <w:r>
              <w:rPr/>
              <w:t> </w:t>
            </w:r>
          </w:p>
        </w:tc>
        <w:tc>
          <w:tcPr>
            <w:tcW w:w="1301" w:type="dxa"/>
            <w:tcBorders/>
            <w:shd w:fill="FFFFFF" w:val="clear"/>
            <w:vAlign w:val="bottom"/>
          </w:tcPr>
          <w:p>
            <w:pPr>
              <w:pStyle w:val="TableContents"/>
              <w:spacing w:before="0" w:after="283"/>
              <w:jc w:val="right"/>
              <w:rPr>
                <w:rFonts w:ascii="Arial" w:hAnsi="Arial"/>
              </w:rPr>
            </w:pPr>
            <w:r>
              <w:rPr>
                <w:rFonts w:ascii="Arial" w:hAnsi="Arial"/>
              </w:rPr>
              <w:t>42,845,669</w:t>
            </w:r>
          </w:p>
        </w:tc>
        <w:tc>
          <w:tcPr>
            <w:tcW w:w="65"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109" w:type="dxa"/>
            <w:tcBorders/>
            <w:shd w:fill="FFFFFF" w:val="clear"/>
            <w:vAlign w:val="center"/>
          </w:tcPr>
          <w:p>
            <w:pPr>
              <w:pStyle w:val="TableContents"/>
              <w:spacing w:before="0" w:after="283"/>
              <w:rPr/>
            </w:pPr>
            <w:r>
              <w:rPr/>
              <w:t> </w:t>
            </w:r>
          </w:p>
        </w:tc>
        <w:tc>
          <w:tcPr>
            <w:tcW w:w="881" w:type="dxa"/>
            <w:tcBorders/>
            <w:shd w:fill="FFFFFF" w:val="clear"/>
            <w:vAlign w:val="bottom"/>
          </w:tcPr>
          <w:p>
            <w:pPr>
              <w:pStyle w:val="TableContents"/>
              <w:spacing w:before="0" w:after="283"/>
              <w:jc w:val="right"/>
              <w:rPr>
                <w:rFonts w:ascii="Arial" w:hAnsi="Arial"/>
              </w:rPr>
            </w:pPr>
            <w:r>
              <w:rPr>
                <w:rFonts w:ascii="Arial" w:hAnsi="Arial"/>
              </w:rPr>
              <w:t>6.08</w:t>
            </w:r>
          </w:p>
        </w:tc>
        <w:tc>
          <w:tcPr>
            <w:tcW w:w="11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bottom"/>
          </w:tcPr>
          <w:p>
            <w:pPr>
              <w:pStyle w:val="TableContents"/>
              <w:spacing w:before="0" w:after="283"/>
              <w:jc w:val="right"/>
              <w:rPr>
                <w:rFonts w:ascii="Arial" w:hAnsi="Arial"/>
              </w:rPr>
            </w:pPr>
            <w:r>
              <w:rPr>
                <w:rFonts w:ascii="Arial" w:hAnsi="Arial"/>
              </w:rPr>
              <w:t>38.66</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bottom"/>
          </w:tcPr>
          <w:p>
            <w:pPr>
              <w:pStyle w:val="TableContents"/>
              <w:spacing w:before="0" w:after="283"/>
              <w:jc w:val="right"/>
              <w:rPr>
                <w:rFonts w:ascii="Arial" w:hAnsi="Arial"/>
              </w:rPr>
            </w:pPr>
            <w:r>
              <w:rPr>
                <w:rFonts w:ascii="Arial" w:hAnsi="Arial"/>
              </w:rPr>
              <w:t>295</w:t>
            </w:r>
          </w:p>
        </w:tc>
        <w:tc>
          <w:tcPr>
            <w:tcW w:w="115"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33" w:type="dxa"/>
            <w:tcBorders/>
            <w:shd w:fill="FFFFFF" w:val="clear"/>
            <w:vAlign w:val="bottom"/>
          </w:tcPr>
          <w:p>
            <w:pPr>
              <w:pStyle w:val="TableContents"/>
              <w:spacing w:before="0" w:after="283"/>
              <w:jc w:val="right"/>
              <w:rPr>
                <w:rFonts w:ascii="Arial" w:hAnsi="Arial"/>
              </w:rPr>
            </w:pPr>
            <w:r>
              <w:rPr>
                <w:rFonts w:ascii="Arial" w:hAnsi="Arial"/>
              </w:rPr>
              <w:t>26,561,771</w:t>
            </w:r>
          </w:p>
        </w:tc>
        <w:tc>
          <w:tcPr>
            <w:tcW w:w="62"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bottom"/>
          </w:tcPr>
          <w:p>
            <w:pPr>
              <w:pStyle w:val="TableContents"/>
              <w:spacing w:before="0" w:after="283"/>
              <w:jc w:val="right"/>
              <w:rPr>
                <w:rFonts w:ascii="Arial" w:hAnsi="Arial"/>
              </w:rPr>
            </w:pPr>
            <w:r>
              <w:rPr>
                <w:rFonts w:ascii="Arial" w:hAnsi="Arial"/>
              </w:rPr>
              <w:t>38.08</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bottom"/>
          </w:tcPr>
          <w:p>
            <w:pPr>
              <w:pStyle w:val="TableContents"/>
              <w:spacing w:before="0" w:after="283"/>
              <w:jc w:val="right"/>
              <w:rPr>
                <w:rFonts w:ascii="Arial" w:hAnsi="Arial"/>
              </w:rPr>
            </w:pPr>
            <w:r>
              <w:rPr>
                <w:rFonts w:ascii="Arial" w:hAnsi="Arial"/>
              </w:rPr>
              <w:t>200</w:t>
            </w:r>
          </w:p>
        </w:tc>
        <w:tc>
          <w:tcPr>
            <w:tcW w:w="115" w:type="dxa"/>
            <w:tcBorders/>
            <w:shd w:fill="FFFFFF" w:val="clear"/>
            <w:vAlign w:val="center"/>
          </w:tcPr>
          <w:p>
            <w:pPr>
              <w:pStyle w:val="TableContents"/>
              <w:spacing w:before="0" w:after="283"/>
              <w:rPr/>
            </w:pPr>
            <w:r>
              <w:rPr/>
              <w:t> </w:t>
            </w:r>
          </w:p>
        </w:tc>
      </w:tr>
      <w:tr>
        <w:trPr/>
        <w:tc>
          <w:tcPr>
            <w:tcW w:w="980" w:type="dxa"/>
            <w:tcBorders/>
            <w:shd w:fill="E5FFFF" w:val="clear"/>
            <w:vAlign w:val="bottom"/>
          </w:tcPr>
          <w:p>
            <w:pPr>
              <w:pStyle w:val="TableContents"/>
              <w:spacing w:before="0" w:after="283"/>
              <w:jc w:val="left"/>
              <w:rPr>
                <w:rFonts w:ascii="Arial" w:hAnsi="Arial"/>
              </w:rPr>
            </w:pPr>
            <w:r>
              <w:rPr>
                <w:rFonts w:ascii="Arial" w:hAnsi="Arial"/>
              </w:rPr>
              <w:t>$49.97–$74.95</w:t>
            </w:r>
          </w:p>
        </w:tc>
        <w:tc>
          <w:tcPr>
            <w:tcW w:w="120" w:type="dxa"/>
            <w:tcBorders/>
            <w:shd w:fill="E5FFFF" w:val="clear"/>
            <w:vAlign w:val="bottom"/>
          </w:tcPr>
          <w:p>
            <w:pPr>
              <w:pStyle w:val="TableContents"/>
              <w:spacing w:before="0" w:after="283"/>
              <w:jc w:val="right"/>
              <w:rPr/>
            </w:pPr>
            <w:r>
              <w:rPr/>
              <w:t>  </w:t>
            </w:r>
          </w:p>
        </w:tc>
        <w:tc>
          <w:tcPr>
            <w:tcW w:w="64" w:type="dxa"/>
            <w:tcBorders/>
            <w:shd w:fill="E5FFFF" w:val="clear"/>
            <w:vAlign w:val="center"/>
          </w:tcPr>
          <w:p>
            <w:pPr>
              <w:pStyle w:val="TableContents"/>
              <w:spacing w:before="0" w:after="283"/>
              <w:rPr/>
            </w:pPr>
            <w:r>
              <w:rPr/>
              <w:t> </w:t>
            </w:r>
          </w:p>
        </w:tc>
        <w:tc>
          <w:tcPr>
            <w:tcW w:w="1301" w:type="dxa"/>
            <w:tcBorders/>
            <w:shd w:fill="E5FFFF" w:val="clear"/>
            <w:vAlign w:val="bottom"/>
          </w:tcPr>
          <w:p>
            <w:pPr>
              <w:pStyle w:val="TableContents"/>
              <w:spacing w:before="0" w:after="283"/>
              <w:jc w:val="right"/>
              <w:rPr>
                <w:rFonts w:ascii="Arial" w:hAnsi="Arial"/>
              </w:rPr>
            </w:pPr>
            <w:r>
              <w:rPr>
                <w:rFonts w:ascii="Arial" w:hAnsi="Arial"/>
              </w:rPr>
              <w:t>6,189,953</w:t>
            </w:r>
          </w:p>
        </w:tc>
        <w:tc>
          <w:tcPr>
            <w:tcW w:w="65"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109" w:type="dxa"/>
            <w:tcBorders/>
            <w:shd w:fill="E5FFFF" w:val="clear"/>
            <w:vAlign w:val="center"/>
          </w:tcPr>
          <w:p>
            <w:pPr>
              <w:pStyle w:val="TableContents"/>
              <w:spacing w:before="0" w:after="283"/>
              <w:rPr/>
            </w:pPr>
            <w:r>
              <w:rPr/>
              <w:t> </w:t>
            </w:r>
          </w:p>
        </w:tc>
        <w:tc>
          <w:tcPr>
            <w:tcW w:w="881" w:type="dxa"/>
            <w:tcBorders/>
            <w:shd w:fill="E5FFFF" w:val="clear"/>
            <w:vAlign w:val="bottom"/>
          </w:tcPr>
          <w:p>
            <w:pPr>
              <w:pStyle w:val="TableContents"/>
              <w:spacing w:before="0" w:after="283"/>
              <w:jc w:val="right"/>
              <w:rPr>
                <w:rFonts w:ascii="Arial" w:hAnsi="Arial"/>
              </w:rPr>
            </w:pPr>
            <w:r>
              <w:rPr>
                <w:rFonts w:ascii="Arial" w:hAnsi="Arial"/>
              </w:rPr>
              <w:t>2.79</w:t>
            </w:r>
          </w:p>
        </w:tc>
        <w:tc>
          <w:tcPr>
            <w:tcW w:w="11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816" w:type="dxa"/>
            <w:tcBorders/>
            <w:shd w:fill="E5FFFF" w:val="clear"/>
            <w:vAlign w:val="bottom"/>
          </w:tcPr>
          <w:p>
            <w:pPr>
              <w:pStyle w:val="TableContents"/>
              <w:spacing w:before="0" w:after="283"/>
              <w:jc w:val="right"/>
              <w:rPr>
                <w:rFonts w:ascii="Arial" w:hAnsi="Arial"/>
              </w:rPr>
            </w:pPr>
            <w:r>
              <w:rPr>
                <w:rFonts w:ascii="Arial" w:hAnsi="Arial"/>
              </w:rPr>
              <w:t>62.60</w:t>
            </w:r>
          </w:p>
        </w:tc>
        <w:tc>
          <w:tcPr>
            <w:tcW w:w="8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95" w:type="dxa"/>
            <w:tcBorders/>
            <w:shd w:fill="E5FFFF" w:val="clear"/>
            <w:vAlign w:val="center"/>
          </w:tcPr>
          <w:p>
            <w:pPr>
              <w:pStyle w:val="TableContents"/>
              <w:spacing w:before="0" w:after="283"/>
              <w:rPr/>
            </w:pPr>
            <w:r>
              <w:rPr/>
              <w:t> </w:t>
            </w:r>
          </w:p>
        </w:tc>
        <w:tc>
          <w:tcPr>
            <w:tcW w:w="810" w:type="dxa"/>
            <w:tcBorders/>
            <w:shd w:fill="E5FFFF" w:val="clear"/>
            <w:vAlign w:val="bottom"/>
          </w:tcPr>
          <w:p>
            <w:pPr>
              <w:pStyle w:val="TableContents"/>
              <w:spacing w:before="0" w:after="283"/>
              <w:jc w:val="right"/>
              <w:rPr/>
            </w:pPr>
            <w:r>
              <w:rPr/>
              <w:t>—</w:t>
            </w:r>
          </w:p>
        </w:tc>
        <w:tc>
          <w:tcPr>
            <w:tcW w:w="115"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1233" w:type="dxa"/>
            <w:tcBorders/>
            <w:shd w:fill="E5FFFF" w:val="clear"/>
            <w:vAlign w:val="bottom"/>
          </w:tcPr>
          <w:p>
            <w:pPr>
              <w:pStyle w:val="TableContents"/>
              <w:spacing w:before="0" w:after="283"/>
              <w:jc w:val="right"/>
              <w:rPr>
                <w:rFonts w:ascii="Arial" w:hAnsi="Arial"/>
              </w:rPr>
            </w:pPr>
            <w:r>
              <w:rPr>
                <w:rFonts w:ascii="Arial" w:hAnsi="Arial"/>
              </w:rPr>
              <w:t>6,189,840</w:t>
            </w:r>
          </w:p>
        </w:tc>
        <w:tc>
          <w:tcPr>
            <w:tcW w:w="62"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816" w:type="dxa"/>
            <w:tcBorders/>
            <w:shd w:fill="E5FFFF" w:val="clear"/>
            <w:vAlign w:val="bottom"/>
          </w:tcPr>
          <w:p>
            <w:pPr>
              <w:pStyle w:val="TableContents"/>
              <w:spacing w:before="0" w:after="283"/>
              <w:jc w:val="right"/>
              <w:rPr>
                <w:rFonts w:ascii="Arial" w:hAnsi="Arial"/>
              </w:rPr>
            </w:pPr>
            <w:r>
              <w:rPr>
                <w:rFonts w:ascii="Arial" w:hAnsi="Arial"/>
              </w:rPr>
              <w:t>62.60</w:t>
            </w:r>
          </w:p>
        </w:tc>
        <w:tc>
          <w:tcPr>
            <w:tcW w:w="8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95" w:type="dxa"/>
            <w:tcBorders/>
            <w:shd w:fill="E5FFFF" w:val="clear"/>
            <w:vAlign w:val="center"/>
          </w:tcPr>
          <w:p>
            <w:pPr>
              <w:pStyle w:val="TableContents"/>
              <w:spacing w:before="0" w:after="283"/>
              <w:rPr/>
            </w:pPr>
            <w:r>
              <w:rPr/>
              <w:t> </w:t>
            </w:r>
          </w:p>
        </w:tc>
        <w:tc>
          <w:tcPr>
            <w:tcW w:w="810" w:type="dxa"/>
            <w:tcBorders/>
            <w:shd w:fill="E5FFFF" w:val="clear"/>
            <w:vAlign w:val="bottom"/>
          </w:tcPr>
          <w:p>
            <w:pPr>
              <w:pStyle w:val="TableContents"/>
              <w:spacing w:before="0" w:after="283"/>
              <w:jc w:val="right"/>
              <w:rPr/>
            </w:pPr>
            <w:r>
              <w:rPr/>
              <w:t>—</w:t>
            </w:r>
          </w:p>
        </w:tc>
        <w:tc>
          <w:tcPr>
            <w:tcW w:w="115" w:type="dxa"/>
            <w:tcBorders/>
            <w:shd w:fill="E5FFFF" w:val="clear"/>
            <w:vAlign w:val="center"/>
          </w:tcPr>
          <w:p>
            <w:pPr>
              <w:pStyle w:val="TableContents"/>
              <w:spacing w:before="0" w:after="283"/>
              <w:rPr/>
            </w:pPr>
            <w:r>
              <w:rPr/>
              <w:t> </w:t>
            </w:r>
          </w:p>
        </w:tc>
      </w:tr>
      <w:tr>
        <w:trPr/>
        <w:tc>
          <w:tcPr>
            <w:tcW w:w="980" w:type="dxa"/>
            <w:tcBorders/>
            <w:shd w:fill="FFFFFF" w:val="clear"/>
            <w:vAlign w:val="bottom"/>
          </w:tcPr>
          <w:p>
            <w:pPr>
              <w:pStyle w:val="TableContents"/>
              <w:spacing w:before="0" w:after="283"/>
              <w:rPr>
                <w:sz w:val="4"/>
                <w:szCs w:val="4"/>
              </w:rPr>
            </w:pPr>
            <w:r>
              <w:rPr>
                <w:sz w:val="4"/>
                <w:szCs w:val="4"/>
              </w:rPr>
            </w:r>
          </w:p>
        </w:tc>
        <w:tc>
          <w:tcPr>
            <w:tcW w:w="120" w:type="dxa"/>
            <w:tcBorders/>
            <w:shd w:fill="FFFFFF" w:val="clear"/>
            <w:vAlign w:val="bottom"/>
          </w:tcPr>
          <w:p>
            <w:pPr>
              <w:pStyle w:val="TableContents"/>
              <w:spacing w:before="0" w:after="283"/>
              <w:jc w:val="right"/>
              <w:rPr/>
            </w:pPr>
            <w:r>
              <w:rPr/>
              <w:t>  </w:t>
            </w:r>
          </w:p>
        </w:tc>
        <w:tc>
          <w:tcPr>
            <w:tcW w:w="64" w:type="dxa"/>
            <w:tcBorders/>
            <w:shd w:fill="FFFFFF" w:val="clear"/>
            <w:vAlign w:val="center"/>
          </w:tcPr>
          <w:p>
            <w:pPr>
              <w:pStyle w:val="TableContents"/>
              <w:spacing w:before="0" w:after="283"/>
              <w:rPr/>
            </w:pPr>
            <w:r>
              <w:rPr/>
              <w:t> </w:t>
            </w:r>
          </w:p>
        </w:tc>
        <w:tc>
          <w:tcPr>
            <w:tcW w:w="1301" w:type="dxa"/>
            <w:tcBorders/>
            <w:shd w:fill="FFFFFF" w:val="clear"/>
            <w:vAlign w:val="bottom"/>
          </w:tcPr>
          <w:p>
            <w:pPr>
              <w:pStyle w:val="HorizontalLine"/>
              <w:pBdr>
                <w:bottom w:val="single" w:sz="6" w:space="0" w:color="000000"/>
              </w:pBdr>
              <w:spacing w:before="0" w:after="283"/>
              <w:rPr/>
            </w:pPr>
            <w:r>
              <w:rPr/>
            </w:r>
          </w:p>
        </w:tc>
        <w:tc>
          <w:tcPr>
            <w:tcW w:w="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88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bottom"/>
          </w:tcPr>
          <w:p>
            <w:pPr>
              <w:pStyle w:val="HorizontalLine"/>
              <w:pBdr>
                <w:bottom w:val="single" w:sz="6" w:space="0" w:color="000000"/>
              </w:pBdr>
              <w:spacing w:before="0" w:after="283"/>
              <w:rPr/>
            </w:pPr>
            <w:r>
              <w:rPr/>
            </w:r>
          </w:p>
        </w:tc>
        <w:tc>
          <w:tcPr>
            <w:tcW w:w="115"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33" w:type="dxa"/>
            <w:tcBorders/>
            <w:shd w:fill="FFFFFF" w:val="clear"/>
            <w:vAlign w:val="bottom"/>
          </w:tcPr>
          <w:p>
            <w:pPr>
              <w:pStyle w:val="HorizontalLine"/>
              <w:pBdr>
                <w:bottom w:val="single" w:sz="6" w:space="0" w:color="000000"/>
              </w:pBdr>
              <w:spacing w:before="0" w:after="283"/>
              <w:rPr/>
            </w:pPr>
            <w:r>
              <w:rPr/>
            </w:r>
          </w:p>
        </w:tc>
        <w:tc>
          <w:tcPr>
            <w:tcW w:w="62"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bottom"/>
          </w:tcPr>
          <w:p>
            <w:pPr>
              <w:pStyle w:val="HorizontalLine"/>
              <w:pBdr>
                <w:bottom w:val="single" w:sz="6" w:space="0" w:color="000000"/>
              </w:pBdr>
              <w:spacing w:before="0" w:after="283"/>
              <w:rPr/>
            </w:pPr>
            <w:r>
              <w:rPr/>
            </w:r>
          </w:p>
        </w:tc>
        <w:tc>
          <w:tcPr>
            <w:tcW w:w="115" w:type="dxa"/>
            <w:tcBorders/>
            <w:shd w:fill="FFFFFF" w:val="clear"/>
            <w:vAlign w:val="center"/>
          </w:tcPr>
          <w:p>
            <w:pPr>
              <w:pStyle w:val="TableContents"/>
              <w:spacing w:before="0" w:after="283"/>
              <w:rPr/>
            </w:pPr>
            <w:r>
              <w:rPr/>
              <w:t> </w:t>
            </w:r>
          </w:p>
        </w:tc>
      </w:tr>
      <w:tr>
        <w:trPr/>
        <w:tc>
          <w:tcPr>
            <w:tcW w:w="980" w:type="dxa"/>
            <w:tcBorders/>
            <w:shd w:fill="E5FFFF" w:val="clear"/>
            <w:vAlign w:val="bottom"/>
          </w:tcPr>
          <w:p>
            <w:pPr>
              <w:pStyle w:val="TableContents"/>
              <w:spacing w:before="0" w:after="283"/>
              <w:rPr>
                <w:sz w:val="4"/>
                <w:szCs w:val="4"/>
              </w:rPr>
            </w:pPr>
            <w:r>
              <w:rPr>
                <w:sz w:val="4"/>
                <w:szCs w:val="4"/>
              </w:rPr>
            </w:r>
          </w:p>
        </w:tc>
        <w:tc>
          <w:tcPr>
            <w:tcW w:w="120" w:type="dxa"/>
            <w:tcBorders/>
            <w:shd w:fill="E5FFFF" w:val="clear"/>
            <w:vAlign w:val="bottom"/>
          </w:tcPr>
          <w:p>
            <w:pPr>
              <w:pStyle w:val="TableContents"/>
              <w:spacing w:before="0" w:after="283"/>
              <w:jc w:val="right"/>
              <w:rPr/>
            </w:pPr>
            <w:r>
              <w:rPr/>
              <w:t>  </w:t>
            </w:r>
          </w:p>
        </w:tc>
        <w:tc>
          <w:tcPr>
            <w:tcW w:w="64" w:type="dxa"/>
            <w:tcBorders/>
            <w:shd w:fill="E5FFFF" w:val="clear"/>
            <w:vAlign w:val="center"/>
          </w:tcPr>
          <w:p>
            <w:pPr>
              <w:pStyle w:val="TableContents"/>
              <w:spacing w:before="0" w:after="283"/>
              <w:rPr/>
            </w:pPr>
            <w:r>
              <w:rPr/>
              <w:t> </w:t>
            </w:r>
          </w:p>
        </w:tc>
        <w:tc>
          <w:tcPr>
            <w:tcW w:w="1301" w:type="dxa"/>
            <w:tcBorders/>
            <w:shd w:fill="E5FFFF" w:val="clear"/>
            <w:vAlign w:val="bottom"/>
          </w:tcPr>
          <w:p>
            <w:pPr>
              <w:pStyle w:val="TableContents"/>
              <w:spacing w:before="0" w:after="283"/>
              <w:jc w:val="right"/>
              <w:rPr>
                <w:rFonts w:ascii="Arial" w:hAnsi="Arial"/>
              </w:rPr>
            </w:pPr>
            <w:r>
              <w:rPr>
                <w:rFonts w:ascii="Arial" w:hAnsi="Arial"/>
              </w:rPr>
              <w:t>54,232,677</w:t>
            </w:r>
          </w:p>
        </w:tc>
        <w:tc>
          <w:tcPr>
            <w:tcW w:w="65"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109" w:type="dxa"/>
            <w:tcBorders/>
            <w:shd w:fill="E5FFFF" w:val="clear"/>
            <w:vAlign w:val="center"/>
          </w:tcPr>
          <w:p>
            <w:pPr>
              <w:pStyle w:val="TableContents"/>
              <w:spacing w:before="0" w:after="283"/>
              <w:rPr/>
            </w:pPr>
            <w:r>
              <w:rPr/>
              <w:t> </w:t>
            </w:r>
          </w:p>
        </w:tc>
        <w:tc>
          <w:tcPr>
            <w:tcW w:w="881" w:type="dxa"/>
            <w:tcBorders/>
            <w:shd w:fill="E5FFFF" w:val="clear"/>
            <w:vAlign w:val="bottom"/>
          </w:tcPr>
          <w:p>
            <w:pPr>
              <w:pStyle w:val="TableContents"/>
              <w:spacing w:before="0" w:after="283"/>
              <w:jc w:val="right"/>
              <w:rPr>
                <w:rFonts w:ascii="Arial" w:hAnsi="Arial"/>
              </w:rPr>
            </w:pPr>
            <w:r>
              <w:rPr>
                <w:rFonts w:ascii="Arial" w:hAnsi="Arial"/>
              </w:rPr>
              <w:t>5.70</w:t>
            </w:r>
          </w:p>
        </w:tc>
        <w:tc>
          <w:tcPr>
            <w:tcW w:w="11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816" w:type="dxa"/>
            <w:tcBorders/>
            <w:shd w:fill="E5FFFF" w:val="clear"/>
            <w:vAlign w:val="bottom"/>
          </w:tcPr>
          <w:p>
            <w:pPr>
              <w:pStyle w:val="TableContents"/>
              <w:spacing w:before="0" w:after="283"/>
              <w:jc w:val="right"/>
              <w:rPr>
                <w:rFonts w:ascii="Arial" w:hAnsi="Arial"/>
              </w:rPr>
            </w:pPr>
            <w:r>
              <w:rPr>
                <w:rFonts w:ascii="Arial" w:hAnsi="Arial"/>
              </w:rPr>
              <w:t>39.98</w:t>
            </w:r>
          </w:p>
        </w:tc>
        <w:tc>
          <w:tcPr>
            <w:tcW w:w="8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95" w:type="dxa"/>
            <w:tcBorders/>
            <w:shd w:fill="E5FFFF" w:val="clear"/>
            <w:vAlign w:val="bottom"/>
          </w:tcPr>
          <w:p>
            <w:pPr>
              <w:pStyle w:val="TableContents"/>
              <w:spacing w:before="0" w:after="283"/>
              <w:jc w:val="right"/>
              <w:rPr>
                <w:rFonts w:ascii="Arial" w:hAnsi="Arial"/>
              </w:rPr>
            </w:pPr>
            <w:r>
              <w:rPr>
                <w:rFonts w:ascii="Arial" w:hAnsi="Arial"/>
              </w:rPr>
              <w:t>$</w:t>
            </w:r>
          </w:p>
        </w:tc>
        <w:tc>
          <w:tcPr>
            <w:tcW w:w="810" w:type="dxa"/>
            <w:tcBorders/>
            <w:shd w:fill="E5FFFF" w:val="clear"/>
            <w:vAlign w:val="bottom"/>
          </w:tcPr>
          <w:p>
            <w:pPr>
              <w:pStyle w:val="TableContents"/>
              <w:spacing w:before="0" w:after="283"/>
              <w:jc w:val="right"/>
              <w:rPr>
                <w:rFonts w:ascii="Arial" w:hAnsi="Arial"/>
              </w:rPr>
            </w:pPr>
            <w:r>
              <w:rPr>
                <w:rFonts w:ascii="Arial" w:hAnsi="Arial"/>
              </w:rPr>
              <w:t>406</w:t>
            </w:r>
          </w:p>
        </w:tc>
        <w:tc>
          <w:tcPr>
            <w:tcW w:w="115"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1233" w:type="dxa"/>
            <w:tcBorders/>
            <w:shd w:fill="E5FFFF" w:val="clear"/>
            <w:vAlign w:val="bottom"/>
          </w:tcPr>
          <w:p>
            <w:pPr>
              <w:pStyle w:val="TableContents"/>
              <w:spacing w:before="0" w:after="283"/>
              <w:jc w:val="right"/>
              <w:rPr>
                <w:rFonts w:ascii="Arial" w:hAnsi="Arial"/>
              </w:rPr>
            </w:pPr>
            <w:r>
              <w:rPr>
                <w:rFonts w:ascii="Arial" w:hAnsi="Arial"/>
              </w:rPr>
              <w:t>37,902,956</w:t>
            </w:r>
          </w:p>
        </w:tc>
        <w:tc>
          <w:tcPr>
            <w:tcW w:w="62"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04" w:type="dxa"/>
            <w:tcBorders/>
            <w:shd w:fill="E5FFFF" w:val="clear"/>
            <w:vAlign w:val="center"/>
          </w:tcPr>
          <w:p>
            <w:pPr>
              <w:pStyle w:val="TableContents"/>
              <w:spacing w:before="0" w:after="283"/>
              <w:rPr/>
            </w:pPr>
            <w:r>
              <w:rPr/>
              <w:t> </w:t>
            </w:r>
          </w:p>
        </w:tc>
        <w:tc>
          <w:tcPr>
            <w:tcW w:w="816" w:type="dxa"/>
            <w:tcBorders/>
            <w:shd w:fill="E5FFFF" w:val="clear"/>
            <w:vAlign w:val="bottom"/>
          </w:tcPr>
          <w:p>
            <w:pPr>
              <w:pStyle w:val="TableContents"/>
              <w:spacing w:before="0" w:after="283"/>
              <w:jc w:val="right"/>
              <w:rPr>
                <w:rFonts w:ascii="Arial" w:hAnsi="Arial"/>
              </w:rPr>
            </w:pPr>
            <w:r>
              <w:rPr>
                <w:rFonts w:ascii="Arial" w:hAnsi="Arial"/>
              </w:rPr>
              <w:t>40.16</w:t>
            </w:r>
          </w:p>
        </w:tc>
        <w:tc>
          <w:tcPr>
            <w:tcW w:w="8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295" w:type="dxa"/>
            <w:tcBorders/>
            <w:shd w:fill="E5FFFF" w:val="clear"/>
            <w:vAlign w:val="bottom"/>
          </w:tcPr>
          <w:p>
            <w:pPr>
              <w:pStyle w:val="TableContents"/>
              <w:spacing w:before="0" w:after="283"/>
              <w:jc w:val="right"/>
              <w:rPr>
                <w:rFonts w:ascii="Arial" w:hAnsi="Arial"/>
              </w:rPr>
            </w:pPr>
            <w:r>
              <w:rPr>
                <w:rFonts w:ascii="Arial" w:hAnsi="Arial"/>
              </w:rPr>
              <w:t>$</w:t>
            </w:r>
          </w:p>
        </w:tc>
        <w:tc>
          <w:tcPr>
            <w:tcW w:w="810" w:type="dxa"/>
            <w:tcBorders/>
            <w:shd w:fill="E5FFFF" w:val="clear"/>
            <w:vAlign w:val="bottom"/>
          </w:tcPr>
          <w:p>
            <w:pPr>
              <w:pStyle w:val="TableContents"/>
              <w:spacing w:before="0" w:after="283"/>
              <w:jc w:val="right"/>
              <w:rPr>
                <w:rFonts w:ascii="Arial" w:hAnsi="Arial"/>
              </w:rPr>
            </w:pPr>
            <w:r>
              <w:rPr>
                <w:rFonts w:ascii="Arial" w:hAnsi="Arial"/>
              </w:rPr>
              <w:t>310</w:t>
            </w:r>
          </w:p>
        </w:tc>
        <w:tc>
          <w:tcPr>
            <w:tcW w:w="115" w:type="dxa"/>
            <w:tcBorders/>
            <w:shd w:fill="E5FFFF" w:val="clear"/>
            <w:vAlign w:val="center"/>
          </w:tcPr>
          <w:p>
            <w:pPr>
              <w:pStyle w:val="TableContents"/>
              <w:spacing w:before="0" w:after="283"/>
              <w:rPr/>
            </w:pPr>
            <w:r>
              <w:rPr/>
              <w:t> </w:t>
            </w:r>
          </w:p>
        </w:tc>
      </w:tr>
      <w:tr>
        <w:trPr/>
        <w:tc>
          <w:tcPr>
            <w:tcW w:w="980" w:type="dxa"/>
            <w:tcBorders/>
            <w:shd w:fill="FFFFFF" w:val="clear"/>
            <w:vAlign w:val="bottom"/>
          </w:tcPr>
          <w:p>
            <w:pPr>
              <w:pStyle w:val="TableContents"/>
              <w:spacing w:before="0" w:after="283"/>
              <w:rPr>
                <w:sz w:val="4"/>
                <w:szCs w:val="4"/>
              </w:rPr>
            </w:pPr>
            <w:r>
              <w:rPr>
                <w:sz w:val="4"/>
                <w:szCs w:val="4"/>
              </w:rPr>
            </w:r>
          </w:p>
        </w:tc>
        <w:tc>
          <w:tcPr>
            <w:tcW w:w="120" w:type="dxa"/>
            <w:tcBorders/>
            <w:shd w:fill="FFFFFF" w:val="clear"/>
            <w:vAlign w:val="bottom"/>
          </w:tcPr>
          <w:p>
            <w:pPr>
              <w:pStyle w:val="TableContents"/>
              <w:spacing w:before="0" w:after="283"/>
              <w:jc w:val="right"/>
              <w:rPr/>
            </w:pPr>
            <w:r>
              <w:rPr/>
              <w:t>  </w:t>
            </w:r>
          </w:p>
        </w:tc>
        <w:tc>
          <w:tcPr>
            <w:tcW w:w="64" w:type="dxa"/>
            <w:tcBorders/>
            <w:shd w:fill="FFFFFF" w:val="clear"/>
            <w:vAlign w:val="center"/>
          </w:tcPr>
          <w:p>
            <w:pPr>
              <w:pStyle w:val="TableContents"/>
              <w:spacing w:before="0" w:after="283"/>
              <w:rPr/>
            </w:pPr>
            <w:r>
              <w:rPr/>
              <w:t> </w:t>
            </w:r>
          </w:p>
        </w:tc>
        <w:tc>
          <w:tcPr>
            <w:tcW w:w="1301" w:type="dxa"/>
            <w:tcBorders/>
            <w:shd w:fill="FFFFFF" w:val="clear"/>
            <w:vAlign w:val="bottom"/>
          </w:tcPr>
          <w:p>
            <w:pPr>
              <w:pStyle w:val="HorizontalLine"/>
              <w:pBdr>
                <w:bottom w:val="single" w:sz="18" w:space="0" w:color="000000"/>
              </w:pBdr>
              <w:spacing w:before="0" w:after="283"/>
              <w:rPr/>
            </w:pPr>
            <w:r>
              <w:rPr/>
            </w:r>
          </w:p>
        </w:tc>
        <w:tc>
          <w:tcPr>
            <w:tcW w:w="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88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bottom"/>
          </w:tcPr>
          <w:p>
            <w:pPr>
              <w:pStyle w:val="HorizontalLine"/>
              <w:pBdr>
                <w:bottom w:val="single" w:sz="18" w:space="0" w:color="000000"/>
              </w:pBdr>
              <w:spacing w:before="0" w:after="283"/>
              <w:rPr/>
            </w:pPr>
            <w:r>
              <w:rPr/>
            </w:r>
          </w:p>
        </w:tc>
        <w:tc>
          <w:tcPr>
            <w:tcW w:w="115"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33" w:type="dxa"/>
            <w:tcBorders/>
            <w:shd w:fill="FFFFFF" w:val="clear"/>
            <w:vAlign w:val="bottom"/>
          </w:tcPr>
          <w:p>
            <w:pPr>
              <w:pStyle w:val="HorizontalLine"/>
              <w:pBdr>
                <w:bottom w:val="single" w:sz="18" w:space="0" w:color="000000"/>
              </w:pBdr>
              <w:spacing w:before="0" w:after="283"/>
              <w:rPr/>
            </w:pPr>
            <w:r>
              <w:rPr/>
            </w:r>
          </w:p>
        </w:tc>
        <w:tc>
          <w:tcPr>
            <w:tcW w:w="62"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bottom"/>
          </w:tcPr>
          <w:p>
            <w:pPr>
              <w:pStyle w:val="HorizontalLine"/>
              <w:pBdr>
                <w:bottom w:val="single" w:sz="18" w:space="0" w:color="000000"/>
              </w:pBdr>
              <w:spacing w:before="0" w:after="283"/>
              <w:rPr/>
            </w:pPr>
            <w:r>
              <w:rPr/>
            </w:r>
          </w:p>
        </w:tc>
        <w:tc>
          <w:tcPr>
            <w:tcW w:w="115" w:type="dxa"/>
            <w:tcBorders/>
            <w:shd w:fill="FFFFFF" w:val="clear"/>
            <w:vAlign w:val="center"/>
          </w:tcPr>
          <w:p>
            <w:pPr>
              <w:pStyle w:val="TableContents"/>
              <w:spacing w:before="0" w:after="283"/>
              <w:rPr/>
            </w:pPr>
            <w:r>
              <w:rPr/>
              <w:t> </w:t>
            </w:r>
          </w:p>
        </w:tc>
      </w:tr>
      <w:tr>
        <w:trPr/>
        <w:tc>
          <w:tcPr>
            <w:tcW w:w="980" w:type="dxa"/>
            <w:tcBorders/>
            <w:shd w:fill="FFFFFF" w:val="clear"/>
            <w:vAlign w:val="bottom"/>
          </w:tcPr>
          <w:p>
            <w:pPr>
              <w:pStyle w:val="TableContents"/>
              <w:spacing w:before="0" w:after="283"/>
              <w:rPr>
                <w:sz w:val="4"/>
                <w:szCs w:val="4"/>
              </w:rPr>
            </w:pPr>
            <w:r>
              <w:rPr>
                <w:sz w:val="4"/>
                <w:szCs w:val="4"/>
              </w:rPr>
            </w:r>
          </w:p>
        </w:tc>
        <w:tc>
          <w:tcPr>
            <w:tcW w:w="12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1301"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881"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33"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95" w:type="dxa"/>
            <w:tcBorders/>
            <w:shd w:fill="FFFFFF" w:val="clear"/>
            <w:vAlign w:val="center"/>
          </w:tcPr>
          <w:p>
            <w:pPr>
              <w:pStyle w:val="TableContents"/>
              <w:spacing w:before="0" w:after="283"/>
              <w:rPr/>
            </w:pPr>
            <w:r>
              <w:rPr/>
              <w:t> </w:t>
            </w:r>
          </w:p>
        </w:tc>
        <w:tc>
          <w:tcPr>
            <w:tcW w:w="81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5095" w:type="dxa"/>
        <w:jc w:val="left"/>
        <w:tblInd w:w="0" w:type="dxa"/>
        <w:tblCellMar>
          <w:top w:w="0" w:type="dxa"/>
          <w:left w:w="0" w:type="dxa"/>
          <w:bottom w:w="0" w:type="dxa"/>
          <w:right w:w="0" w:type="dxa"/>
        </w:tblCellMar>
      </w:tblPr>
      <w:tblGrid>
        <w:gridCol w:w="305"/>
        <w:gridCol w:w="180"/>
        <w:gridCol w:w="4610"/>
      </w:tblGrid>
      <w:tr>
        <w:trPr/>
        <w:tc>
          <w:tcPr>
            <w:tcW w:w="305"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4610" w:type="dxa"/>
            <w:tcBorders/>
            <w:shd w:fill="FFFFFF" w:val="clear"/>
            <w:vAlign w:val="center"/>
          </w:tcPr>
          <w:p>
            <w:pPr>
              <w:pStyle w:val="TableContents"/>
              <w:spacing w:before="0" w:after="283"/>
              <w:rPr/>
            </w:pPr>
            <w:r>
              <w:rPr/>
              <w:t> </w:t>
            </w:r>
          </w:p>
        </w:tc>
      </w:tr>
      <w:tr>
        <w:trPr/>
        <w:tc>
          <w:tcPr>
            <w:tcW w:w="305"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4610" w:type="dxa"/>
            <w:tcBorders/>
            <w:shd w:fill="FFFFFF" w:val="clear"/>
            <w:vAlign w:val="bottom"/>
          </w:tcPr>
          <w:p>
            <w:pPr>
              <w:pStyle w:val="TableContents"/>
              <w:spacing w:before="0" w:after="283"/>
              <w:jc w:val="left"/>
              <w:rPr>
                <w:rFonts w:ascii="Arial" w:hAnsi="Arial"/>
              </w:rPr>
            </w:pPr>
            <w:r>
              <w:rPr>
                <w:rFonts w:ascii="Arial" w:hAnsi="Arial"/>
              </w:rPr>
              <w:t>Average remaining contractual life in years.</w:t>
            </w:r>
          </w:p>
        </w:tc>
      </w:tr>
    </w:tbl>
    <w:p>
      <w:pPr>
        <w:pStyle w:val="TextBody"/>
        <w:jc w:val="left"/>
        <w:rPr/>
      </w:pPr>
      <w:r>
        <w:rPr/>
        <w:t>      </w:t>
      </w:r>
      <w:r>
        <w:rPr>
          <w:rFonts w:ascii="Arial" w:hAnsi="Arial"/>
        </w:rPr>
        <w:t>There were 42,416,585 and 43,343,099 options exercisable at weighted average exercise prices of $40.01 and $40.36 at December 31, 2005 and 2004, respectively. There were 43,341,460 shares available for future grants under the terms of our stock option plans at December 31, 2006.</w:t>
      </w:r>
    </w:p>
    <w:p>
      <w:pPr>
        <w:pStyle w:val="TextBody"/>
        <w:jc w:val="left"/>
        <w:rPr/>
      </w:pPr>
      <w:r>
        <w:rPr/>
        <w:t>      </w:t>
      </w:r>
      <w:r>
        <w:rPr>
          <w:rFonts w:ascii="Arial" w:hAnsi="Arial"/>
        </w:rPr>
        <w:t>The weighted average fair value of options granted in 2006 was $9.44. The total intrinsic value of options (which is the amount by which the stock price exceeded the exercise price of the options on the date of exercise) exercised during 2006 was $92 million. During 2006, the amount of cash received from the exercise of stock options was $385 million with an associated tax benefit realized of $34 million. Consistent with the requirements of SFAS No. 123R, we classified $31 million of this benefit as a financing cash inflow in the Consolidated Statement of Cash Flows, and the balance was classified as cash from operations.</w:t>
      </w:r>
    </w:p>
    <w:p>
      <w:pPr>
        <w:pStyle w:val="TextBody"/>
        <w:jc w:val="left"/>
        <w:rPr/>
      </w:pPr>
      <w:r>
        <w:rPr/>
        <w:t>      </w:t>
      </w:r>
      <w:r>
        <w:rPr>
          <w:rFonts w:ascii="Arial" w:hAnsi="Arial"/>
        </w:rPr>
        <w:t>At December 31, 2006, there was $90 million of total unrecognized compensation cost related to non-vested stock option awards which is expected to be recognized over a weighted-average period of 1.59 years. The total fair value of options vested during 2006 was $70 million.</w:t>
      </w:r>
    </w:p>
    <w:p>
      <w:pPr>
        <w:pStyle w:val="TextBody"/>
        <w:jc w:val="center"/>
        <w:rPr>
          <w:rFonts w:ascii="Arial" w:hAnsi="Arial"/>
        </w:rPr>
      </w:pPr>
      <w:r>
        <w:rPr>
          <w:rFonts w:ascii="Arial" w:hAnsi="Arial"/>
        </w:rPr>
        <w:t>73</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rFonts w:ascii="Arial" w:hAnsi="Arial"/>
          <w:b/>
          <w:i/>
        </w:rPr>
        <w:t>Restricted Stock Units—</w:t>
      </w:r>
      <w:r>
        <w:rPr>
          <w:rFonts w:ascii="Arial" w:hAnsi="Arial"/>
        </w:rPr>
        <w:t>Restricted stock unit (RSU) awards entitle the holder to receive one share of common stock for each unit when the units vest. RSU's are issued to certain key employees at fair market value at the date of grant as compensation. RSUs typically become fully vested over periods ranging from three to seven years and are payable in Honeywell common stock upon vesting.</w:t>
      </w:r>
    </w:p>
    <w:p>
      <w:pPr>
        <w:pStyle w:val="TextBody"/>
        <w:jc w:val="left"/>
        <w:rPr/>
      </w:pPr>
      <w:r>
        <w:rPr/>
        <w:t>      </w:t>
      </w:r>
      <w:r>
        <w:rPr>
          <w:rFonts w:ascii="Arial" w:hAnsi="Arial"/>
        </w:rPr>
        <w:t>The following table summarizes information about RSU activity for the three years ended December 31, 2006:</w:t>
      </w:r>
    </w:p>
    <w:tbl>
      <w:tblPr>
        <w:tblW w:w="5000" w:type="pct"/>
        <w:jc w:val="left"/>
        <w:tblInd w:w="0" w:type="dxa"/>
        <w:tblCellMar>
          <w:top w:w="0" w:type="dxa"/>
          <w:left w:w="0" w:type="dxa"/>
          <w:bottom w:w="0" w:type="dxa"/>
          <w:right w:w="0" w:type="dxa"/>
        </w:tblCellMar>
      </w:tblPr>
      <w:tblGrid>
        <w:gridCol w:w="5568"/>
        <w:gridCol w:w="364"/>
        <w:gridCol w:w="98"/>
        <w:gridCol w:w="1780"/>
        <w:gridCol w:w="155"/>
        <w:gridCol w:w="365"/>
        <w:gridCol w:w="348"/>
        <w:gridCol w:w="1391"/>
        <w:gridCol w:w="136"/>
      </w:tblGrid>
      <w:tr>
        <w:trPr/>
        <w:tc>
          <w:tcPr>
            <w:tcW w:w="5568" w:type="dxa"/>
            <w:tcBorders/>
            <w:shd w:fill="FFFFFF" w:val="clear"/>
            <w:vAlign w:val="center"/>
          </w:tcPr>
          <w:p>
            <w:pPr>
              <w:pStyle w:val="TableContents"/>
              <w:spacing w:before="0" w:after="283"/>
              <w:rPr/>
            </w:pPr>
            <w:r>
              <w:rPr/>
              <w:t> </w:t>
            </w:r>
          </w:p>
        </w:tc>
        <w:tc>
          <w:tcPr>
            <w:tcW w:w="364" w:type="dxa"/>
            <w:tcBorders/>
            <w:shd w:fill="FFFFFF" w:val="clear"/>
            <w:vAlign w:val="center"/>
          </w:tcPr>
          <w:p>
            <w:pPr>
              <w:pStyle w:val="TableContents"/>
              <w:spacing w:before="0" w:after="283"/>
              <w:rPr/>
            </w:pPr>
            <w:r>
              <w:rPr/>
              <w:t> </w:t>
            </w:r>
          </w:p>
        </w:tc>
        <w:tc>
          <w:tcPr>
            <w:tcW w:w="2033" w:type="dxa"/>
            <w:gridSpan w:val="3"/>
            <w:tcBorders/>
            <w:shd w:fill="FFFFFF" w:val="clear"/>
            <w:vAlign w:val="bottom"/>
          </w:tcPr>
          <w:p>
            <w:pPr>
              <w:pStyle w:val="TableContents"/>
              <w:spacing w:before="0" w:after="0"/>
              <w:jc w:val="center"/>
              <w:rPr>
                <w:rFonts w:ascii="Arial" w:hAnsi="Arial"/>
                <w:b/>
              </w:rPr>
            </w:pPr>
            <w:r>
              <w:rPr>
                <w:rFonts w:ascii="Arial" w:hAnsi="Arial"/>
                <w:b/>
              </w:rPr>
              <w:t>Number of</w:t>
              <w:br/>
              <w:t>Restricted</w:t>
              <w:br/>
              <w:t>Stock Units</w:t>
            </w:r>
          </w:p>
          <w:p>
            <w:pPr>
              <w:pStyle w:val="HorizontalLine"/>
              <w:pBdr>
                <w:bottom w:val="single" w:sz="6" w:space="0" w:color="000000"/>
              </w:pBdr>
              <w:spacing w:before="0" w:after="283"/>
              <w:rPr/>
            </w:pPr>
            <w:r>
              <w:rPr/>
            </w:r>
          </w:p>
        </w:tc>
        <w:tc>
          <w:tcPr>
            <w:tcW w:w="365" w:type="dxa"/>
            <w:tcBorders/>
            <w:shd w:fill="FFFFFF" w:val="clear"/>
            <w:vAlign w:val="center"/>
          </w:tcPr>
          <w:p>
            <w:pPr>
              <w:pStyle w:val="TableContents"/>
              <w:spacing w:before="0" w:after="283"/>
              <w:rPr/>
            </w:pPr>
            <w:r>
              <w:rPr/>
              <w:t> </w:t>
            </w:r>
          </w:p>
        </w:tc>
        <w:tc>
          <w:tcPr>
            <w:tcW w:w="1875" w:type="dxa"/>
            <w:gridSpan w:val="3"/>
            <w:tcBorders/>
            <w:shd w:fill="FFFFFF" w:val="clear"/>
            <w:vAlign w:val="bottom"/>
          </w:tcPr>
          <w:p>
            <w:pPr>
              <w:pStyle w:val="TableContents"/>
              <w:spacing w:before="0" w:after="0"/>
              <w:jc w:val="center"/>
              <w:rPr>
                <w:rFonts w:ascii="Arial" w:hAnsi="Arial"/>
                <w:b/>
              </w:rPr>
            </w:pPr>
            <w:r>
              <w:rPr>
                <w:rFonts w:ascii="Arial" w:hAnsi="Arial"/>
                <w:b/>
              </w:rPr>
              <w:t>Weighted</w:t>
              <w:br/>
              <w:t>Average</w:t>
              <w:br/>
              <w:t>Grant Date</w:t>
              <w:br/>
              <w:t>Fair Value</w:t>
              <w:br/>
              <w:t>Per</w:t>
              <w:br/>
              <w:t>Share</w:t>
            </w:r>
          </w:p>
          <w:p>
            <w:pPr>
              <w:pStyle w:val="HorizontalLine"/>
              <w:pBdr>
                <w:bottom w:val="single" w:sz="6" w:space="0" w:color="000000"/>
              </w:pBdr>
              <w:spacing w:before="0" w:after="283"/>
              <w:rPr/>
            </w:pPr>
            <w:r>
              <w:rPr/>
            </w:r>
          </w:p>
        </w:tc>
      </w:tr>
      <w:tr>
        <w:trPr/>
        <w:tc>
          <w:tcPr>
            <w:tcW w:w="5568" w:type="dxa"/>
            <w:tcBorders/>
            <w:shd w:fill="E5FFFF" w:val="clear"/>
            <w:vAlign w:val="bottom"/>
          </w:tcPr>
          <w:p>
            <w:pPr>
              <w:pStyle w:val="TableContents"/>
              <w:spacing w:before="0" w:after="283"/>
              <w:jc w:val="left"/>
              <w:rPr>
                <w:rFonts w:ascii="Arial" w:hAnsi="Arial"/>
              </w:rPr>
            </w:pPr>
            <w:r>
              <w:rPr>
                <w:rFonts w:ascii="Arial" w:hAnsi="Arial"/>
              </w:rPr>
              <w:t>Non-vested at December 31, 2003</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TableContents"/>
              <w:spacing w:before="0" w:after="283"/>
              <w:jc w:val="right"/>
              <w:rPr>
                <w:rFonts w:ascii="Arial" w:hAnsi="Arial"/>
              </w:rPr>
            </w:pPr>
            <w:r>
              <w:rPr>
                <w:rFonts w:ascii="Arial" w:hAnsi="Arial"/>
              </w:rPr>
              <w:t>3,103,513</w:t>
            </w:r>
          </w:p>
        </w:tc>
        <w:tc>
          <w:tcPr>
            <w:tcW w:w="155" w:type="dxa"/>
            <w:tcBorders/>
            <w:shd w:fill="E5FFFF" w:val="clear"/>
            <w:vAlign w:val="center"/>
          </w:tcPr>
          <w:p>
            <w:pPr>
              <w:pStyle w:val="TableContents"/>
              <w:spacing w:before="0" w:after="283"/>
              <w:rPr/>
            </w:pPr>
            <w:r>
              <w:rPr/>
              <w:t> </w:t>
            </w:r>
          </w:p>
        </w:tc>
        <w:tc>
          <w:tcPr>
            <w:tcW w:w="365" w:type="dxa"/>
            <w:tcBorders/>
            <w:shd w:fill="E5FFFF" w:val="clear"/>
            <w:vAlign w:val="bottom"/>
          </w:tcPr>
          <w:p>
            <w:pPr>
              <w:pStyle w:val="TableContents"/>
              <w:spacing w:before="0" w:after="283"/>
              <w:jc w:val="right"/>
              <w:rPr/>
            </w:pPr>
            <w:r>
              <w:rPr/>
              <w:t>    </w:t>
            </w:r>
          </w:p>
        </w:tc>
        <w:tc>
          <w:tcPr>
            <w:tcW w:w="348" w:type="dxa"/>
            <w:tcBorders/>
            <w:shd w:fill="E5FFFF" w:val="clear"/>
            <w:vAlign w:val="bottom"/>
          </w:tcPr>
          <w:p>
            <w:pPr>
              <w:pStyle w:val="TableContents"/>
              <w:spacing w:before="0" w:after="283"/>
              <w:jc w:val="right"/>
              <w:rPr>
                <w:rFonts w:ascii="Arial" w:hAnsi="Arial"/>
              </w:rPr>
            </w:pPr>
            <w:r>
              <w:rPr>
                <w:rFonts w:ascii="Arial" w:hAnsi="Arial"/>
              </w:rPr>
              <w:t>$</w:t>
            </w:r>
          </w:p>
        </w:tc>
        <w:tc>
          <w:tcPr>
            <w:tcW w:w="1391" w:type="dxa"/>
            <w:tcBorders/>
            <w:shd w:fill="E5FFFF" w:val="clear"/>
            <w:vAlign w:val="bottom"/>
          </w:tcPr>
          <w:p>
            <w:pPr>
              <w:pStyle w:val="TableContents"/>
              <w:spacing w:before="0" w:after="283"/>
              <w:jc w:val="right"/>
              <w:rPr>
                <w:rFonts w:ascii="Arial" w:hAnsi="Arial"/>
              </w:rPr>
            </w:pPr>
            <w:r>
              <w:rPr>
                <w:rFonts w:ascii="Arial" w:hAnsi="Arial"/>
              </w:rPr>
              <w:t>30.10</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Granted</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980,706</w:t>
            </w:r>
          </w:p>
        </w:tc>
        <w:tc>
          <w:tcPr>
            <w:tcW w:w="155" w:type="dxa"/>
            <w:tcBorders/>
            <w:shd w:fill="FFFFFF" w:val="clear"/>
            <w:vAlign w:val="center"/>
          </w:tcPr>
          <w:p>
            <w:pPr>
              <w:pStyle w:val="TableContents"/>
              <w:spacing w:before="0" w:after="283"/>
              <w:rPr/>
            </w:pPr>
            <w:r>
              <w:rPr/>
              <w:t> </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35.63</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bottom"/>
          </w:tcPr>
          <w:p>
            <w:pPr>
              <w:pStyle w:val="TableContents"/>
              <w:spacing w:before="0" w:after="283"/>
              <w:jc w:val="left"/>
              <w:rPr>
                <w:rFonts w:ascii="Arial" w:hAnsi="Arial"/>
              </w:rPr>
            </w:pPr>
            <w:r>
              <w:rPr>
                <w:rFonts w:ascii="Arial" w:hAnsi="Arial"/>
              </w:rPr>
              <w:t>Vested</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TableContents"/>
              <w:spacing w:before="0" w:after="283"/>
              <w:jc w:val="right"/>
              <w:rPr>
                <w:rFonts w:ascii="Arial" w:hAnsi="Arial"/>
              </w:rPr>
            </w:pPr>
            <w:r>
              <w:rPr>
                <w:rFonts w:ascii="Arial" w:hAnsi="Arial"/>
              </w:rPr>
              <w:t>(205,463</w:t>
            </w:r>
          </w:p>
        </w:tc>
        <w:tc>
          <w:tcPr>
            <w:tcW w:w="155" w:type="dxa"/>
            <w:tcBorders/>
            <w:shd w:fill="E5FFFF" w:val="clear"/>
            <w:vAlign w:val="bottom"/>
          </w:tcPr>
          <w:p>
            <w:pPr>
              <w:pStyle w:val="TableContents"/>
              <w:spacing w:before="0" w:after="283"/>
              <w:jc w:val="left"/>
              <w:rPr>
                <w:rFonts w:ascii="Arial" w:hAnsi="Arial"/>
              </w:rPr>
            </w:pPr>
            <w:r>
              <w:rPr>
                <w:rFonts w:ascii="Arial" w:hAnsi="Arial"/>
              </w:rPr>
              <w:t>)</w:t>
            </w:r>
          </w:p>
        </w:tc>
        <w:tc>
          <w:tcPr>
            <w:tcW w:w="365" w:type="dxa"/>
            <w:tcBorders/>
            <w:shd w:fill="E5FFFF" w:val="clear"/>
            <w:vAlign w:val="bottom"/>
          </w:tcPr>
          <w:p>
            <w:pPr>
              <w:pStyle w:val="TableContents"/>
              <w:spacing w:before="0" w:after="283"/>
              <w:jc w:val="right"/>
              <w:rPr/>
            </w:pPr>
            <w:r>
              <w:rPr/>
              <w:t>    </w:t>
            </w:r>
          </w:p>
        </w:tc>
        <w:tc>
          <w:tcPr>
            <w:tcW w:w="348" w:type="dxa"/>
            <w:tcBorders/>
            <w:shd w:fill="E5FFFF" w:val="clear"/>
            <w:vAlign w:val="bottom"/>
          </w:tcPr>
          <w:p>
            <w:pPr>
              <w:pStyle w:val="TableContents"/>
              <w:spacing w:before="0" w:after="283"/>
              <w:jc w:val="right"/>
              <w:rPr>
                <w:rFonts w:ascii="Arial" w:hAnsi="Arial"/>
              </w:rPr>
            </w:pPr>
            <w:r>
              <w:rPr>
                <w:rFonts w:ascii="Arial" w:hAnsi="Arial"/>
              </w:rPr>
              <w:t>$</w:t>
            </w:r>
          </w:p>
        </w:tc>
        <w:tc>
          <w:tcPr>
            <w:tcW w:w="1391" w:type="dxa"/>
            <w:tcBorders/>
            <w:shd w:fill="E5FFFF" w:val="clear"/>
            <w:vAlign w:val="bottom"/>
          </w:tcPr>
          <w:p>
            <w:pPr>
              <w:pStyle w:val="TableContents"/>
              <w:spacing w:before="0" w:after="283"/>
              <w:jc w:val="right"/>
              <w:rPr>
                <w:rFonts w:ascii="Arial" w:hAnsi="Arial"/>
              </w:rPr>
            </w:pPr>
            <w:r>
              <w:rPr>
                <w:rFonts w:ascii="Arial" w:hAnsi="Arial"/>
              </w:rPr>
              <w:t>34.91</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Forfeited</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(187,200</w:t>
            </w:r>
          </w:p>
        </w:tc>
        <w:tc>
          <w:tcPr>
            <w:tcW w:w="155" w:type="dxa"/>
            <w:tcBorders/>
            <w:shd w:fill="FFFFFF" w:val="clear"/>
            <w:vAlign w:val="bottom"/>
          </w:tcPr>
          <w:p>
            <w:pPr>
              <w:pStyle w:val="TableContents"/>
              <w:spacing w:before="0" w:after="283"/>
              <w:jc w:val="left"/>
              <w:rPr>
                <w:rFonts w:ascii="Arial" w:hAnsi="Arial"/>
              </w:rPr>
            </w:pPr>
            <w:r>
              <w:rPr>
                <w:rFonts w:ascii="Arial" w:hAnsi="Arial"/>
              </w:rPr>
              <w:t>)</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32.14</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center"/>
          </w:tcPr>
          <w:p>
            <w:pPr>
              <w:pStyle w:val="TableContents"/>
              <w:spacing w:before="0" w:after="283"/>
              <w:rPr/>
            </w:pPr>
            <w:r>
              <w:rPr/>
              <w:t> </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HorizontalLine"/>
              <w:pBdr>
                <w:bottom w:val="single" w:sz="6" w:space="0" w:color="000000"/>
              </w:pBdr>
              <w:spacing w:before="0" w:after="283"/>
              <w:rPr/>
            </w:pPr>
            <w:r>
              <w:rPr/>
            </w:r>
          </w:p>
        </w:tc>
        <w:tc>
          <w:tcPr>
            <w:tcW w:w="155" w:type="dxa"/>
            <w:tcBorders/>
            <w:shd w:fill="E5FFFF" w:val="clear"/>
            <w:vAlign w:val="center"/>
          </w:tcPr>
          <w:p>
            <w:pPr>
              <w:pStyle w:val="TableContents"/>
              <w:spacing w:before="0" w:after="283"/>
              <w:rPr/>
            </w:pPr>
            <w:r>
              <w:rPr/>
              <w:t> </w:t>
            </w:r>
          </w:p>
        </w:tc>
        <w:tc>
          <w:tcPr>
            <w:tcW w:w="365" w:type="dxa"/>
            <w:tcBorders/>
            <w:shd w:fill="E5FFFF" w:val="clear"/>
            <w:vAlign w:val="center"/>
          </w:tcPr>
          <w:p>
            <w:pPr>
              <w:pStyle w:val="TableContents"/>
              <w:spacing w:before="0" w:after="283"/>
              <w:rPr/>
            </w:pPr>
            <w:r>
              <w:rPr/>
              <w:t> </w:t>
            </w:r>
          </w:p>
        </w:tc>
        <w:tc>
          <w:tcPr>
            <w:tcW w:w="348" w:type="dxa"/>
            <w:tcBorders/>
            <w:shd w:fill="E5FFFF" w:val="clear"/>
            <w:vAlign w:val="center"/>
          </w:tcPr>
          <w:p>
            <w:pPr>
              <w:pStyle w:val="TableContents"/>
              <w:spacing w:before="0" w:after="283"/>
              <w:rPr/>
            </w:pPr>
            <w:r>
              <w:rPr/>
              <w:t> </w:t>
            </w:r>
          </w:p>
        </w:tc>
        <w:tc>
          <w:tcPr>
            <w:tcW w:w="1391" w:type="dxa"/>
            <w:tcBorders/>
            <w:shd w:fill="E5FFFF" w:val="clear"/>
            <w:vAlign w:val="center"/>
          </w:tcPr>
          <w:p>
            <w:pPr>
              <w:pStyle w:val="TableContents"/>
              <w:spacing w:before="0" w:after="283"/>
              <w:rPr/>
            </w:pPr>
            <w:r>
              <w:rPr/>
              <w:t> </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Non-vested at December 31, 2004</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3,691,556</w:t>
            </w:r>
          </w:p>
        </w:tc>
        <w:tc>
          <w:tcPr>
            <w:tcW w:w="155" w:type="dxa"/>
            <w:tcBorders/>
            <w:shd w:fill="FFFFFF" w:val="clear"/>
            <w:vAlign w:val="center"/>
          </w:tcPr>
          <w:p>
            <w:pPr>
              <w:pStyle w:val="TableContents"/>
              <w:spacing w:before="0" w:after="283"/>
              <w:rPr/>
            </w:pPr>
            <w:r>
              <w:rPr/>
              <w:t> </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31.20</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bottom"/>
          </w:tcPr>
          <w:p>
            <w:pPr>
              <w:pStyle w:val="TableContents"/>
              <w:spacing w:before="0" w:after="283"/>
              <w:jc w:val="left"/>
              <w:rPr>
                <w:rFonts w:ascii="Arial" w:hAnsi="Arial"/>
              </w:rPr>
            </w:pPr>
            <w:r>
              <w:rPr>
                <w:rFonts w:ascii="Arial" w:hAnsi="Arial"/>
              </w:rPr>
              <w:t>Granted</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TableContents"/>
              <w:spacing w:before="0" w:after="283"/>
              <w:jc w:val="right"/>
              <w:rPr>
                <w:rFonts w:ascii="Arial" w:hAnsi="Arial"/>
              </w:rPr>
            </w:pPr>
            <w:r>
              <w:rPr>
                <w:rFonts w:ascii="Arial" w:hAnsi="Arial"/>
              </w:rPr>
              <w:t>1,163,984</w:t>
            </w:r>
          </w:p>
        </w:tc>
        <w:tc>
          <w:tcPr>
            <w:tcW w:w="155" w:type="dxa"/>
            <w:tcBorders/>
            <w:shd w:fill="E5FFFF" w:val="clear"/>
            <w:vAlign w:val="center"/>
          </w:tcPr>
          <w:p>
            <w:pPr>
              <w:pStyle w:val="TableContents"/>
              <w:spacing w:before="0" w:after="283"/>
              <w:rPr/>
            </w:pPr>
            <w:r>
              <w:rPr/>
              <w:t> </w:t>
            </w:r>
          </w:p>
        </w:tc>
        <w:tc>
          <w:tcPr>
            <w:tcW w:w="365" w:type="dxa"/>
            <w:tcBorders/>
            <w:shd w:fill="E5FFFF" w:val="clear"/>
            <w:vAlign w:val="bottom"/>
          </w:tcPr>
          <w:p>
            <w:pPr>
              <w:pStyle w:val="TableContents"/>
              <w:spacing w:before="0" w:after="283"/>
              <w:jc w:val="right"/>
              <w:rPr/>
            </w:pPr>
            <w:r>
              <w:rPr/>
              <w:t>    </w:t>
            </w:r>
          </w:p>
        </w:tc>
        <w:tc>
          <w:tcPr>
            <w:tcW w:w="348" w:type="dxa"/>
            <w:tcBorders/>
            <w:shd w:fill="E5FFFF" w:val="clear"/>
            <w:vAlign w:val="bottom"/>
          </w:tcPr>
          <w:p>
            <w:pPr>
              <w:pStyle w:val="TableContents"/>
              <w:spacing w:before="0" w:after="283"/>
              <w:jc w:val="right"/>
              <w:rPr>
                <w:rFonts w:ascii="Arial" w:hAnsi="Arial"/>
              </w:rPr>
            </w:pPr>
            <w:r>
              <w:rPr>
                <w:rFonts w:ascii="Arial" w:hAnsi="Arial"/>
              </w:rPr>
              <w:t>$</w:t>
            </w:r>
          </w:p>
        </w:tc>
        <w:tc>
          <w:tcPr>
            <w:tcW w:w="1391" w:type="dxa"/>
            <w:tcBorders/>
            <w:shd w:fill="E5FFFF" w:val="clear"/>
            <w:vAlign w:val="bottom"/>
          </w:tcPr>
          <w:p>
            <w:pPr>
              <w:pStyle w:val="TableContents"/>
              <w:spacing w:before="0" w:after="283"/>
              <w:jc w:val="right"/>
              <w:rPr>
                <w:rFonts w:ascii="Arial" w:hAnsi="Arial"/>
              </w:rPr>
            </w:pPr>
            <w:r>
              <w:rPr>
                <w:rFonts w:ascii="Arial" w:hAnsi="Arial"/>
              </w:rPr>
              <w:t>37.39</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Vested</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(424,175</w:t>
            </w:r>
          </w:p>
        </w:tc>
        <w:tc>
          <w:tcPr>
            <w:tcW w:w="155" w:type="dxa"/>
            <w:tcBorders/>
            <w:shd w:fill="FFFFFF" w:val="clear"/>
            <w:vAlign w:val="bottom"/>
          </w:tcPr>
          <w:p>
            <w:pPr>
              <w:pStyle w:val="TableContents"/>
              <w:spacing w:before="0" w:after="283"/>
              <w:jc w:val="left"/>
              <w:rPr>
                <w:rFonts w:ascii="Arial" w:hAnsi="Arial"/>
              </w:rPr>
            </w:pPr>
            <w:r>
              <w:rPr>
                <w:rFonts w:ascii="Arial" w:hAnsi="Arial"/>
              </w:rPr>
              <w:t>)</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32.84</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bottom"/>
          </w:tcPr>
          <w:p>
            <w:pPr>
              <w:pStyle w:val="TableContents"/>
              <w:spacing w:before="0" w:after="283"/>
              <w:jc w:val="left"/>
              <w:rPr>
                <w:rFonts w:ascii="Arial" w:hAnsi="Arial"/>
              </w:rPr>
            </w:pPr>
            <w:r>
              <w:rPr>
                <w:rFonts w:ascii="Arial" w:hAnsi="Arial"/>
              </w:rPr>
              <w:t>Forfeited</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TableContents"/>
              <w:spacing w:before="0" w:after="283"/>
              <w:jc w:val="right"/>
              <w:rPr>
                <w:rFonts w:ascii="Arial" w:hAnsi="Arial"/>
              </w:rPr>
            </w:pPr>
            <w:r>
              <w:rPr>
                <w:rFonts w:ascii="Arial" w:hAnsi="Arial"/>
              </w:rPr>
              <w:t>(465,834</w:t>
            </w:r>
          </w:p>
        </w:tc>
        <w:tc>
          <w:tcPr>
            <w:tcW w:w="155" w:type="dxa"/>
            <w:tcBorders/>
            <w:shd w:fill="E5FFFF" w:val="clear"/>
            <w:vAlign w:val="bottom"/>
          </w:tcPr>
          <w:p>
            <w:pPr>
              <w:pStyle w:val="TableContents"/>
              <w:spacing w:before="0" w:after="283"/>
              <w:jc w:val="left"/>
              <w:rPr>
                <w:rFonts w:ascii="Arial" w:hAnsi="Arial"/>
              </w:rPr>
            </w:pPr>
            <w:r>
              <w:rPr>
                <w:rFonts w:ascii="Arial" w:hAnsi="Arial"/>
              </w:rPr>
              <w:t>)</w:t>
            </w:r>
          </w:p>
        </w:tc>
        <w:tc>
          <w:tcPr>
            <w:tcW w:w="365" w:type="dxa"/>
            <w:tcBorders/>
            <w:shd w:fill="E5FFFF" w:val="clear"/>
            <w:vAlign w:val="bottom"/>
          </w:tcPr>
          <w:p>
            <w:pPr>
              <w:pStyle w:val="TableContents"/>
              <w:spacing w:before="0" w:after="283"/>
              <w:jc w:val="right"/>
              <w:rPr/>
            </w:pPr>
            <w:r>
              <w:rPr/>
              <w:t>    </w:t>
            </w:r>
          </w:p>
        </w:tc>
        <w:tc>
          <w:tcPr>
            <w:tcW w:w="348" w:type="dxa"/>
            <w:tcBorders/>
            <w:shd w:fill="E5FFFF" w:val="clear"/>
            <w:vAlign w:val="bottom"/>
          </w:tcPr>
          <w:p>
            <w:pPr>
              <w:pStyle w:val="TableContents"/>
              <w:spacing w:before="0" w:after="283"/>
              <w:jc w:val="right"/>
              <w:rPr>
                <w:rFonts w:ascii="Arial" w:hAnsi="Arial"/>
              </w:rPr>
            </w:pPr>
            <w:r>
              <w:rPr>
                <w:rFonts w:ascii="Arial" w:hAnsi="Arial"/>
              </w:rPr>
              <w:t>$</w:t>
            </w:r>
          </w:p>
        </w:tc>
        <w:tc>
          <w:tcPr>
            <w:tcW w:w="1391" w:type="dxa"/>
            <w:tcBorders/>
            <w:shd w:fill="E5FFFF" w:val="clear"/>
            <w:vAlign w:val="bottom"/>
          </w:tcPr>
          <w:p>
            <w:pPr>
              <w:pStyle w:val="TableContents"/>
              <w:spacing w:before="0" w:after="283"/>
              <w:jc w:val="right"/>
              <w:rPr>
                <w:rFonts w:ascii="Arial" w:hAnsi="Arial"/>
              </w:rPr>
            </w:pPr>
            <w:r>
              <w:rPr>
                <w:rFonts w:ascii="Arial" w:hAnsi="Arial"/>
              </w:rPr>
              <w:t>30.11</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center"/>
          </w:tcPr>
          <w:p>
            <w:pPr>
              <w:pStyle w:val="TableContents"/>
              <w:spacing w:before="0" w:after="283"/>
              <w:rPr/>
            </w:pPr>
            <w:r>
              <w:rPr/>
              <w:t> </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HorizontalLine"/>
              <w:pBdr>
                <w:bottom w:val="single" w:sz="6" w:space="0" w:color="000000"/>
              </w:pBdr>
              <w:spacing w:before="0" w:after="283"/>
              <w:rPr/>
            </w:pPr>
            <w:r>
              <w:rPr/>
            </w:r>
          </w:p>
        </w:tc>
        <w:tc>
          <w:tcPr>
            <w:tcW w:w="155" w:type="dxa"/>
            <w:tcBorders/>
            <w:shd w:fill="FFFFFF" w:val="clear"/>
            <w:vAlign w:val="center"/>
          </w:tcPr>
          <w:p>
            <w:pPr>
              <w:pStyle w:val="TableContents"/>
              <w:spacing w:before="0" w:after="283"/>
              <w:rPr/>
            </w:pPr>
            <w:r>
              <w:rPr/>
              <w:t> </w:t>
            </w:r>
          </w:p>
        </w:tc>
        <w:tc>
          <w:tcPr>
            <w:tcW w:w="365"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rPr/>
            </w:pPr>
            <w:r>
              <w:rPr/>
              <w:t> </w:t>
            </w:r>
          </w:p>
        </w:tc>
        <w:tc>
          <w:tcPr>
            <w:tcW w:w="1391"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bottom"/>
          </w:tcPr>
          <w:p>
            <w:pPr>
              <w:pStyle w:val="TableContents"/>
              <w:spacing w:before="0" w:after="283"/>
              <w:jc w:val="left"/>
              <w:rPr>
                <w:rFonts w:ascii="Arial" w:hAnsi="Arial"/>
              </w:rPr>
            </w:pPr>
            <w:r>
              <w:rPr>
                <w:rFonts w:ascii="Arial" w:hAnsi="Arial"/>
              </w:rPr>
              <w:t>Non-vested at December 31, 2005</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TableContents"/>
              <w:spacing w:before="0" w:after="283"/>
              <w:jc w:val="right"/>
              <w:rPr>
                <w:rFonts w:ascii="Arial" w:hAnsi="Arial"/>
              </w:rPr>
            </w:pPr>
            <w:r>
              <w:rPr>
                <w:rFonts w:ascii="Arial" w:hAnsi="Arial"/>
              </w:rPr>
              <w:t>3,965,531</w:t>
            </w:r>
          </w:p>
        </w:tc>
        <w:tc>
          <w:tcPr>
            <w:tcW w:w="155" w:type="dxa"/>
            <w:tcBorders/>
            <w:shd w:fill="E5FFFF" w:val="clear"/>
            <w:vAlign w:val="center"/>
          </w:tcPr>
          <w:p>
            <w:pPr>
              <w:pStyle w:val="TableContents"/>
              <w:spacing w:before="0" w:after="283"/>
              <w:rPr/>
            </w:pPr>
            <w:r>
              <w:rPr/>
              <w:t> </w:t>
            </w:r>
          </w:p>
        </w:tc>
        <w:tc>
          <w:tcPr>
            <w:tcW w:w="365" w:type="dxa"/>
            <w:tcBorders/>
            <w:shd w:fill="E5FFFF" w:val="clear"/>
            <w:vAlign w:val="bottom"/>
          </w:tcPr>
          <w:p>
            <w:pPr>
              <w:pStyle w:val="TableContents"/>
              <w:spacing w:before="0" w:after="283"/>
              <w:jc w:val="right"/>
              <w:rPr/>
            </w:pPr>
            <w:r>
              <w:rPr/>
              <w:t>    </w:t>
            </w:r>
          </w:p>
        </w:tc>
        <w:tc>
          <w:tcPr>
            <w:tcW w:w="348" w:type="dxa"/>
            <w:tcBorders/>
            <w:shd w:fill="E5FFFF" w:val="clear"/>
            <w:vAlign w:val="bottom"/>
          </w:tcPr>
          <w:p>
            <w:pPr>
              <w:pStyle w:val="TableContents"/>
              <w:spacing w:before="0" w:after="283"/>
              <w:jc w:val="right"/>
              <w:rPr>
                <w:rFonts w:ascii="Arial" w:hAnsi="Arial"/>
              </w:rPr>
            </w:pPr>
            <w:r>
              <w:rPr>
                <w:rFonts w:ascii="Arial" w:hAnsi="Arial"/>
              </w:rPr>
              <w:t>$</w:t>
            </w:r>
          </w:p>
        </w:tc>
        <w:tc>
          <w:tcPr>
            <w:tcW w:w="1391" w:type="dxa"/>
            <w:tcBorders/>
            <w:shd w:fill="E5FFFF" w:val="clear"/>
            <w:vAlign w:val="bottom"/>
          </w:tcPr>
          <w:p>
            <w:pPr>
              <w:pStyle w:val="TableContents"/>
              <w:spacing w:before="0" w:after="283"/>
              <w:jc w:val="right"/>
              <w:rPr>
                <w:rFonts w:ascii="Arial" w:hAnsi="Arial"/>
              </w:rPr>
            </w:pPr>
            <w:r>
              <w:rPr>
                <w:rFonts w:ascii="Arial" w:hAnsi="Arial"/>
              </w:rPr>
              <w:t>32.97</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Granted</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1,948,650</w:t>
            </w:r>
          </w:p>
        </w:tc>
        <w:tc>
          <w:tcPr>
            <w:tcW w:w="155" w:type="dxa"/>
            <w:tcBorders/>
            <w:shd w:fill="FFFFFF" w:val="clear"/>
            <w:vAlign w:val="center"/>
          </w:tcPr>
          <w:p>
            <w:pPr>
              <w:pStyle w:val="TableContents"/>
              <w:spacing w:before="0" w:after="283"/>
              <w:rPr/>
            </w:pPr>
            <w:r>
              <w:rPr/>
              <w:t> </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39.11</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bottom"/>
          </w:tcPr>
          <w:p>
            <w:pPr>
              <w:pStyle w:val="TableContents"/>
              <w:spacing w:before="0" w:after="283"/>
              <w:jc w:val="left"/>
              <w:rPr>
                <w:rFonts w:ascii="Arial" w:hAnsi="Arial"/>
              </w:rPr>
            </w:pPr>
            <w:r>
              <w:rPr>
                <w:rFonts w:ascii="Arial" w:hAnsi="Arial"/>
              </w:rPr>
              <w:t>Vested</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TableContents"/>
              <w:spacing w:before="0" w:after="283"/>
              <w:jc w:val="right"/>
              <w:rPr>
                <w:rFonts w:ascii="Arial" w:hAnsi="Arial"/>
              </w:rPr>
            </w:pPr>
            <w:r>
              <w:rPr>
                <w:rFonts w:ascii="Arial" w:hAnsi="Arial"/>
              </w:rPr>
              <w:t>(759,015</w:t>
            </w:r>
          </w:p>
        </w:tc>
        <w:tc>
          <w:tcPr>
            <w:tcW w:w="155" w:type="dxa"/>
            <w:tcBorders/>
            <w:shd w:fill="E5FFFF" w:val="clear"/>
            <w:vAlign w:val="bottom"/>
          </w:tcPr>
          <w:p>
            <w:pPr>
              <w:pStyle w:val="TableContents"/>
              <w:spacing w:before="0" w:after="283"/>
              <w:jc w:val="left"/>
              <w:rPr>
                <w:rFonts w:ascii="Arial" w:hAnsi="Arial"/>
              </w:rPr>
            </w:pPr>
            <w:r>
              <w:rPr>
                <w:rFonts w:ascii="Arial" w:hAnsi="Arial"/>
              </w:rPr>
              <w:t>)</w:t>
            </w:r>
          </w:p>
        </w:tc>
        <w:tc>
          <w:tcPr>
            <w:tcW w:w="365" w:type="dxa"/>
            <w:tcBorders/>
            <w:shd w:fill="E5FFFF" w:val="clear"/>
            <w:vAlign w:val="bottom"/>
          </w:tcPr>
          <w:p>
            <w:pPr>
              <w:pStyle w:val="TableContents"/>
              <w:spacing w:before="0" w:after="283"/>
              <w:jc w:val="right"/>
              <w:rPr/>
            </w:pPr>
            <w:r>
              <w:rPr/>
              <w:t>    </w:t>
            </w:r>
          </w:p>
        </w:tc>
        <w:tc>
          <w:tcPr>
            <w:tcW w:w="348" w:type="dxa"/>
            <w:tcBorders/>
            <w:shd w:fill="E5FFFF" w:val="clear"/>
            <w:vAlign w:val="bottom"/>
          </w:tcPr>
          <w:p>
            <w:pPr>
              <w:pStyle w:val="TableContents"/>
              <w:spacing w:before="0" w:after="283"/>
              <w:jc w:val="right"/>
              <w:rPr>
                <w:rFonts w:ascii="Arial" w:hAnsi="Arial"/>
              </w:rPr>
            </w:pPr>
            <w:r>
              <w:rPr>
                <w:rFonts w:ascii="Arial" w:hAnsi="Arial"/>
              </w:rPr>
              <w:t>$</w:t>
            </w:r>
          </w:p>
        </w:tc>
        <w:tc>
          <w:tcPr>
            <w:tcW w:w="1391" w:type="dxa"/>
            <w:tcBorders/>
            <w:shd w:fill="E5FFFF" w:val="clear"/>
            <w:vAlign w:val="bottom"/>
          </w:tcPr>
          <w:p>
            <w:pPr>
              <w:pStyle w:val="TableContents"/>
              <w:spacing w:before="0" w:after="283"/>
              <w:jc w:val="right"/>
              <w:rPr>
                <w:rFonts w:ascii="Arial" w:hAnsi="Arial"/>
              </w:rPr>
            </w:pPr>
            <w:r>
              <w:rPr>
                <w:rFonts w:ascii="Arial" w:hAnsi="Arial"/>
              </w:rPr>
              <w:t>30.04</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Forfeited</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(403,167</w:t>
            </w:r>
          </w:p>
        </w:tc>
        <w:tc>
          <w:tcPr>
            <w:tcW w:w="155" w:type="dxa"/>
            <w:tcBorders/>
            <w:shd w:fill="FFFFFF" w:val="clear"/>
            <w:vAlign w:val="bottom"/>
          </w:tcPr>
          <w:p>
            <w:pPr>
              <w:pStyle w:val="TableContents"/>
              <w:spacing w:before="0" w:after="283"/>
              <w:jc w:val="left"/>
              <w:rPr>
                <w:rFonts w:ascii="Arial" w:hAnsi="Arial"/>
              </w:rPr>
            </w:pPr>
            <w:r>
              <w:rPr>
                <w:rFonts w:ascii="Arial" w:hAnsi="Arial"/>
              </w:rPr>
              <w:t>)</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34.25</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center"/>
          </w:tcPr>
          <w:p>
            <w:pPr>
              <w:pStyle w:val="TableContents"/>
              <w:spacing w:before="0" w:after="283"/>
              <w:rPr/>
            </w:pPr>
            <w:r>
              <w:rPr/>
              <w:t> </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HorizontalLine"/>
              <w:pBdr>
                <w:bottom w:val="single" w:sz="6" w:space="0" w:color="000000"/>
              </w:pBdr>
              <w:spacing w:before="0" w:after="283"/>
              <w:rPr/>
            </w:pPr>
            <w:r>
              <w:rPr/>
            </w:r>
          </w:p>
        </w:tc>
        <w:tc>
          <w:tcPr>
            <w:tcW w:w="155" w:type="dxa"/>
            <w:tcBorders/>
            <w:shd w:fill="E5FFFF" w:val="clear"/>
            <w:vAlign w:val="center"/>
          </w:tcPr>
          <w:p>
            <w:pPr>
              <w:pStyle w:val="TableContents"/>
              <w:spacing w:before="0" w:after="283"/>
              <w:rPr/>
            </w:pPr>
            <w:r>
              <w:rPr/>
              <w:t> </w:t>
            </w:r>
          </w:p>
        </w:tc>
        <w:tc>
          <w:tcPr>
            <w:tcW w:w="365" w:type="dxa"/>
            <w:tcBorders/>
            <w:shd w:fill="E5FFFF" w:val="clear"/>
            <w:vAlign w:val="center"/>
          </w:tcPr>
          <w:p>
            <w:pPr>
              <w:pStyle w:val="TableContents"/>
              <w:spacing w:before="0" w:after="283"/>
              <w:rPr/>
            </w:pPr>
            <w:r>
              <w:rPr/>
              <w:t> </w:t>
            </w:r>
          </w:p>
        </w:tc>
        <w:tc>
          <w:tcPr>
            <w:tcW w:w="348" w:type="dxa"/>
            <w:tcBorders/>
            <w:shd w:fill="E5FFFF" w:val="clear"/>
            <w:vAlign w:val="center"/>
          </w:tcPr>
          <w:p>
            <w:pPr>
              <w:pStyle w:val="TableContents"/>
              <w:spacing w:before="0" w:after="283"/>
              <w:rPr/>
            </w:pPr>
            <w:r>
              <w:rPr/>
              <w:t> </w:t>
            </w:r>
          </w:p>
        </w:tc>
        <w:tc>
          <w:tcPr>
            <w:tcW w:w="1391" w:type="dxa"/>
            <w:tcBorders/>
            <w:shd w:fill="E5FFFF" w:val="clear"/>
            <w:vAlign w:val="center"/>
          </w:tcPr>
          <w:p>
            <w:pPr>
              <w:pStyle w:val="TableContents"/>
              <w:spacing w:before="0" w:after="283"/>
              <w:rPr/>
            </w:pPr>
            <w:r>
              <w:rPr/>
              <w:t> </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jc w:val="left"/>
              <w:rPr>
                <w:rFonts w:ascii="Arial" w:hAnsi="Arial"/>
              </w:rPr>
            </w:pPr>
            <w:r>
              <w:rPr>
                <w:rFonts w:ascii="Arial" w:hAnsi="Arial"/>
              </w:rPr>
              <w:t>Non-vested at December 31, 2006</w:t>
            </w:r>
          </w:p>
        </w:tc>
        <w:tc>
          <w:tcPr>
            <w:tcW w:w="364" w:type="dxa"/>
            <w:tcBorders/>
            <w:shd w:fill="FFFFFF" w:val="clear"/>
            <w:vAlign w:val="bottom"/>
          </w:tcPr>
          <w:p>
            <w:pPr>
              <w:pStyle w:val="TableContents"/>
              <w:spacing w:before="0" w:after="283"/>
              <w:jc w:val="right"/>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bottom"/>
          </w:tcPr>
          <w:p>
            <w:pPr>
              <w:pStyle w:val="TableContents"/>
              <w:spacing w:before="0" w:after="283"/>
              <w:jc w:val="right"/>
              <w:rPr>
                <w:rFonts w:ascii="Arial" w:hAnsi="Arial"/>
              </w:rPr>
            </w:pPr>
            <w:r>
              <w:rPr>
                <w:rFonts w:ascii="Arial" w:hAnsi="Arial"/>
              </w:rPr>
              <w:t>4,751,999</w:t>
            </w:r>
          </w:p>
        </w:tc>
        <w:tc>
          <w:tcPr>
            <w:tcW w:w="155" w:type="dxa"/>
            <w:tcBorders/>
            <w:shd w:fill="FFFFFF" w:val="clear"/>
            <w:vAlign w:val="center"/>
          </w:tcPr>
          <w:p>
            <w:pPr>
              <w:pStyle w:val="TableContents"/>
              <w:spacing w:before="0" w:after="283"/>
              <w:rPr/>
            </w:pPr>
            <w:r>
              <w:rPr/>
              <w:t> </w:t>
            </w:r>
          </w:p>
        </w:tc>
        <w:tc>
          <w:tcPr>
            <w:tcW w:w="365" w:type="dxa"/>
            <w:tcBorders/>
            <w:shd w:fill="FFFFFF" w:val="clear"/>
            <w:vAlign w:val="bottom"/>
          </w:tcPr>
          <w:p>
            <w:pPr>
              <w:pStyle w:val="TableContents"/>
              <w:spacing w:before="0" w:after="283"/>
              <w:jc w:val="right"/>
              <w:rPr/>
            </w:pPr>
            <w:r>
              <w:rPr/>
              <w:t>    </w:t>
            </w:r>
          </w:p>
        </w:tc>
        <w:tc>
          <w:tcPr>
            <w:tcW w:w="348" w:type="dxa"/>
            <w:tcBorders/>
            <w:shd w:fill="FFFFFF" w:val="clear"/>
            <w:vAlign w:val="bottom"/>
          </w:tcPr>
          <w:p>
            <w:pPr>
              <w:pStyle w:val="TableContents"/>
              <w:spacing w:before="0" w:after="283"/>
              <w:jc w:val="right"/>
              <w:rPr>
                <w:rFonts w:ascii="Arial" w:hAnsi="Arial"/>
              </w:rPr>
            </w:pPr>
            <w:r>
              <w:rPr>
                <w:rFonts w:ascii="Arial" w:hAnsi="Arial"/>
              </w:rPr>
              <w:t>$</w:t>
            </w:r>
          </w:p>
        </w:tc>
        <w:tc>
          <w:tcPr>
            <w:tcW w:w="1391" w:type="dxa"/>
            <w:tcBorders/>
            <w:shd w:fill="FFFFFF" w:val="clear"/>
            <w:vAlign w:val="bottom"/>
          </w:tcPr>
          <w:p>
            <w:pPr>
              <w:pStyle w:val="TableContents"/>
              <w:spacing w:before="0" w:after="283"/>
              <w:jc w:val="right"/>
              <w:rPr>
                <w:rFonts w:ascii="Arial" w:hAnsi="Arial"/>
              </w:rPr>
            </w:pPr>
            <w:r>
              <w:rPr>
                <w:rFonts w:ascii="Arial" w:hAnsi="Arial"/>
              </w:rPr>
              <w:t>35.85</w:t>
            </w:r>
          </w:p>
        </w:tc>
        <w:tc>
          <w:tcPr>
            <w:tcW w:w="136" w:type="dxa"/>
            <w:tcBorders/>
            <w:shd w:fill="FFFFFF" w:val="clear"/>
            <w:vAlign w:val="center"/>
          </w:tcPr>
          <w:p>
            <w:pPr>
              <w:pStyle w:val="TableContents"/>
              <w:spacing w:before="0" w:after="283"/>
              <w:rPr/>
            </w:pPr>
            <w:r>
              <w:rPr/>
              <w:t> </w:t>
            </w:r>
          </w:p>
        </w:tc>
      </w:tr>
      <w:tr>
        <w:trPr/>
        <w:tc>
          <w:tcPr>
            <w:tcW w:w="5568" w:type="dxa"/>
            <w:tcBorders/>
            <w:shd w:fill="E5FFFF" w:val="clear"/>
            <w:vAlign w:val="center"/>
          </w:tcPr>
          <w:p>
            <w:pPr>
              <w:pStyle w:val="TableContents"/>
              <w:spacing w:before="0" w:after="283"/>
              <w:rPr/>
            </w:pPr>
            <w:r>
              <w:rPr/>
              <w:t> </w:t>
            </w:r>
          </w:p>
        </w:tc>
        <w:tc>
          <w:tcPr>
            <w:tcW w:w="364" w:type="dxa"/>
            <w:tcBorders/>
            <w:shd w:fill="E5FFFF" w:val="clear"/>
            <w:vAlign w:val="bottom"/>
          </w:tcPr>
          <w:p>
            <w:pPr>
              <w:pStyle w:val="TableContents"/>
              <w:spacing w:before="0" w:after="283"/>
              <w:jc w:val="right"/>
              <w:rPr/>
            </w:pPr>
            <w:r>
              <w:rPr/>
              <w:t>    </w:t>
            </w:r>
          </w:p>
        </w:tc>
        <w:tc>
          <w:tcPr>
            <w:tcW w:w="98" w:type="dxa"/>
            <w:tcBorders/>
            <w:shd w:fill="E5FFFF" w:val="clear"/>
            <w:vAlign w:val="center"/>
          </w:tcPr>
          <w:p>
            <w:pPr>
              <w:pStyle w:val="TableContents"/>
              <w:spacing w:before="0" w:after="283"/>
              <w:rPr/>
            </w:pPr>
            <w:r>
              <w:rPr/>
              <w:t> </w:t>
            </w:r>
          </w:p>
        </w:tc>
        <w:tc>
          <w:tcPr>
            <w:tcW w:w="1780" w:type="dxa"/>
            <w:tcBorders/>
            <w:shd w:fill="E5FFFF" w:val="clear"/>
            <w:vAlign w:val="bottom"/>
          </w:tcPr>
          <w:p>
            <w:pPr>
              <w:pStyle w:val="HorizontalLine"/>
              <w:pBdr>
                <w:bottom w:val="single" w:sz="18" w:space="0" w:color="000000"/>
              </w:pBdr>
              <w:spacing w:before="0" w:after="283"/>
              <w:rPr/>
            </w:pPr>
            <w:r>
              <w:rPr/>
            </w:r>
          </w:p>
        </w:tc>
        <w:tc>
          <w:tcPr>
            <w:tcW w:w="155" w:type="dxa"/>
            <w:tcBorders/>
            <w:shd w:fill="E5FFFF" w:val="clear"/>
            <w:vAlign w:val="center"/>
          </w:tcPr>
          <w:p>
            <w:pPr>
              <w:pStyle w:val="TableContents"/>
              <w:spacing w:before="0" w:after="283"/>
              <w:rPr/>
            </w:pPr>
            <w:r>
              <w:rPr/>
              <w:t> </w:t>
            </w:r>
          </w:p>
        </w:tc>
        <w:tc>
          <w:tcPr>
            <w:tcW w:w="365" w:type="dxa"/>
            <w:tcBorders/>
            <w:shd w:fill="E5FFFF" w:val="clear"/>
            <w:vAlign w:val="center"/>
          </w:tcPr>
          <w:p>
            <w:pPr>
              <w:pStyle w:val="TableContents"/>
              <w:spacing w:before="0" w:after="283"/>
              <w:rPr/>
            </w:pPr>
            <w:r>
              <w:rPr/>
              <w:t> </w:t>
            </w:r>
          </w:p>
        </w:tc>
        <w:tc>
          <w:tcPr>
            <w:tcW w:w="348" w:type="dxa"/>
            <w:tcBorders/>
            <w:shd w:fill="E5FFFF" w:val="clear"/>
            <w:vAlign w:val="center"/>
          </w:tcPr>
          <w:p>
            <w:pPr>
              <w:pStyle w:val="TableContents"/>
              <w:spacing w:before="0" w:after="283"/>
              <w:rPr/>
            </w:pPr>
            <w:r>
              <w:rPr/>
              <w:t> </w:t>
            </w:r>
          </w:p>
        </w:tc>
        <w:tc>
          <w:tcPr>
            <w:tcW w:w="1391" w:type="dxa"/>
            <w:tcBorders/>
            <w:shd w:fill="E5FFFF" w:val="clear"/>
            <w:vAlign w:val="center"/>
          </w:tcPr>
          <w:p>
            <w:pPr>
              <w:pStyle w:val="TableContents"/>
              <w:spacing w:before="0" w:after="283"/>
              <w:rPr/>
            </w:pPr>
            <w:r>
              <w:rPr/>
              <w:t> </w:t>
            </w:r>
          </w:p>
        </w:tc>
        <w:tc>
          <w:tcPr>
            <w:tcW w:w="136" w:type="dxa"/>
            <w:tcBorders/>
            <w:shd w:fill="E5FFFF" w:val="clear"/>
            <w:vAlign w:val="center"/>
          </w:tcPr>
          <w:p>
            <w:pPr>
              <w:pStyle w:val="TableContents"/>
              <w:spacing w:before="0" w:after="283"/>
              <w:rPr/>
            </w:pPr>
            <w:r>
              <w:rPr/>
              <w:t> </w:t>
            </w:r>
          </w:p>
        </w:tc>
      </w:tr>
      <w:tr>
        <w:trPr/>
        <w:tc>
          <w:tcPr>
            <w:tcW w:w="5568" w:type="dxa"/>
            <w:tcBorders/>
            <w:shd w:fill="FFFFFF" w:val="clear"/>
            <w:vAlign w:val="bottom"/>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178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365"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rPr/>
            </w:pPr>
            <w:r>
              <w:rPr/>
              <w:t> </w:t>
            </w:r>
          </w:p>
        </w:tc>
        <w:tc>
          <w:tcPr>
            <w:tcW w:w="1391" w:type="dxa"/>
            <w:tcBorders/>
            <w:shd w:fill="FFFFFF" w:val="clear"/>
            <w:vAlign w:val="center"/>
          </w:tcPr>
          <w:p>
            <w:pPr>
              <w:pStyle w:val="TableContents"/>
              <w:spacing w:before="0" w:after="283"/>
              <w:rPr/>
            </w:pPr>
            <w:r>
              <w:rPr/>
              <w:t> </w:t>
            </w:r>
          </w:p>
        </w:tc>
        <w:tc>
          <w:tcPr>
            <w:tcW w:w="13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As of December 31, 2006, there was approximately $113 million of total unrecognized compensation cost related to non-vested RSUs granted under our stock plans which is expected to be recognized over a weighted-average period of 2.36 years. Compensation expense related to RSUs was $29, $24 and $24 million in 2006, 2005 and 2004, respectively. At December 31, 2006, the Company reclassified $112 million of obligations to equity for restricted and deferred stock awards that are settled in equity.</w:t>
      </w:r>
    </w:p>
    <w:p>
      <w:pPr>
        <w:pStyle w:val="TextBody"/>
        <w:jc w:val="left"/>
        <w:rPr/>
      </w:pPr>
      <w:r>
        <w:rPr/>
        <w:t>      </w:t>
      </w:r>
      <w:r>
        <w:rPr>
          <w:rFonts w:ascii="Arial" w:hAnsi="Arial"/>
          <w:b/>
          <w:i/>
        </w:rPr>
        <w:t>Non-Employee Directors' Plan—</w:t>
      </w:r>
      <w:r>
        <w:rPr>
          <w:rFonts w:ascii="Arial" w:hAnsi="Arial"/>
        </w:rPr>
        <w:t>Under the Directors' Plan each new director receives a one-time grant of 3,000 shares of common stock, subject to specific restrictions.</w:t>
      </w:r>
    </w:p>
    <w:p>
      <w:pPr>
        <w:pStyle w:val="TextBody"/>
        <w:jc w:val="left"/>
        <w:rPr/>
      </w:pPr>
      <w:r>
        <w:rPr/>
        <w:t>      </w:t>
      </w:r>
      <w:r>
        <w:rPr>
          <w:rFonts w:ascii="Arial" w:hAnsi="Arial"/>
        </w:rPr>
        <w:t>The Directors' Plan also provides for an annual grant to each director of options to purchase 5,000 shares of common stock at the fair market value on the date of grant. Options have generally become exercisable over a three-year period and expire after ten years. Starting with 2007 option grants the vesting period will be extended to four years.</w:t>
      </w:r>
    </w:p>
    <w:p>
      <w:pPr>
        <w:pStyle w:val="TextBody"/>
        <w:jc w:val="left"/>
        <w:rPr>
          <w:rFonts w:ascii="Arial" w:hAnsi="Arial"/>
          <w:b/>
        </w:rPr>
      </w:pPr>
      <w:r>
        <w:rPr>
          <w:rFonts w:ascii="Arial" w:hAnsi="Arial"/>
          <w:b/>
        </w:rPr>
        <w:t>Note 21—Commitments and Contingencies</w:t>
      </w:r>
    </w:p>
    <w:p>
      <w:pPr>
        <w:pStyle w:val="TextBody"/>
        <w:jc w:val="left"/>
        <w:rPr>
          <w:rFonts w:ascii="Arial" w:hAnsi="Arial"/>
          <w:b/>
        </w:rPr>
      </w:pPr>
      <w:r>
        <w:rPr>
          <w:rFonts w:ascii="Arial" w:hAnsi="Arial"/>
          <w:b/>
        </w:rPr>
        <w:t>Environmental Matters</w:t>
      </w:r>
    </w:p>
    <w:p>
      <w:pPr>
        <w:pStyle w:val="TextBody"/>
        <w:jc w:val="left"/>
        <w:rPr/>
      </w:pPr>
      <w:r>
        <w:rPr/>
        <w:t>      </w:t>
      </w:r>
      <w:r>
        <w:rPr>
          <w:rFonts w:ascii="Arial" w:hAnsi="Arial"/>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or toxic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w:t>
      </w:r>
    </w:p>
    <w:p>
      <w:pPr>
        <w:pStyle w:val="TextBody"/>
        <w:jc w:val="center"/>
        <w:rPr>
          <w:rFonts w:ascii="Arial" w:hAnsi="Arial"/>
        </w:rPr>
      </w:pPr>
      <w:r>
        <w:rPr>
          <w:rFonts w:ascii="Arial" w:hAnsi="Arial"/>
        </w:rPr>
        <w:t>74</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are a party to lawsuits and claims associated with environmental and safety matters, including past production of products containing toxic substances. Additional lawsuits, claims and costs involving environmental matters are likely to continue to arise in the future.</w:t>
      </w:r>
    </w:p>
    <w:p>
      <w:pPr>
        <w:pStyle w:val="TextBody"/>
        <w:jc w:val="left"/>
        <w:rPr>
          <w:rFonts w:ascii="Arial" w:hAnsi="Arial"/>
        </w:rPr>
      </w:pPr>
      <w:r>
        <w:rPr>
          <w:rFonts w:ascii="Arial" w:hAnsi="Arial"/>
        </w:rPr>
        <w:t>With respect to environmental matters involving site contamination, we continually conduct studies, individually or jointly with other potentially responsible parties, to determine the feasibility of various remedial techniques to address environmental matters.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accruals.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 The following table summarizes information concerning our recorded liabilities for environmental costs:</w:t>
      </w:r>
    </w:p>
    <w:tbl>
      <w:tblPr>
        <w:tblW w:w="5000" w:type="pct"/>
        <w:jc w:val="left"/>
        <w:tblInd w:w="0" w:type="dxa"/>
        <w:tblCellMar>
          <w:top w:w="0" w:type="dxa"/>
          <w:left w:w="0" w:type="dxa"/>
          <w:bottom w:w="0" w:type="dxa"/>
          <w:right w:w="0" w:type="dxa"/>
        </w:tblCellMar>
      </w:tblPr>
      <w:tblGrid>
        <w:gridCol w:w="5976"/>
        <w:gridCol w:w="243"/>
        <w:gridCol w:w="181"/>
        <w:gridCol w:w="846"/>
        <w:gridCol w:w="137"/>
        <w:gridCol w:w="243"/>
        <w:gridCol w:w="181"/>
        <w:gridCol w:w="846"/>
        <w:gridCol w:w="137"/>
        <w:gridCol w:w="243"/>
        <w:gridCol w:w="181"/>
        <w:gridCol w:w="845"/>
        <w:gridCol w:w="146"/>
      </w:tblGrid>
      <w:tr>
        <w:trPr/>
        <w:tc>
          <w:tcPr>
            <w:tcW w:w="5976"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3986" w:type="dxa"/>
            <w:gridSpan w:val="11"/>
            <w:tcBorders/>
            <w:shd w:fill="FFFFFF" w:val="clear"/>
            <w:vAlign w:val="bottom"/>
          </w:tcPr>
          <w:p>
            <w:pPr>
              <w:pStyle w:val="TableContents"/>
              <w:spacing w:before="0" w:after="0"/>
              <w:jc w:val="center"/>
              <w:rPr>
                <w:rFonts w:ascii="Arial" w:hAnsi="Arial"/>
                <w:b/>
              </w:rPr>
            </w:pPr>
            <w:r>
              <w:rPr>
                <w:rFonts w:ascii="Arial" w:hAnsi="Arial"/>
                <w:b/>
              </w:rPr>
              <w:t>Years Ended</w:t>
              <w:br/>
              <w:t>December 31,</w:t>
            </w:r>
          </w:p>
          <w:p>
            <w:pPr>
              <w:pStyle w:val="HorizontalLine"/>
              <w:pBdr>
                <w:bottom w:val="single" w:sz="6" w:space="0" w:color="000000"/>
              </w:pBdr>
              <w:spacing w:before="0" w:after="283"/>
              <w:rPr/>
            </w:pPr>
            <w:r>
              <w:rPr/>
            </w:r>
          </w:p>
        </w:tc>
      </w:tr>
      <w:tr>
        <w:trPr/>
        <w:tc>
          <w:tcPr>
            <w:tcW w:w="5976"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16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3" w:type="dxa"/>
            <w:tcBorders/>
            <w:shd w:fill="FFFFFF" w:val="clear"/>
            <w:vAlign w:val="center"/>
          </w:tcPr>
          <w:p>
            <w:pPr>
              <w:pStyle w:val="TableContents"/>
              <w:spacing w:before="0" w:after="283"/>
              <w:rPr/>
            </w:pPr>
            <w:r>
              <w:rPr/>
              <w:t> </w:t>
            </w:r>
          </w:p>
        </w:tc>
        <w:tc>
          <w:tcPr>
            <w:tcW w:w="116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3" w:type="dxa"/>
            <w:tcBorders/>
            <w:shd w:fill="FFFFFF" w:val="clear"/>
            <w:vAlign w:val="center"/>
          </w:tcPr>
          <w:p>
            <w:pPr>
              <w:pStyle w:val="TableContents"/>
              <w:spacing w:before="0" w:after="283"/>
              <w:rPr/>
            </w:pPr>
            <w:r>
              <w:rPr/>
              <w:t> </w:t>
            </w:r>
          </w:p>
        </w:tc>
        <w:tc>
          <w:tcPr>
            <w:tcW w:w="117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976" w:type="dxa"/>
            <w:tcBorders/>
            <w:shd w:fill="FFFFFF" w:val="clear"/>
            <w:vAlign w:val="bottom"/>
          </w:tcPr>
          <w:p>
            <w:pPr>
              <w:pStyle w:val="TableContents"/>
              <w:spacing w:before="0" w:after="283"/>
              <w:jc w:val="left"/>
              <w:rPr>
                <w:rFonts w:ascii="Arial" w:hAnsi="Arial"/>
              </w:rPr>
            </w:pPr>
            <w:r>
              <w:rPr>
                <w:rFonts w:ascii="Arial" w:hAnsi="Arial"/>
              </w:rPr>
              <w:t>Beginning of year</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846" w:type="dxa"/>
            <w:tcBorders/>
            <w:shd w:fill="FFFFFF" w:val="clear"/>
            <w:vAlign w:val="bottom"/>
          </w:tcPr>
          <w:p>
            <w:pPr>
              <w:pStyle w:val="TableContents"/>
              <w:spacing w:before="0" w:after="283"/>
              <w:jc w:val="right"/>
              <w:rPr>
                <w:rFonts w:ascii="Arial" w:hAnsi="Arial"/>
              </w:rPr>
            </w:pPr>
            <w:r>
              <w:rPr>
                <w:rFonts w:ascii="Arial" w:hAnsi="Arial"/>
              </w:rPr>
              <w:t>879</w:t>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846" w:type="dxa"/>
            <w:tcBorders/>
            <w:shd w:fill="FFFFFF" w:val="clear"/>
            <w:vAlign w:val="bottom"/>
          </w:tcPr>
          <w:p>
            <w:pPr>
              <w:pStyle w:val="TableContents"/>
              <w:spacing w:before="0" w:after="283"/>
              <w:jc w:val="right"/>
              <w:rPr>
                <w:rFonts w:ascii="Arial" w:hAnsi="Arial"/>
              </w:rPr>
            </w:pPr>
            <w:r>
              <w:rPr>
                <w:rFonts w:ascii="Arial" w:hAnsi="Arial"/>
              </w:rPr>
              <w:t>895</w:t>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845" w:type="dxa"/>
            <w:tcBorders/>
            <w:shd w:fill="FFFFFF" w:val="clear"/>
            <w:vAlign w:val="bottom"/>
          </w:tcPr>
          <w:p>
            <w:pPr>
              <w:pStyle w:val="TableContents"/>
              <w:spacing w:before="0" w:after="283"/>
              <w:jc w:val="right"/>
              <w:rPr>
                <w:rFonts w:ascii="Arial" w:hAnsi="Arial"/>
              </w:rPr>
            </w:pPr>
            <w:r>
              <w:rPr>
                <w:rFonts w:ascii="Arial" w:hAnsi="Arial"/>
              </w:rPr>
              <w:t>593</w:t>
            </w:r>
          </w:p>
        </w:tc>
        <w:tc>
          <w:tcPr>
            <w:tcW w:w="146" w:type="dxa"/>
            <w:tcBorders/>
            <w:shd w:fill="FFFFFF" w:val="clear"/>
            <w:vAlign w:val="center"/>
          </w:tcPr>
          <w:p>
            <w:pPr>
              <w:pStyle w:val="TableContents"/>
              <w:spacing w:before="0" w:after="283"/>
              <w:rPr/>
            </w:pPr>
            <w:r>
              <w:rPr/>
              <w:t> </w:t>
            </w:r>
          </w:p>
        </w:tc>
      </w:tr>
      <w:tr>
        <w:trPr/>
        <w:tc>
          <w:tcPr>
            <w:tcW w:w="5976" w:type="dxa"/>
            <w:tcBorders/>
            <w:shd w:fill="E5FFFF" w:val="clear"/>
            <w:vAlign w:val="bottom"/>
          </w:tcPr>
          <w:p>
            <w:pPr>
              <w:pStyle w:val="TableContents"/>
              <w:spacing w:before="0" w:after="283"/>
              <w:jc w:val="left"/>
              <w:rPr>
                <w:rFonts w:ascii="Arial" w:hAnsi="Arial"/>
              </w:rPr>
            </w:pPr>
            <w:r>
              <w:rPr>
                <w:rFonts w:ascii="Arial" w:hAnsi="Arial"/>
              </w:rPr>
              <w:t>Accruals for environmental matters deemed probable and reasonably estimable</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846" w:type="dxa"/>
            <w:tcBorders/>
            <w:shd w:fill="E5FFFF" w:val="clear"/>
            <w:vAlign w:val="bottom"/>
          </w:tcPr>
          <w:p>
            <w:pPr>
              <w:pStyle w:val="TableContents"/>
              <w:spacing w:before="0" w:after="283"/>
              <w:jc w:val="right"/>
              <w:rPr>
                <w:rFonts w:ascii="Arial" w:hAnsi="Arial"/>
              </w:rPr>
            </w:pPr>
            <w:r>
              <w:rPr>
                <w:rFonts w:ascii="Arial" w:hAnsi="Arial"/>
              </w:rPr>
              <w:t>218</w:t>
            </w:r>
          </w:p>
        </w:tc>
        <w:tc>
          <w:tcPr>
            <w:tcW w:w="13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846" w:type="dxa"/>
            <w:tcBorders/>
            <w:shd w:fill="E5FFFF" w:val="clear"/>
            <w:vAlign w:val="bottom"/>
          </w:tcPr>
          <w:p>
            <w:pPr>
              <w:pStyle w:val="TableContents"/>
              <w:spacing w:before="0" w:after="283"/>
              <w:jc w:val="right"/>
              <w:rPr>
                <w:rFonts w:ascii="Arial" w:hAnsi="Arial"/>
              </w:rPr>
            </w:pPr>
            <w:r>
              <w:rPr>
                <w:rFonts w:ascii="Arial" w:hAnsi="Arial"/>
              </w:rPr>
              <w:t>186</w:t>
            </w:r>
          </w:p>
        </w:tc>
        <w:tc>
          <w:tcPr>
            <w:tcW w:w="13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845" w:type="dxa"/>
            <w:tcBorders/>
            <w:shd w:fill="E5FFFF" w:val="clear"/>
            <w:vAlign w:val="bottom"/>
          </w:tcPr>
          <w:p>
            <w:pPr>
              <w:pStyle w:val="TableContents"/>
              <w:spacing w:before="0" w:after="283"/>
              <w:jc w:val="right"/>
              <w:rPr>
                <w:rFonts w:ascii="Arial" w:hAnsi="Arial"/>
              </w:rPr>
            </w:pPr>
            <w:r>
              <w:rPr>
                <w:rFonts w:ascii="Arial" w:hAnsi="Arial"/>
              </w:rPr>
              <w:t>536</w:t>
            </w:r>
          </w:p>
        </w:tc>
        <w:tc>
          <w:tcPr>
            <w:tcW w:w="146" w:type="dxa"/>
            <w:tcBorders/>
            <w:shd w:fill="E5FFFF" w:val="clear"/>
            <w:vAlign w:val="center"/>
          </w:tcPr>
          <w:p>
            <w:pPr>
              <w:pStyle w:val="TableContents"/>
              <w:spacing w:before="0" w:after="283"/>
              <w:rPr/>
            </w:pPr>
            <w:r>
              <w:rPr/>
              <w:t> </w:t>
            </w:r>
          </w:p>
        </w:tc>
      </w:tr>
      <w:tr>
        <w:trPr/>
        <w:tc>
          <w:tcPr>
            <w:tcW w:w="5976" w:type="dxa"/>
            <w:tcBorders/>
            <w:shd w:fill="FFFFFF" w:val="clear"/>
            <w:vAlign w:val="bottom"/>
          </w:tcPr>
          <w:p>
            <w:pPr>
              <w:pStyle w:val="TableContents"/>
              <w:spacing w:before="0" w:after="283"/>
              <w:jc w:val="left"/>
              <w:rPr>
                <w:rFonts w:ascii="Arial" w:hAnsi="Arial"/>
              </w:rPr>
            </w:pPr>
            <w:r>
              <w:rPr>
                <w:rFonts w:ascii="Arial" w:hAnsi="Arial"/>
              </w:rPr>
              <w:t>Environmental liability payments</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bottom"/>
          </w:tcPr>
          <w:p>
            <w:pPr>
              <w:pStyle w:val="TableContents"/>
              <w:spacing w:before="0" w:after="283"/>
              <w:jc w:val="right"/>
              <w:rPr>
                <w:rFonts w:ascii="Arial" w:hAnsi="Arial"/>
              </w:rPr>
            </w:pPr>
            <w:r>
              <w:rPr>
                <w:rFonts w:ascii="Arial" w:hAnsi="Arial"/>
              </w:rPr>
              <w:t>(264</w:t>
            </w:r>
          </w:p>
        </w:tc>
        <w:tc>
          <w:tcPr>
            <w:tcW w:w="137" w:type="dxa"/>
            <w:tcBorders/>
            <w:shd w:fill="FFFFFF" w:val="clear"/>
            <w:vAlign w:val="bottom"/>
          </w:tcPr>
          <w:p>
            <w:pPr>
              <w:pStyle w:val="TableContents"/>
              <w:spacing w:before="0" w:after="283"/>
              <w:jc w:val="left"/>
              <w:rPr>
                <w:rFonts w:ascii="Arial" w:hAnsi="Arial"/>
              </w:rPr>
            </w:pPr>
            <w:r>
              <w:rPr>
                <w:rFonts w:ascii="Arial" w:hAnsi="Arial"/>
              </w:rPr>
              <w:t>)</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bottom"/>
          </w:tcPr>
          <w:p>
            <w:pPr>
              <w:pStyle w:val="TableContents"/>
              <w:spacing w:before="0" w:after="283"/>
              <w:jc w:val="right"/>
              <w:rPr>
                <w:rFonts w:ascii="Arial" w:hAnsi="Arial"/>
              </w:rPr>
            </w:pPr>
            <w:r>
              <w:rPr>
                <w:rFonts w:ascii="Arial" w:hAnsi="Arial"/>
              </w:rPr>
              <w:t>(247</w:t>
            </w:r>
          </w:p>
        </w:tc>
        <w:tc>
          <w:tcPr>
            <w:tcW w:w="137" w:type="dxa"/>
            <w:tcBorders/>
            <w:shd w:fill="FFFFFF" w:val="clear"/>
            <w:vAlign w:val="bottom"/>
          </w:tcPr>
          <w:p>
            <w:pPr>
              <w:pStyle w:val="TableContents"/>
              <w:spacing w:before="0" w:after="283"/>
              <w:jc w:val="left"/>
              <w:rPr>
                <w:rFonts w:ascii="Arial" w:hAnsi="Arial"/>
              </w:rPr>
            </w:pPr>
            <w:r>
              <w:rPr>
                <w:rFonts w:ascii="Arial" w:hAnsi="Arial"/>
              </w:rPr>
              <w:t>)</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5" w:type="dxa"/>
            <w:tcBorders/>
            <w:shd w:fill="FFFFFF" w:val="clear"/>
            <w:vAlign w:val="bottom"/>
          </w:tcPr>
          <w:p>
            <w:pPr>
              <w:pStyle w:val="TableContents"/>
              <w:spacing w:before="0" w:after="283"/>
              <w:jc w:val="right"/>
              <w:rPr>
                <w:rFonts w:ascii="Arial" w:hAnsi="Arial"/>
              </w:rPr>
            </w:pPr>
            <w:r>
              <w:rPr>
                <w:rFonts w:ascii="Arial" w:hAnsi="Arial"/>
              </w:rPr>
              <w:t>(248</w:t>
            </w:r>
          </w:p>
        </w:tc>
        <w:tc>
          <w:tcPr>
            <w:tcW w:w="14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976" w:type="dxa"/>
            <w:tcBorders/>
            <w:shd w:fill="E5FFFF" w:val="clear"/>
            <w:vAlign w:val="bottom"/>
          </w:tcPr>
          <w:p>
            <w:pPr>
              <w:pStyle w:val="TableContents"/>
              <w:spacing w:before="0" w:after="283"/>
              <w:jc w:val="left"/>
              <w:rPr>
                <w:rFonts w:ascii="Arial" w:hAnsi="Arial"/>
              </w:rPr>
            </w:pPr>
            <w:r>
              <w:rPr>
                <w:rFonts w:ascii="Arial" w:hAnsi="Arial"/>
              </w:rPr>
              <w:t>Other adjustments(1)</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846" w:type="dxa"/>
            <w:tcBorders/>
            <w:shd w:fill="E5FFFF" w:val="clear"/>
            <w:vAlign w:val="bottom"/>
          </w:tcPr>
          <w:p>
            <w:pPr>
              <w:pStyle w:val="TableContents"/>
              <w:spacing w:before="0" w:after="283"/>
              <w:jc w:val="right"/>
              <w:rPr>
                <w:rFonts w:ascii="Arial" w:hAnsi="Arial"/>
              </w:rPr>
            </w:pPr>
            <w:r>
              <w:rPr>
                <w:rFonts w:ascii="Arial" w:hAnsi="Arial"/>
              </w:rPr>
              <w:t>(2</w:t>
            </w:r>
          </w:p>
        </w:tc>
        <w:tc>
          <w:tcPr>
            <w:tcW w:w="137" w:type="dxa"/>
            <w:tcBorders/>
            <w:shd w:fill="E5FFFF" w:val="clear"/>
            <w:vAlign w:val="bottom"/>
          </w:tcPr>
          <w:p>
            <w:pPr>
              <w:pStyle w:val="TableContents"/>
              <w:spacing w:before="0" w:after="283"/>
              <w:jc w:val="left"/>
              <w:rPr>
                <w:rFonts w:ascii="Arial" w:hAnsi="Arial"/>
              </w:rPr>
            </w:pPr>
            <w:r>
              <w:rPr>
                <w:rFonts w:ascii="Arial" w:hAnsi="Arial"/>
              </w:rPr>
              <w:t>)</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846" w:type="dxa"/>
            <w:tcBorders/>
            <w:shd w:fill="E5FFFF" w:val="clear"/>
            <w:vAlign w:val="bottom"/>
          </w:tcPr>
          <w:p>
            <w:pPr>
              <w:pStyle w:val="TableContents"/>
              <w:spacing w:before="0" w:after="283"/>
              <w:jc w:val="right"/>
              <w:rPr>
                <w:rFonts w:ascii="Arial" w:hAnsi="Arial"/>
              </w:rPr>
            </w:pPr>
            <w:r>
              <w:rPr>
                <w:rFonts w:ascii="Arial" w:hAnsi="Arial"/>
              </w:rPr>
              <w:t>45</w:t>
            </w:r>
          </w:p>
        </w:tc>
        <w:tc>
          <w:tcPr>
            <w:tcW w:w="13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845" w:type="dxa"/>
            <w:tcBorders/>
            <w:shd w:fill="E5FFFF" w:val="clear"/>
            <w:vAlign w:val="bottom"/>
          </w:tcPr>
          <w:p>
            <w:pPr>
              <w:pStyle w:val="TableContents"/>
              <w:spacing w:before="0" w:after="283"/>
              <w:jc w:val="right"/>
              <w:rPr>
                <w:rFonts w:ascii="Arial" w:hAnsi="Arial"/>
              </w:rPr>
            </w:pPr>
            <w:r>
              <w:rPr>
                <w:rFonts w:ascii="Arial" w:hAnsi="Arial"/>
              </w:rPr>
              <w:t>14</w:t>
            </w:r>
          </w:p>
        </w:tc>
        <w:tc>
          <w:tcPr>
            <w:tcW w:w="146" w:type="dxa"/>
            <w:tcBorders/>
            <w:shd w:fill="E5FFFF" w:val="clear"/>
            <w:vAlign w:val="center"/>
          </w:tcPr>
          <w:p>
            <w:pPr>
              <w:pStyle w:val="TableContents"/>
              <w:spacing w:before="0" w:after="283"/>
              <w:rPr/>
            </w:pPr>
            <w:r>
              <w:rPr/>
              <w:t> </w:t>
            </w:r>
          </w:p>
        </w:tc>
      </w:tr>
      <w:tr>
        <w:trPr/>
        <w:tc>
          <w:tcPr>
            <w:tcW w:w="5976"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bottom"/>
          </w:tcPr>
          <w:p>
            <w:pPr>
              <w:pStyle w:val="HorizontalLine"/>
              <w:pBdr>
                <w:bottom w:val="single" w:sz="6" w:space="0" w:color="000000"/>
              </w:pBdr>
              <w:spacing w:before="0" w:after="283"/>
              <w:rPr/>
            </w:pPr>
            <w:r>
              <w:rPr/>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bottom"/>
          </w:tcPr>
          <w:p>
            <w:pPr>
              <w:pStyle w:val="HorizontalLine"/>
              <w:pBdr>
                <w:bottom w:val="single" w:sz="6" w:space="0" w:color="000000"/>
              </w:pBdr>
              <w:spacing w:before="0" w:after="283"/>
              <w:rPr/>
            </w:pPr>
            <w:r>
              <w:rPr/>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5" w:type="dxa"/>
            <w:tcBorders/>
            <w:shd w:fill="FFFFFF" w:val="clear"/>
            <w:vAlign w:val="bottom"/>
          </w:tcPr>
          <w:p>
            <w:pPr>
              <w:pStyle w:val="HorizontalLine"/>
              <w:pBdr>
                <w:bottom w:val="single" w:sz="6" w:space="0" w:color="000000"/>
              </w:pBdr>
              <w:spacing w:before="0" w:after="283"/>
              <w:rPr/>
            </w:pPr>
            <w:r>
              <w:rPr/>
            </w:r>
          </w:p>
        </w:tc>
        <w:tc>
          <w:tcPr>
            <w:tcW w:w="146" w:type="dxa"/>
            <w:tcBorders/>
            <w:shd w:fill="FFFFFF" w:val="clear"/>
            <w:vAlign w:val="center"/>
          </w:tcPr>
          <w:p>
            <w:pPr>
              <w:pStyle w:val="TableContents"/>
              <w:spacing w:before="0" w:after="283"/>
              <w:rPr/>
            </w:pPr>
            <w:r>
              <w:rPr/>
              <w:t> </w:t>
            </w:r>
          </w:p>
        </w:tc>
      </w:tr>
      <w:tr>
        <w:trPr/>
        <w:tc>
          <w:tcPr>
            <w:tcW w:w="5976" w:type="dxa"/>
            <w:tcBorders/>
            <w:shd w:fill="E5FFFF" w:val="clear"/>
            <w:vAlign w:val="bottom"/>
          </w:tcPr>
          <w:p>
            <w:pPr>
              <w:pStyle w:val="TableContents"/>
              <w:spacing w:before="0" w:after="283"/>
              <w:jc w:val="left"/>
              <w:rPr>
                <w:rFonts w:ascii="Arial" w:hAnsi="Arial"/>
              </w:rPr>
            </w:pPr>
            <w:r>
              <w:rPr>
                <w:rFonts w:ascii="Arial" w:hAnsi="Arial"/>
              </w:rPr>
              <w:t>End of year</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846" w:type="dxa"/>
            <w:tcBorders/>
            <w:shd w:fill="E5FFFF" w:val="clear"/>
            <w:vAlign w:val="bottom"/>
          </w:tcPr>
          <w:p>
            <w:pPr>
              <w:pStyle w:val="TableContents"/>
              <w:spacing w:before="0" w:after="283"/>
              <w:jc w:val="right"/>
              <w:rPr>
                <w:rFonts w:ascii="Arial" w:hAnsi="Arial"/>
              </w:rPr>
            </w:pPr>
            <w:r>
              <w:rPr>
                <w:rFonts w:ascii="Arial" w:hAnsi="Arial"/>
              </w:rPr>
              <w:t>831</w:t>
            </w:r>
          </w:p>
        </w:tc>
        <w:tc>
          <w:tcPr>
            <w:tcW w:w="13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846" w:type="dxa"/>
            <w:tcBorders/>
            <w:shd w:fill="E5FFFF" w:val="clear"/>
            <w:vAlign w:val="bottom"/>
          </w:tcPr>
          <w:p>
            <w:pPr>
              <w:pStyle w:val="TableContents"/>
              <w:spacing w:before="0" w:after="283"/>
              <w:jc w:val="right"/>
              <w:rPr>
                <w:rFonts w:ascii="Arial" w:hAnsi="Arial"/>
              </w:rPr>
            </w:pPr>
            <w:r>
              <w:rPr>
                <w:rFonts w:ascii="Arial" w:hAnsi="Arial"/>
              </w:rPr>
              <w:t>879</w:t>
            </w:r>
          </w:p>
        </w:tc>
        <w:tc>
          <w:tcPr>
            <w:tcW w:w="137" w:type="dxa"/>
            <w:tcBorders/>
            <w:shd w:fill="E5FFFF" w:val="clear"/>
            <w:vAlign w:val="center"/>
          </w:tcPr>
          <w:p>
            <w:pPr>
              <w:pStyle w:val="TableContents"/>
              <w:spacing w:before="0" w:after="283"/>
              <w:rPr/>
            </w:pPr>
            <w:r>
              <w:rPr/>
              <w:t> </w:t>
            </w:r>
          </w:p>
        </w:tc>
        <w:tc>
          <w:tcPr>
            <w:tcW w:w="243"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845" w:type="dxa"/>
            <w:tcBorders/>
            <w:shd w:fill="E5FFFF" w:val="clear"/>
            <w:vAlign w:val="bottom"/>
          </w:tcPr>
          <w:p>
            <w:pPr>
              <w:pStyle w:val="TableContents"/>
              <w:spacing w:before="0" w:after="283"/>
              <w:jc w:val="right"/>
              <w:rPr>
                <w:rFonts w:ascii="Arial" w:hAnsi="Arial"/>
              </w:rPr>
            </w:pPr>
            <w:r>
              <w:rPr>
                <w:rFonts w:ascii="Arial" w:hAnsi="Arial"/>
              </w:rPr>
              <w:t>895</w:t>
            </w:r>
          </w:p>
        </w:tc>
        <w:tc>
          <w:tcPr>
            <w:tcW w:w="146" w:type="dxa"/>
            <w:tcBorders/>
            <w:shd w:fill="E5FFFF" w:val="clear"/>
            <w:vAlign w:val="center"/>
          </w:tcPr>
          <w:p>
            <w:pPr>
              <w:pStyle w:val="TableContents"/>
              <w:spacing w:before="0" w:after="283"/>
              <w:rPr/>
            </w:pPr>
            <w:r>
              <w:rPr/>
              <w:t> </w:t>
            </w:r>
          </w:p>
        </w:tc>
      </w:tr>
      <w:tr>
        <w:trPr/>
        <w:tc>
          <w:tcPr>
            <w:tcW w:w="5976"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bottom"/>
          </w:tcPr>
          <w:p>
            <w:pPr>
              <w:pStyle w:val="HorizontalLine"/>
              <w:pBdr>
                <w:bottom w:val="single" w:sz="18" w:space="0" w:color="000000"/>
              </w:pBdr>
              <w:spacing w:before="0" w:after="283"/>
              <w:rPr/>
            </w:pPr>
            <w:r>
              <w:rPr/>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bottom"/>
          </w:tcPr>
          <w:p>
            <w:pPr>
              <w:pStyle w:val="HorizontalLine"/>
              <w:pBdr>
                <w:bottom w:val="single" w:sz="18" w:space="0" w:color="000000"/>
              </w:pBdr>
              <w:spacing w:before="0" w:after="283"/>
              <w:rPr/>
            </w:pPr>
            <w:r>
              <w:rPr/>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845" w:type="dxa"/>
            <w:tcBorders/>
            <w:shd w:fill="FFFFFF" w:val="clear"/>
            <w:vAlign w:val="bottom"/>
          </w:tcPr>
          <w:p>
            <w:pPr>
              <w:pStyle w:val="HorizontalLine"/>
              <w:pBdr>
                <w:bottom w:val="single" w:sz="18" w:space="0" w:color="000000"/>
              </w:pBdr>
              <w:spacing w:before="0" w:after="283"/>
              <w:rPr/>
            </w:pPr>
            <w:r>
              <w:rPr/>
            </w:r>
          </w:p>
        </w:tc>
        <w:tc>
          <w:tcPr>
            <w:tcW w:w="146" w:type="dxa"/>
            <w:tcBorders/>
            <w:shd w:fill="FFFFFF" w:val="clear"/>
            <w:vAlign w:val="center"/>
          </w:tcPr>
          <w:p>
            <w:pPr>
              <w:pStyle w:val="TableContents"/>
              <w:spacing w:before="0" w:after="283"/>
              <w:rPr/>
            </w:pPr>
            <w:r>
              <w:rPr/>
              <w:t> </w:t>
            </w:r>
          </w:p>
        </w:tc>
      </w:tr>
      <w:tr>
        <w:trPr/>
        <w:tc>
          <w:tcPr>
            <w:tcW w:w="5976" w:type="dxa"/>
            <w:tcBorders/>
            <w:shd w:fill="FFFFFF" w:val="clear"/>
            <w:vAlign w:val="bottom"/>
          </w:tcPr>
          <w:p>
            <w:pPr>
              <w:pStyle w:val="TableContents"/>
              <w:spacing w:before="0" w:after="283"/>
              <w:rPr>
                <w:sz w:val="4"/>
                <w:szCs w:val="4"/>
              </w:rPr>
            </w:pPr>
            <w:r>
              <w:rPr>
                <w:sz w:val="4"/>
                <w:szCs w:val="4"/>
              </w:rPr>
            </w:r>
          </w:p>
        </w:tc>
        <w:tc>
          <w:tcPr>
            <w:tcW w:w="243"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84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243"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845"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66"/>
        <w:gridCol w:w="180"/>
        <w:gridCol w:w="9759"/>
      </w:tblGrid>
      <w:tr>
        <w:trPr/>
        <w:tc>
          <w:tcPr>
            <w:tcW w:w="266"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59" w:type="dxa"/>
            <w:tcBorders/>
            <w:shd w:fill="FFFFFF" w:val="clear"/>
            <w:vAlign w:val="center"/>
          </w:tcPr>
          <w:p>
            <w:pPr>
              <w:pStyle w:val="TableContents"/>
              <w:spacing w:before="0" w:after="283"/>
              <w:rPr/>
            </w:pPr>
            <w:r>
              <w:rPr/>
              <w:t> </w:t>
            </w:r>
          </w:p>
        </w:tc>
      </w:tr>
      <w:tr>
        <w:trPr/>
        <w:tc>
          <w:tcPr>
            <w:tcW w:w="266"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59" w:type="dxa"/>
            <w:tcBorders/>
            <w:shd w:fill="FFFFFF" w:val="clear"/>
            <w:vAlign w:val="bottom"/>
          </w:tcPr>
          <w:p>
            <w:pPr>
              <w:pStyle w:val="TableContents"/>
              <w:spacing w:before="0" w:after="283"/>
              <w:jc w:val="left"/>
              <w:rPr>
                <w:rFonts w:ascii="Arial" w:hAnsi="Arial"/>
              </w:rPr>
            </w:pPr>
            <w:r>
              <w:rPr>
                <w:rFonts w:ascii="Arial" w:hAnsi="Arial"/>
              </w:rPr>
              <w:t>In 2005, $45 million principally relates to reclassification of the carrying value of land to property, plant and equipment with a corresponding increase to environmental liabilities.</w:t>
            </w:r>
          </w:p>
        </w:tc>
      </w:tr>
    </w:tbl>
    <w:p>
      <w:pPr>
        <w:pStyle w:val="TextBody"/>
        <w:jc w:val="left"/>
        <w:rPr/>
      </w:pPr>
      <w:r>
        <w:rPr/>
        <w:t>      </w:t>
      </w:r>
      <w:r>
        <w:rPr>
          <w:rFonts w:ascii="Arial" w:hAnsi="Arial"/>
        </w:rPr>
        <w:t>Environmental liabilities are included in the following balance sheet accounts:</w:t>
      </w:r>
    </w:p>
    <w:tbl>
      <w:tblPr>
        <w:tblW w:w="5000" w:type="pct"/>
        <w:jc w:val="left"/>
        <w:tblInd w:w="0" w:type="dxa"/>
        <w:tblCellMar>
          <w:top w:w="0" w:type="dxa"/>
          <w:left w:w="0" w:type="dxa"/>
          <w:bottom w:w="0" w:type="dxa"/>
          <w:right w:w="0" w:type="dxa"/>
        </w:tblCellMar>
      </w:tblPr>
      <w:tblGrid>
        <w:gridCol w:w="6521"/>
        <w:gridCol w:w="242"/>
        <w:gridCol w:w="186"/>
        <w:gridCol w:w="1289"/>
        <w:gridCol w:w="123"/>
        <w:gridCol w:w="242"/>
        <w:gridCol w:w="186"/>
        <w:gridCol w:w="1289"/>
        <w:gridCol w:w="127"/>
      </w:tblGrid>
      <w:tr>
        <w:trPr/>
        <w:tc>
          <w:tcPr>
            <w:tcW w:w="6521"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3442"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521"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59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60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521" w:type="dxa"/>
            <w:tcBorders/>
            <w:shd w:fill="E5FFFF" w:val="clear"/>
            <w:vAlign w:val="bottom"/>
          </w:tcPr>
          <w:p>
            <w:pPr>
              <w:pStyle w:val="TableContents"/>
              <w:spacing w:before="0" w:after="283"/>
              <w:jc w:val="left"/>
              <w:rPr>
                <w:rFonts w:ascii="Arial" w:hAnsi="Arial"/>
              </w:rPr>
            </w:pPr>
            <w:r>
              <w:rPr>
                <w:rFonts w:ascii="Arial" w:hAnsi="Arial"/>
              </w:rPr>
              <w:t>Accrued liabilities</w:t>
            </w:r>
          </w:p>
        </w:tc>
        <w:tc>
          <w:tcPr>
            <w:tcW w:w="242" w:type="dxa"/>
            <w:tcBorders/>
            <w:shd w:fill="E5FFFF" w:val="clear"/>
            <w:vAlign w:val="bottom"/>
          </w:tcPr>
          <w:p>
            <w:pPr>
              <w:pStyle w:val="TableContents"/>
              <w:spacing w:before="0" w:after="283"/>
              <w:jc w:val="right"/>
              <w:rPr/>
            </w:pPr>
            <w:r>
              <w:rPr/>
              <w:t>    </w:t>
            </w:r>
          </w:p>
        </w:tc>
        <w:tc>
          <w:tcPr>
            <w:tcW w:w="186" w:type="dxa"/>
            <w:tcBorders/>
            <w:shd w:fill="E5FFFF" w:val="clear"/>
            <w:vAlign w:val="bottom"/>
          </w:tcPr>
          <w:p>
            <w:pPr>
              <w:pStyle w:val="TableContents"/>
              <w:spacing w:before="0" w:after="283"/>
              <w:jc w:val="right"/>
              <w:rPr>
                <w:rFonts w:ascii="Arial" w:hAnsi="Arial"/>
              </w:rPr>
            </w:pPr>
            <w:r>
              <w:rPr>
                <w:rFonts w:ascii="Arial" w:hAnsi="Arial"/>
              </w:rPr>
              <w:t>$</w:t>
            </w:r>
          </w:p>
        </w:tc>
        <w:tc>
          <w:tcPr>
            <w:tcW w:w="1289" w:type="dxa"/>
            <w:tcBorders/>
            <w:shd w:fill="E5FFFF" w:val="clear"/>
            <w:vAlign w:val="bottom"/>
          </w:tcPr>
          <w:p>
            <w:pPr>
              <w:pStyle w:val="TableContents"/>
              <w:spacing w:before="0" w:after="283"/>
              <w:jc w:val="right"/>
              <w:rPr>
                <w:rFonts w:ascii="Arial" w:hAnsi="Arial"/>
              </w:rPr>
            </w:pPr>
            <w:r>
              <w:rPr>
                <w:rFonts w:ascii="Arial" w:hAnsi="Arial"/>
              </w:rPr>
              <w:t>251</w:t>
            </w:r>
          </w:p>
        </w:tc>
        <w:tc>
          <w:tcPr>
            <w:tcW w:w="123"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6" w:type="dxa"/>
            <w:tcBorders/>
            <w:shd w:fill="E5FFFF" w:val="clear"/>
            <w:vAlign w:val="bottom"/>
          </w:tcPr>
          <w:p>
            <w:pPr>
              <w:pStyle w:val="TableContents"/>
              <w:spacing w:before="0" w:after="283"/>
              <w:jc w:val="right"/>
              <w:rPr>
                <w:rFonts w:ascii="Arial" w:hAnsi="Arial"/>
              </w:rPr>
            </w:pPr>
            <w:r>
              <w:rPr>
                <w:rFonts w:ascii="Arial" w:hAnsi="Arial"/>
              </w:rPr>
              <w:t>$</w:t>
            </w:r>
          </w:p>
        </w:tc>
        <w:tc>
          <w:tcPr>
            <w:tcW w:w="1289" w:type="dxa"/>
            <w:tcBorders/>
            <w:shd w:fill="E5FFFF" w:val="clear"/>
            <w:vAlign w:val="bottom"/>
          </w:tcPr>
          <w:p>
            <w:pPr>
              <w:pStyle w:val="TableContents"/>
              <w:spacing w:before="0" w:after="283"/>
              <w:jc w:val="right"/>
              <w:rPr>
                <w:rFonts w:ascii="Arial" w:hAnsi="Arial"/>
              </w:rPr>
            </w:pPr>
            <w:r>
              <w:rPr>
                <w:rFonts w:ascii="Arial" w:hAnsi="Arial"/>
              </w:rPr>
              <w:t>237</w:t>
            </w:r>
          </w:p>
        </w:tc>
        <w:tc>
          <w:tcPr>
            <w:tcW w:w="127" w:type="dxa"/>
            <w:tcBorders/>
            <w:shd w:fill="E5FFFF" w:val="clear"/>
            <w:vAlign w:val="center"/>
          </w:tcPr>
          <w:p>
            <w:pPr>
              <w:pStyle w:val="TableContents"/>
              <w:spacing w:before="0" w:after="283"/>
              <w:rPr/>
            </w:pPr>
            <w:r>
              <w:rPr/>
              <w:t> </w:t>
            </w:r>
          </w:p>
        </w:tc>
      </w:tr>
      <w:tr>
        <w:trPr/>
        <w:tc>
          <w:tcPr>
            <w:tcW w:w="6521" w:type="dxa"/>
            <w:tcBorders/>
            <w:shd w:fill="FFFFFF" w:val="clear"/>
            <w:vAlign w:val="bottom"/>
          </w:tcPr>
          <w:p>
            <w:pPr>
              <w:pStyle w:val="TableContents"/>
              <w:spacing w:before="0" w:after="283"/>
              <w:jc w:val="left"/>
              <w:rPr>
                <w:rFonts w:ascii="Arial" w:hAnsi="Arial"/>
              </w:rPr>
            </w:pPr>
            <w:r>
              <w:rPr>
                <w:rFonts w:ascii="Arial" w:hAnsi="Arial"/>
              </w:rPr>
              <w:t>Other liabilities</w:t>
            </w:r>
          </w:p>
        </w:tc>
        <w:tc>
          <w:tcPr>
            <w:tcW w:w="242" w:type="dxa"/>
            <w:tcBorders/>
            <w:shd w:fill="FFFFFF" w:val="clear"/>
            <w:vAlign w:val="bottom"/>
          </w:tcPr>
          <w:p>
            <w:pPr>
              <w:pStyle w:val="TableContents"/>
              <w:spacing w:before="0" w:after="283"/>
              <w:jc w:val="right"/>
              <w:rPr/>
            </w:pPr>
            <w:r>
              <w:rPr/>
              <w:t>    </w:t>
            </w:r>
          </w:p>
        </w:tc>
        <w:tc>
          <w:tcPr>
            <w:tcW w:w="186" w:type="dxa"/>
            <w:tcBorders/>
            <w:shd w:fill="FFFFFF" w:val="clear"/>
            <w:vAlign w:val="center"/>
          </w:tcPr>
          <w:p>
            <w:pPr>
              <w:pStyle w:val="TableContents"/>
              <w:spacing w:before="0" w:after="283"/>
              <w:rPr/>
            </w:pPr>
            <w:r>
              <w:rPr/>
              <w:t> </w:t>
            </w:r>
          </w:p>
        </w:tc>
        <w:tc>
          <w:tcPr>
            <w:tcW w:w="1289" w:type="dxa"/>
            <w:tcBorders/>
            <w:shd w:fill="FFFFFF" w:val="clear"/>
            <w:vAlign w:val="bottom"/>
          </w:tcPr>
          <w:p>
            <w:pPr>
              <w:pStyle w:val="TableContents"/>
              <w:spacing w:before="0" w:after="283"/>
              <w:jc w:val="right"/>
              <w:rPr>
                <w:rFonts w:ascii="Arial" w:hAnsi="Arial"/>
              </w:rPr>
            </w:pPr>
            <w:r>
              <w:rPr>
                <w:rFonts w:ascii="Arial" w:hAnsi="Arial"/>
              </w:rPr>
              <w:t>580</w:t>
            </w:r>
          </w:p>
        </w:tc>
        <w:tc>
          <w:tcPr>
            <w:tcW w:w="123"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6" w:type="dxa"/>
            <w:tcBorders/>
            <w:shd w:fill="FFFFFF" w:val="clear"/>
            <w:vAlign w:val="center"/>
          </w:tcPr>
          <w:p>
            <w:pPr>
              <w:pStyle w:val="TableContents"/>
              <w:spacing w:before="0" w:after="283"/>
              <w:rPr/>
            </w:pPr>
            <w:r>
              <w:rPr/>
              <w:t> </w:t>
            </w:r>
          </w:p>
        </w:tc>
        <w:tc>
          <w:tcPr>
            <w:tcW w:w="1289" w:type="dxa"/>
            <w:tcBorders/>
            <w:shd w:fill="FFFFFF" w:val="clear"/>
            <w:vAlign w:val="bottom"/>
          </w:tcPr>
          <w:p>
            <w:pPr>
              <w:pStyle w:val="TableContents"/>
              <w:spacing w:before="0" w:after="283"/>
              <w:jc w:val="right"/>
              <w:rPr>
                <w:rFonts w:ascii="Arial" w:hAnsi="Arial"/>
              </w:rPr>
            </w:pPr>
            <w:r>
              <w:rPr>
                <w:rFonts w:ascii="Arial" w:hAnsi="Arial"/>
              </w:rPr>
              <w:t>642</w:t>
            </w:r>
          </w:p>
        </w:tc>
        <w:tc>
          <w:tcPr>
            <w:tcW w:w="127" w:type="dxa"/>
            <w:tcBorders/>
            <w:shd w:fill="FFFFFF" w:val="clear"/>
            <w:vAlign w:val="center"/>
          </w:tcPr>
          <w:p>
            <w:pPr>
              <w:pStyle w:val="TableContents"/>
              <w:spacing w:before="0" w:after="283"/>
              <w:rPr/>
            </w:pPr>
            <w:r>
              <w:rPr/>
              <w:t> </w:t>
            </w:r>
          </w:p>
        </w:tc>
      </w:tr>
      <w:tr>
        <w:trPr/>
        <w:tc>
          <w:tcPr>
            <w:tcW w:w="6521"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1289" w:type="dxa"/>
            <w:tcBorders/>
            <w:shd w:fill="E5FFFF" w:val="clear"/>
            <w:vAlign w:val="bottom"/>
          </w:tcPr>
          <w:p>
            <w:pPr>
              <w:pStyle w:val="HorizontalLine"/>
              <w:pBdr>
                <w:bottom w:val="single" w:sz="6" w:space="0" w:color="000000"/>
              </w:pBdr>
              <w:spacing w:before="0" w:after="283"/>
              <w:rPr/>
            </w:pPr>
            <w:r>
              <w:rPr/>
            </w:r>
          </w:p>
        </w:tc>
        <w:tc>
          <w:tcPr>
            <w:tcW w:w="123"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1289" w:type="dxa"/>
            <w:tcBorders/>
            <w:shd w:fill="E5FFFF" w:val="clear"/>
            <w:vAlign w:val="bottom"/>
          </w:tcPr>
          <w:p>
            <w:pPr>
              <w:pStyle w:val="HorizontalLine"/>
              <w:pBdr>
                <w:bottom w:val="single" w:sz="6" w:space="0" w:color="000000"/>
              </w:pBdr>
              <w:spacing w:before="0" w:after="283"/>
              <w:rPr/>
            </w:pPr>
            <w:r>
              <w:rPr/>
            </w:r>
          </w:p>
        </w:tc>
        <w:tc>
          <w:tcPr>
            <w:tcW w:w="127" w:type="dxa"/>
            <w:tcBorders/>
            <w:shd w:fill="E5FFFF" w:val="clear"/>
            <w:vAlign w:val="center"/>
          </w:tcPr>
          <w:p>
            <w:pPr>
              <w:pStyle w:val="TableContents"/>
              <w:spacing w:before="0" w:after="283"/>
              <w:rPr/>
            </w:pPr>
            <w:r>
              <w:rPr/>
              <w:t> </w:t>
            </w:r>
          </w:p>
        </w:tc>
      </w:tr>
      <w:tr>
        <w:trPr/>
        <w:tc>
          <w:tcPr>
            <w:tcW w:w="6521"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right"/>
              <w:rPr>
                <w:rFonts w:ascii="Arial" w:hAnsi="Arial"/>
              </w:rPr>
            </w:pPr>
            <w:r>
              <w:rPr>
                <w:rFonts w:ascii="Arial" w:hAnsi="Arial"/>
              </w:rPr>
              <w:t>$</w:t>
            </w:r>
          </w:p>
        </w:tc>
        <w:tc>
          <w:tcPr>
            <w:tcW w:w="1289" w:type="dxa"/>
            <w:tcBorders/>
            <w:shd w:fill="FFFFFF" w:val="clear"/>
            <w:vAlign w:val="bottom"/>
          </w:tcPr>
          <w:p>
            <w:pPr>
              <w:pStyle w:val="TableContents"/>
              <w:spacing w:before="0" w:after="283"/>
              <w:jc w:val="right"/>
              <w:rPr>
                <w:rFonts w:ascii="Arial" w:hAnsi="Arial"/>
              </w:rPr>
            </w:pPr>
            <w:r>
              <w:rPr>
                <w:rFonts w:ascii="Arial" w:hAnsi="Arial"/>
              </w:rPr>
              <w:t>831</w:t>
            </w:r>
          </w:p>
        </w:tc>
        <w:tc>
          <w:tcPr>
            <w:tcW w:w="123"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right"/>
              <w:rPr>
                <w:rFonts w:ascii="Arial" w:hAnsi="Arial"/>
              </w:rPr>
            </w:pPr>
            <w:r>
              <w:rPr>
                <w:rFonts w:ascii="Arial" w:hAnsi="Arial"/>
              </w:rPr>
              <w:t>$</w:t>
            </w:r>
          </w:p>
        </w:tc>
        <w:tc>
          <w:tcPr>
            <w:tcW w:w="1289" w:type="dxa"/>
            <w:tcBorders/>
            <w:shd w:fill="FFFFFF" w:val="clear"/>
            <w:vAlign w:val="bottom"/>
          </w:tcPr>
          <w:p>
            <w:pPr>
              <w:pStyle w:val="TableContents"/>
              <w:spacing w:before="0" w:after="283"/>
              <w:jc w:val="right"/>
              <w:rPr>
                <w:rFonts w:ascii="Arial" w:hAnsi="Arial"/>
              </w:rPr>
            </w:pPr>
            <w:r>
              <w:rPr>
                <w:rFonts w:ascii="Arial" w:hAnsi="Arial"/>
              </w:rPr>
              <w:t>879</w:t>
            </w:r>
          </w:p>
        </w:tc>
        <w:tc>
          <w:tcPr>
            <w:tcW w:w="127" w:type="dxa"/>
            <w:tcBorders/>
            <w:shd w:fill="FFFFFF" w:val="clear"/>
            <w:vAlign w:val="center"/>
          </w:tcPr>
          <w:p>
            <w:pPr>
              <w:pStyle w:val="TableContents"/>
              <w:spacing w:before="0" w:after="283"/>
              <w:rPr/>
            </w:pPr>
            <w:r>
              <w:rPr/>
              <w:t> </w:t>
            </w:r>
          </w:p>
        </w:tc>
      </w:tr>
      <w:tr>
        <w:trPr/>
        <w:tc>
          <w:tcPr>
            <w:tcW w:w="6521"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1289" w:type="dxa"/>
            <w:tcBorders/>
            <w:shd w:fill="E5FFFF" w:val="clear"/>
            <w:vAlign w:val="bottom"/>
          </w:tcPr>
          <w:p>
            <w:pPr>
              <w:pStyle w:val="HorizontalLine"/>
              <w:pBdr>
                <w:bottom w:val="single" w:sz="18" w:space="0" w:color="000000"/>
              </w:pBdr>
              <w:spacing w:before="0" w:after="283"/>
              <w:rPr/>
            </w:pPr>
            <w:r>
              <w:rPr/>
            </w:r>
          </w:p>
        </w:tc>
        <w:tc>
          <w:tcPr>
            <w:tcW w:w="123"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1289" w:type="dxa"/>
            <w:tcBorders/>
            <w:shd w:fill="E5FFFF" w:val="clear"/>
            <w:vAlign w:val="bottom"/>
          </w:tcPr>
          <w:p>
            <w:pPr>
              <w:pStyle w:val="HorizontalLine"/>
              <w:pBdr>
                <w:bottom w:val="single" w:sz="18" w:space="0" w:color="000000"/>
              </w:pBdr>
              <w:spacing w:before="0" w:after="283"/>
              <w:rPr/>
            </w:pPr>
            <w:r>
              <w:rPr/>
            </w:r>
          </w:p>
        </w:tc>
        <w:tc>
          <w:tcPr>
            <w:tcW w:w="127" w:type="dxa"/>
            <w:tcBorders/>
            <w:shd w:fill="E5FFFF" w:val="clear"/>
            <w:vAlign w:val="center"/>
          </w:tcPr>
          <w:p>
            <w:pPr>
              <w:pStyle w:val="TableContents"/>
              <w:spacing w:before="0" w:after="283"/>
              <w:rPr/>
            </w:pPr>
            <w:r>
              <w:rPr/>
              <w:t> </w:t>
            </w:r>
          </w:p>
        </w:tc>
      </w:tr>
      <w:tr>
        <w:trPr/>
        <w:tc>
          <w:tcPr>
            <w:tcW w:w="6521"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rPr/>
            </w:pPr>
            <w:r>
              <w:rPr/>
              <w:t> </w:t>
            </w:r>
          </w:p>
        </w:tc>
        <w:tc>
          <w:tcPr>
            <w:tcW w:w="1289"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rPr/>
            </w:pPr>
            <w:r>
              <w:rPr/>
              <w:t> </w:t>
            </w:r>
          </w:p>
        </w:tc>
        <w:tc>
          <w:tcPr>
            <w:tcW w:w="1289"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pStyle w:val="TextBody"/>
        <w:jc w:val="center"/>
        <w:rPr>
          <w:rFonts w:ascii="Arial" w:hAnsi="Arial"/>
        </w:rPr>
      </w:pPr>
      <w:r>
        <w:rPr>
          <w:rFonts w:ascii="Arial" w:hAnsi="Arial"/>
        </w:rPr>
        <w:t>75</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rFonts w:ascii="Arial" w:hAnsi="Arial"/>
          <w:b/>
          <w:i/>
        </w:rPr>
        <w:t>New Jersey Chrome Sites—</w:t>
      </w:r>
      <w:r>
        <w:rPr>
          <w:rFonts w:ascii="Arial" w:hAnsi="Arial"/>
        </w:rPr>
        <w:t>Provisions have been made in our financial statements for the estimated costs of the court-ordered excavation and transport for offsite disposal of approximately one million tons of chromium residue present at a predecessor Honeywell site located in Jersey City, New Jersey, which are expected to be incurred evenly over a five-year period that started in April 2006. We do not expect implementation of this remedy to have a material adverse effect on our future consolidated results of operations, operating cash flows or financial position. Provision also has been made in our financial statements for the estimated costs of implementing groundwater and sediment remedial plans, which have been proposed for the site and are presently under review by the court in which litigation concerning the site is pending. The ultimate cost of remediating the river sediments may be reduced as numerous third parties could be responsible for an as yet undetermined portion of these costs.</w:t>
      </w:r>
    </w:p>
    <w:p>
      <w:pPr>
        <w:pStyle w:val="TextBody"/>
        <w:jc w:val="left"/>
        <w:rPr/>
      </w:pPr>
      <w:r>
        <w:rPr/>
        <w:t>      </w:t>
      </w:r>
      <w:r>
        <w:rPr>
          <w:rFonts w:ascii="Arial" w:hAnsi="Arial"/>
        </w:rPr>
        <w:t>The above-referenced site is the most significant of the twenty-one sites located in Hudson County, New Jersey which are the subject of an Administrative Consent Order (ACO) entered into with the New Jersey Department of Environmental Protection (NJDEP) in 1993. Remedial investigations and activities consistent with the ACO have been conducted and are underway at the other sites (the “Honeywell ACO Sites”). We have recorded reserves for the Honeywell ACO Sites where appropriate under the accounting policy described above.</w:t>
      </w:r>
    </w:p>
    <w:p>
      <w:pPr>
        <w:pStyle w:val="TextBody"/>
        <w:jc w:val="left"/>
        <w:rPr/>
      </w:pPr>
      <w:r>
        <w:rPr/>
        <w:t>      </w:t>
      </w:r>
      <w:r>
        <w:rPr>
          <w:rFonts w:ascii="Arial" w:hAnsi="Arial"/>
        </w:rPr>
        <w:t>On May 3, 2005, NJDEP filed a lawsuit in New Jersey Superior Court against Honeywell and two other companies seeking declaratory and injunctive relief, unspecified damages, and the reimbursement of unspecified total costs relating to sites in New Jersey allegedly contaminated with chrome ore processing residue. The claims against Honeywell relate to the activities of a predecessor company which ceased its New Jersey manufacturing operations in the mid-1950's. While the complaint is not entirely clear, it appears that approximately 100 sites are at issue, including 17 of the Honeywell ACO Sites, sites that the other two companies have agreed to remediate under separate administrative consent orders, as well as approximately 53 other sites (identified in the complaint as the “Publicly Funded Sites”) for which none of the three companies has signed an administrative consent order. In addition to claims specific to each company, NJDEP claims that all three companies should be collectively liable for all the chrome sites based on a “market share” theory. In addition, NJDEP is seeking treble damages for all costs it has incurred or will incur at the Publicly Funded Sites. Honeywell believes that it has no connection with the sites covered by the other companies' administrative consent orders and, therefore, has no responsibility for those sites. At the Honeywell ACO Sites, we are conducting remedial investigations and activities consistent with the ACO; thus, we do not believe the lawsuit will significantly change our obligations with respect to the Honeywell ACO Sites. Lawsuits have also been filed against Honeywell in the District Court under the Resource Conservation and Recovery Act (RCRA) by two New Jersey municipal utilities seeking the cleanup of chromium residue at two Honeywell ACO sites and by a citizens' group against Honeywell and thirteen other defendants with respect to contamination on about a dozen of the Honeywell ACO Sites. Discovery is underway in these cases. For the reasons stated above, we do not believe these lawsuits will significantly change our obligations with respect to the Honeywell ACO sites.</w:t>
      </w:r>
    </w:p>
    <w:p>
      <w:pPr>
        <w:pStyle w:val="TextBody"/>
        <w:jc w:val="left"/>
        <w:rPr/>
      </w:pPr>
      <w:r>
        <w:rPr/>
        <w:t>      </w:t>
      </w:r>
      <w:r>
        <w:rPr>
          <w:rFonts w:ascii="Arial" w:hAnsi="Arial"/>
        </w:rPr>
        <w:t>Although it is not possible at this time to predict the outcome of the litigation and administrative proceedings discussed above, we believe that the allegations are without merit and we intend to vigorously defend against these lawsuits. We do not expect these matters to have a material adverse effect on our consolidated financial position. While we expect to prevail, an adverse litigation outcome could have a material adverse impact on our consolidated results of operations and operating cash flows in the periods recognized or paid.</w:t>
      </w:r>
    </w:p>
    <w:p>
      <w:pPr>
        <w:pStyle w:val="TextBody"/>
        <w:jc w:val="left"/>
        <w:rPr/>
      </w:pPr>
      <w:r>
        <w:rPr/>
        <w:t>      </w:t>
      </w:r>
      <w:r>
        <w:rPr>
          <w:rFonts w:ascii="Arial" w:hAnsi="Arial"/>
          <w:b/>
          <w:i/>
        </w:rPr>
        <w:t>Onondaga Lake, Syracuse, NY—</w:t>
      </w:r>
      <w:r>
        <w:rPr>
          <w:rFonts w:ascii="Arial" w:hAnsi="Arial"/>
        </w:rPr>
        <w:t>A predecessor company to Honeywell operated a chemical plant which is alleged to have contributed mercury and other contaminants to the Lake. In July 2005, the New York State Department of Environmental Conservation (the DEC) issued its Record of</w:t>
      </w:r>
    </w:p>
    <w:p>
      <w:pPr>
        <w:pStyle w:val="TextBody"/>
        <w:jc w:val="center"/>
        <w:rPr>
          <w:rFonts w:ascii="Arial" w:hAnsi="Arial"/>
        </w:rPr>
      </w:pPr>
      <w:r>
        <w:rPr>
          <w:rFonts w:ascii="Arial" w:hAnsi="Arial"/>
        </w:rPr>
        <w:t>76</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Decision with respect to remediation of industrial contamination in the Lake. In October 2006, Honeywell entered into a Consent Decree with the State of New York to implement the remedy set forth in the Record of Decision. In January 2007, the Consent Decree was approved by the United States District Court for the Northern District of New York.</w:t>
      </w:r>
    </w:p>
    <w:p>
      <w:pPr>
        <w:pStyle w:val="TextBody"/>
        <w:jc w:val="left"/>
        <w:rPr/>
      </w:pPr>
      <w:r>
        <w:rPr/>
        <w:t>      </w:t>
      </w:r>
      <w:r>
        <w:rPr>
          <w:rFonts w:ascii="Arial" w:hAnsi="Arial"/>
        </w:rPr>
        <w:t>The Record of Decision calls for a combined dredging/capping remedy generally in line with the approach recommended in the Feasibility Study submitted by Honeywell in May 2004. Based on currently available information and analysis performed by our engineering consultants, we have accrued for our estimated cost of implementing the remedy set forth in the Record of Decision. Our estimating process considered a range of possible outcomes and the amounts recorded reflect our best estimate at this time. Given the scope and complexity of this project, it is possible that actual costs could exceed estimated costs by an amount that could have a material adverse impact on our consolidated results of operations and operating cash flows in the periods recognized or paid. At this time, however, we cannot identify any legal, regulatory or technical reason to conclude that a specific alternative outcome is more probable than the outcome for which we have made provisions in our financial statements. The DEC's aggregate cost estimate, which is higher than the amount reserved, is based on the high end of the range of potential costs for major elements of the Record of Decision and includes a contingency. The actual cost of the Record of Decision will depend upon, among other things, the resolution of certain technical issues during the design phase of the remediation. We do not believe that this matter will have a material adverse impact on our consolidated financial position. In December 2006, the United States Fish and Wildlife Service published notice of its intent to pursue natural resource damages related to the site. It is not possible to predict the outcome or timing of its assessments, which are typically lengthy processes lasting several years, or the amounts of or responsibility for these damages.</w:t>
      </w:r>
    </w:p>
    <w:p>
      <w:pPr>
        <w:pStyle w:val="TextBody"/>
        <w:jc w:val="left"/>
        <w:rPr/>
      </w:pPr>
      <w:r>
        <w:rPr/>
        <w:t>      </w:t>
      </w:r>
      <w:r>
        <w:rPr>
          <w:rFonts w:ascii="Arial" w:hAnsi="Arial"/>
          <w:b/>
          <w:i/>
        </w:rPr>
        <w:t>Dundalk Marine Terminal, Baltimore–</w:t>
      </w:r>
      <w:r>
        <w:rPr>
          <w:rFonts w:ascii="Arial" w:hAnsi="Arial"/>
        </w:rPr>
        <w:t>Chrome residue from legacy chrome plant operations in Baltimore was deposited as fill at the Dundalk Marine Terminal (“DMT”), which is owned and operated by the Maryland Port Administration (“MPA”). Honeywell and the MPA have been sharing costs to investigate and mitigate related environmental issues, and have entered into a cost sharing agreement under which Honeywell will bear a 77 percent share of the costs of developing and implementing permanent remedies for the DMT facility. The investigative phase (which began in April 2006) is expected to take approximately 18 to 36 months, after which the appropriate remedies will be identified and chosen. We have negotiated a Consent Decree with the MPA and Maryland Department of the Environment (“MDE”) with respect to the investigation and remediation of the DMT facility, and that Consent Decree was filed with the Maryland state court for Baltimore County, Maryland. BUILD, a Baltimore community group, together with a local church and two individuals, have intervened and are challenging the Consent Decree. We do not believe that this matter will have a material adverse impact on our consolidated financial position or operating cash flows. Given the scope and complexity of this project, it is possible that the cost of remediation, when determinable, could have a material adverse impact on our results of operations in the periods recognized.</w:t>
      </w:r>
    </w:p>
    <w:p>
      <w:pPr>
        <w:pStyle w:val="TextBody"/>
        <w:jc w:val="left"/>
        <w:rPr>
          <w:rFonts w:ascii="Arial" w:hAnsi="Arial"/>
          <w:b/>
        </w:rPr>
      </w:pPr>
      <w:r>
        <w:rPr>
          <w:rFonts w:ascii="Arial" w:hAnsi="Arial"/>
          <w:b/>
        </w:rPr>
        <w:t>Asbestos Matters</w:t>
      </w:r>
    </w:p>
    <w:p>
      <w:pPr>
        <w:pStyle w:val="TextBody"/>
        <w:jc w:val="left"/>
        <w:rPr/>
      </w:pPr>
      <w:r>
        <w:rPr/>
        <w:t>      </w:t>
      </w:r>
      <w:r>
        <w:rPr>
          <w:rFonts w:ascii="Arial" w:hAnsi="Arial"/>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 Products containing asbestos previously manufactured by Honeywell or by previously owned subsidiaries primarily fall into two general categories: refractory products and friction products.</w:t>
      </w:r>
    </w:p>
    <w:p>
      <w:pPr>
        <w:pStyle w:val="TextBody"/>
        <w:jc w:val="left"/>
        <w:rPr/>
      </w:pPr>
      <w:r>
        <w:rPr/>
        <w:t>      </w:t>
      </w:r>
      <w:r>
        <w:rPr>
          <w:rFonts w:ascii="Arial" w:hAnsi="Arial"/>
          <w:b/>
          <w:i/>
        </w:rPr>
        <w:t>Refractory Products—</w:t>
      </w:r>
      <w:r>
        <w:rPr>
          <w:rFonts w:ascii="Arial" w:hAnsi="Arial"/>
        </w:rPr>
        <w:t>Honeywell owned North American Refractories Company (NARCO) from 1979 to 1986. NARCO produced refractory products (high temperature bricks and cement) that were</w:t>
      </w:r>
    </w:p>
    <w:p>
      <w:pPr>
        <w:pStyle w:val="TextBody"/>
        <w:jc w:val="center"/>
        <w:rPr>
          <w:rFonts w:ascii="Arial" w:hAnsi="Arial"/>
        </w:rPr>
      </w:pPr>
      <w:r>
        <w:rPr>
          <w:rFonts w:ascii="Arial" w:hAnsi="Arial"/>
        </w:rPr>
        <w:t>77</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sold largely to the steel industry in the East and Midwest. Less than 2 percent of NARCO'S products contained asbestos.</w:t>
      </w:r>
    </w:p>
    <w:p>
      <w:pPr>
        <w:pStyle w:val="TextBody"/>
        <w:jc w:val="left"/>
        <w:rPr>
          <w:rFonts w:ascii="Arial" w:hAnsi="Arial"/>
        </w:rPr>
      </w:pPr>
      <w:r>
        <w:rPr>
          <w:rFonts w:ascii="Arial" w:hAnsi="Arial"/>
        </w:rPr>
        <w:t>When we sold the NARCO business in 1986, we agreed to indemnify NARCO with respect to personal injury claims for products that had been discontinued prior to the sale (as defined in the sale agreement). NARCO retained all liability for all other claims. On January 4, 2002, NARCO filed for reorganization under Chapter 11 of the U.S Bankruptcy Code.</w:t>
      </w:r>
    </w:p>
    <w:p>
      <w:pPr>
        <w:pStyle w:val="TextBody"/>
        <w:jc w:val="left"/>
        <w:rPr>
          <w:rFonts w:ascii="Arial" w:hAnsi="Arial"/>
        </w:rPr>
      </w:pPr>
      <w:r>
        <w:rPr>
          <w:rFonts w:ascii="Arial" w:hAnsi="Arial"/>
        </w:rPr>
        <w:t>As a result of the NARCO bankruptcy filing, all of the claims pending against NARCO are automatically stayed pending the reorganization of NARCO. In addition, the bankruptcy court enjoined both the filing and prosecution of NARCO-related asbestos claims against Honeywell. Although the stay has remained in effect continuously since January 4, 2002, there is no assurance that such stay will remain in effect. In connection with NARCO's bankruptcy filing, we paid NARCO's parent company $40 million and agreed to provide NARCO with up to $20 million in financing. We also agreed to pay $20 million to NARCO's parent company upon the filing of a plan of reorganization for NARCO acceptable to Honeywell (which amount was paid in December 2005 following the filing of NARCO's Third Amended Plan of Reorganization), and to pay NARCO's parent company $40 million, and to forgive any outstanding NARCO indebtedness to Honeywell, upon the effective date of the plan of reorganization.</w:t>
      </w:r>
    </w:p>
    <w:p>
      <w:pPr>
        <w:pStyle w:val="TextBody"/>
        <w:jc w:val="left"/>
        <w:rPr/>
      </w:pPr>
      <w:r>
        <w:rPr/>
        <w:t>      </w:t>
      </w:r>
      <w:r>
        <w:rPr>
          <w:rFonts w:ascii="Arial" w:hAnsi="Arial"/>
        </w:rPr>
        <w:t>We believe that, as part of NARCO plan of reorganization, a trust will be established for the benefit of all asbestos claimants, current and future, pursuant to Trust Distribution Procedures negotiated with the NARCO Asbestos Claimants Committee and the Court-appointed legal representative for future asbestos claimants. If the trust is put in place and approved by the Court as fair and equitable, Honeywell as well as NARCO will be entitled to a permanent channeling injunction barring all present and future individual actions in state or federal courts and requiring all asbestos related claims based on exposure to NARCO products to be made against the federally-supervised trust. Honeywell has reached agreement with the representative for future NARCO claimants and the Asbestos Claimants Committee to cap its annual contributions to the trust with respect to future claims at a level that would not have a material impact on Honeywell's operating cash flows.</w:t>
      </w:r>
    </w:p>
    <w:p>
      <w:pPr>
        <w:pStyle w:val="TextBody"/>
        <w:jc w:val="left"/>
        <w:rPr/>
      </w:pPr>
      <w:r>
        <w:rPr/>
        <w:t>      </w:t>
      </w:r>
      <w:r>
        <w:rPr>
          <w:rFonts w:ascii="Arial" w:hAnsi="Arial"/>
        </w:rPr>
        <w:t>The vast majority of the asbestos claimants have voted in favor of NARCO's Third Amended Plan Of Reorganization (NARCO Plan). The court conducted its evidentiary hearing on confirmation issues on June 5 and 6, 2006. All objections to the NARCO Plan have either been resolved or dismissed by the Bankruptcy Court. The Court's confirmation order for the NARCO Plan may be delayed, however, due to additional evidentiary requirements relating to the confirmation of a plan of reorganization for one of NARCO's affiliates. Although we expect the NARCO Plan and the NARCO trust to be ultimately approved by the Court, no assurances can be given as to the Court's ruling or the time frame for resolving any appeals of such ruling.</w:t>
      </w:r>
    </w:p>
    <w:p>
      <w:pPr>
        <w:pStyle w:val="TextBody"/>
        <w:jc w:val="left"/>
        <w:rPr/>
      </w:pPr>
      <w:r>
        <w:rPr/>
        <w:t>      </w:t>
      </w:r>
      <w:r>
        <w:rPr>
          <w:rFonts w:ascii="Arial" w:hAnsi="Arial"/>
        </w:rPr>
        <w:t>Our consolidated financial statements reflect an estimated liability for settlement of pending and future NARCO-related asbestos claims as of December 31, 2006 and 2005 of $1.3 and $1.8 billion, respectively. The estimated liability for pending claims is based on terms and conditions, including evidentiary requirements, in definitive agreements with approximately 260,000 current claimants, and an estimate of the unsettled claims pending as of the time NARCO filed for bankruptcy protection. Substantially all settlement payments with respect to current claims are expected to be completed by the end of 2007. Approximately $90 million of payments due pursuant to these settlements is due only upon establishment of the NARCO trust.</w:t>
      </w:r>
    </w:p>
    <w:p>
      <w:pPr>
        <w:pStyle w:val="TextBody"/>
        <w:jc w:val="left"/>
        <w:rPr/>
      </w:pPr>
      <w:r>
        <w:rPr/>
        <w:t>      </w:t>
      </w:r>
      <w:r>
        <w:rPr>
          <w:rFonts w:ascii="Arial" w:hAnsi="Arial"/>
        </w:rPr>
        <w:t>The estimated liability for future claims represents the estimated value of future asbestos related bodily injury claims expected to be asserted against NARCO through 2018 and the aforementioned obligations to NARCO's parent. In light of the uncertainties inherent in making long-term projections we do not believe that we have a reasonable basis for estimating asbestos claims beyond 2018 under</w:t>
      </w:r>
    </w:p>
    <w:p>
      <w:pPr>
        <w:pStyle w:val="TextBody"/>
        <w:jc w:val="center"/>
        <w:rPr>
          <w:rFonts w:ascii="Arial" w:hAnsi="Arial"/>
        </w:rPr>
      </w:pPr>
      <w:r>
        <w:rPr>
          <w:rFonts w:ascii="Arial" w:hAnsi="Arial"/>
        </w:rPr>
        <w:t>78</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SFAS No. 5, “Accounting for Contingencies”. The estimate is based upon the disease criteria and payment values contained in the NARCO Trust Distribution Procedures negotiated with the NARCO Asbestos Claimants Committee and the NARCO future claimants' representative. Honeywell projected the probable number and value, including trust claim handling costs, of asbestos related future liabilities based upon historical experience with similar trusts. The methodology used to estimate the liability for future claims has been commonly accepted by numerous courts and is the same methodology that is utilized by an expert who is routinely retained by the asbestos claimants committee in asbestos related bankruptcies. The valuation methodology includes an analysis of the population likely to have been exposed to asbestos containing products, epidemiological studies to estimate the number of people likely to develop asbestos related diseases, NARCO claims filing history, the pending inventory of NARCO asbestos related claims and payment rates expected to be established by the NARCO trust. In December 2006, (as a result of significantly varying experiences of asbestos claims filing rates in the tort system and in certain operating asbestos trusts) and the changing claims experience in those forums (as a result of more clearly defined proof requirements and possible enactment of state medical criteria bills), we updated the range of estimated liability for future NARCO-related claims. Such update resulted in a range of estimated liability for future claims of $743 to $961 million. We believe that no amount within this range is a better estimate than any other amount. Accordingly, we recorded the minimum amount in the range which resulted in a reduction of $207 million in our estimated liability for future NARCO-related asbestos claims.</w:t>
      </w:r>
    </w:p>
    <w:p>
      <w:pPr>
        <w:pStyle w:val="TextBody"/>
        <w:jc w:val="left"/>
        <w:rPr/>
      </w:pPr>
      <w:r>
        <w:rPr/>
        <w:t>      </w:t>
      </w:r>
      <w:r>
        <w:rPr>
          <w:rFonts w:ascii="Arial" w:hAnsi="Arial"/>
        </w:rPr>
        <w:t>As of December 31, 2006 and 2005, our consolidated financial statements reflect an insurance receivable corresponding to the liability for settlement of pending and future NARCO-related asbestos claims of $955 million and $1.1 billion, respectively. This coverage reimburses Honeywell for portions of the costs incurred to settle NARCO related claims and court judgments as well as defense costs and is provided by a large number of insurance policies written by dozens of insurance companies in both the domestic insurance market and the London excess market. At December 31, 2006, a significant portion of this coverage is with insurance companies with whom we have agreements to pay full policy limits based on corresponding Honeywell claims costs. We conduct analyses to determine the amount of insurance that we estimate is probable of recovery in relation to payment of current and estimated future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with our insurers, our knowledge of any pertinent solvency issues surrounding insurers and various judicial determinations relevant to our insurance programs.</w:t>
      </w:r>
    </w:p>
    <w:p>
      <w:pPr>
        <w:pStyle w:val="TextBody"/>
        <w:jc w:val="left"/>
        <w:rPr/>
      </w:pPr>
      <w:r>
        <w:rPr/>
        <w:t>      </w:t>
      </w:r>
      <w:r>
        <w:rPr>
          <w:rFonts w:ascii="Arial" w:hAnsi="Arial"/>
        </w:rPr>
        <w:t>In the second quarter of 2006, Travelers Casualty and Insurance Company (“Travelers”) filed a lawsuit against Honeywell and other insurance carriers in the Supreme Court of New York, County of New York, disputing obligations for NARCO-related asbestos claims under high excess insurance coverage issued by Travelers and other insurance carriers. Approximately $370 million of coverage under these policies is included in our NARCO-related insurance receivable at December 31, 2006. Honeywell believes it is entitled to the coverage at issue and has filed counterclaims in the Superior Court of New Jersey seeking, among other things, declaratory relief with respect to this coverage. Although Honeywell expects to prevail in this matter, an adverse outcome could have a material impact on our results of operations in the period recognized but would not be material to our consolidated financial position or operating cash flows.</w:t>
      </w:r>
    </w:p>
    <w:p>
      <w:pPr>
        <w:pStyle w:val="TextBody"/>
        <w:jc w:val="left"/>
        <w:rPr/>
      </w:pPr>
      <w:r>
        <w:rPr/>
        <w:t>      </w:t>
      </w:r>
      <w:r>
        <w:rPr>
          <w:rFonts w:ascii="Arial" w:hAnsi="Arial"/>
        </w:rPr>
        <w:t>Projecting future events is subject to many uncertainties that could cause the NARCO related asbestos liabilities or assets to be higher or lower than those projected and recorded. There is no assurance that a plan of reorganization will be confirmed, that insurance recoveries will be timely or whether there will be any NARCO related asbestos claims beyond 2018. Given the inherent uncertainty in predicting future events, we review our estimates periodically, and update them based on</w:t>
      </w:r>
    </w:p>
    <w:p>
      <w:pPr>
        <w:pStyle w:val="TextBody"/>
        <w:jc w:val="center"/>
        <w:rPr>
          <w:rFonts w:ascii="Arial" w:hAnsi="Arial"/>
        </w:rPr>
      </w:pPr>
      <w:r>
        <w:rPr>
          <w:rFonts w:ascii="Arial" w:hAnsi="Arial"/>
        </w:rPr>
        <w:t>79</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our experience and other relevant factors. Similarly we will reevaluate our projections concerning our probable insurance recoveries in light of any changes to the projected liability or other developments that may impact insurance recoveries.</w:t>
      </w:r>
    </w:p>
    <w:p>
      <w:pPr>
        <w:pStyle w:val="TextBody"/>
        <w:jc w:val="left"/>
        <w:rPr/>
      </w:pPr>
      <w:r>
        <w:rPr/>
        <w:t>      </w:t>
      </w:r>
      <w:r>
        <w:rPr>
          <w:rFonts w:ascii="Arial" w:hAnsi="Arial"/>
          <w:b/>
          <w:i/>
        </w:rPr>
        <w:t>Friction Products—</w:t>
      </w:r>
      <w:r>
        <w:rPr>
          <w:rFonts w:ascii="Arial" w:hAnsi="Arial"/>
        </w:rPr>
        <w:t>Honeywell's Bendix friction materials (Bendix) business manufactured automotive brake pads that contained chrysotile asbestos in an encapsulated form. There is a group of existing and potential claimants consisting largely of individuals that allegedly performed brake replacements.</w:t>
      </w:r>
    </w:p>
    <w:p>
      <w:pPr>
        <w:pStyle w:val="TextBody"/>
        <w:jc w:val="left"/>
        <w:rPr/>
      </w:pPr>
      <w:r>
        <w:rPr/>
        <w:t>      </w:t>
      </w:r>
      <w:r>
        <w:rPr>
          <w:rFonts w:ascii="Arial" w:hAnsi="Arial"/>
        </w:rPr>
        <w:t>From 1981 through December 31, 2006, we have resolved approximately 105,000 Bendix related asbestos claims including trials covering 124 plaintiffs, which resulted in 116 favorable verdicts. Trials covering eight individuals resulted in adverse verdicts; however, two of these verdicts were reversed on appeal, three are or shortly will be on appeal, and the remaining three claims were settled. The following tables present information regarding Bendix related asbestos claims activity:</w:t>
      </w:r>
    </w:p>
    <w:tbl>
      <w:tblPr>
        <w:tblW w:w="5000" w:type="pct"/>
        <w:jc w:val="left"/>
        <w:tblInd w:w="0" w:type="dxa"/>
        <w:tblCellMar>
          <w:top w:w="0" w:type="dxa"/>
          <w:left w:w="0" w:type="dxa"/>
          <w:bottom w:w="0" w:type="dxa"/>
          <w:right w:w="0" w:type="dxa"/>
        </w:tblCellMar>
      </w:tblPr>
      <w:tblGrid>
        <w:gridCol w:w="630"/>
        <w:gridCol w:w="5703"/>
        <w:gridCol w:w="265"/>
        <w:gridCol w:w="116"/>
        <w:gridCol w:w="1354"/>
        <w:gridCol w:w="145"/>
        <w:gridCol w:w="332"/>
        <w:gridCol w:w="116"/>
        <w:gridCol w:w="1158"/>
        <w:gridCol w:w="386"/>
      </w:tblGrid>
      <w:tr>
        <w:trPr/>
        <w:tc>
          <w:tcPr>
            <w:tcW w:w="630" w:type="dxa"/>
            <w:tcBorders/>
            <w:shd w:fill="FFFFFF" w:val="clear"/>
            <w:vAlign w:val="center"/>
          </w:tcPr>
          <w:p>
            <w:pPr>
              <w:pStyle w:val="TableContents"/>
              <w:spacing w:before="0" w:after="283"/>
              <w:rPr/>
            </w:pPr>
            <w:r>
              <w:rPr/>
              <w:t> </w:t>
            </w:r>
          </w:p>
        </w:tc>
        <w:tc>
          <w:tcPr>
            <w:tcW w:w="5703"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rPr/>
            </w:pPr>
            <w:r>
              <w:rPr/>
              <w:t> </w:t>
            </w:r>
          </w:p>
        </w:tc>
        <w:tc>
          <w:tcPr>
            <w:tcW w:w="3607" w:type="dxa"/>
            <w:gridSpan w:val="7"/>
            <w:tcBorders/>
            <w:shd w:fill="FFFFFF" w:val="clear"/>
            <w:vAlign w:val="bottom"/>
          </w:tcPr>
          <w:p>
            <w:pPr>
              <w:pStyle w:val="TableContents"/>
              <w:spacing w:before="0" w:after="0"/>
              <w:jc w:val="center"/>
              <w:rPr>
                <w:rFonts w:ascii="Arial" w:hAnsi="Arial"/>
                <w:b/>
              </w:rPr>
            </w:pPr>
            <w:r>
              <w:rPr>
                <w:rFonts w:ascii="Arial" w:hAnsi="Arial"/>
                <w:b/>
              </w:rPr>
              <w:t>Years Ended</w:t>
              <w:br/>
              <w:t>December 31,</w:t>
            </w:r>
          </w:p>
          <w:p>
            <w:pPr>
              <w:pStyle w:val="HorizontalLine"/>
              <w:pBdr>
                <w:bottom w:val="single" w:sz="6" w:space="0" w:color="000000"/>
              </w:pBdr>
              <w:spacing w:before="0" w:after="283"/>
              <w:rPr/>
            </w:pPr>
            <w:r>
              <w:rPr/>
            </w:r>
          </w:p>
        </w:tc>
      </w:tr>
      <w:tr>
        <w:trPr/>
        <w:tc>
          <w:tcPr>
            <w:tcW w:w="630" w:type="dxa"/>
            <w:tcBorders/>
            <w:shd w:fill="FFFFFF" w:val="clear"/>
            <w:vAlign w:val="bottom"/>
          </w:tcPr>
          <w:p>
            <w:pPr>
              <w:pStyle w:val="TableContents"/>
              <w:spacing w:before="0" w:after="283"/>
              <w:jc w:val="left"/>
              <w:rPr/>
            </w:pPr>
            <w:r>
              <w:rPr/>
              <w:t>      </w:t>
            </w:r>
          </w:p>
        </w:tc>
        <w:tc>
          <w:tcPr>
            <w:tcW w:w="5703" w:type="dxa"/>
            <w:tcBorders/>
            <w:shd w:fill="FFFFFF" w:val="clear"/>
            <w:vAlign w:val="bottom"/>
          </w:tcPr>
          <w:p>
            <w:pPr>
              <w:pStyle w:val="TableContents"/>
              <w:spacing w:before="0" w:after="0"/>
              <w:jc w:val="left"/>
              <w:rPr>
                <w:rFonts w:ascii="Arial" w:hAnsi="Arial"/>
                <w:b/>
              </w:rPr>
            </w:pPr>
            <w:r>
              <w:rPr>
                <w:rFonts w:ascii="Arial" w:hAnsi="Arial"/>
                <w:b/>
              </w:rPr>
              <w:t>Claims Activity</w:t>
            </w:r>
          </w:p>
          <w:p>
            <w:pPr>
              <w:pStyle w:val="HorizontalLine"/>
              <w:pBdr>
                <w:bottom w:val="single" w:sz="6" w:space="0" w:color="000000"/>
              </w:pBdr>
              <w:spacing w:before="0" w:after="283"/>
              <w:rPr/>
            </w:pPr>
            <w:r>
              <w:rPr/>
            </w:r>
          </w:p>
        </w:tc>
        <w:tc>
          <w:tcPr>
            <w:tcW w:w="265" w:type="dxa"/>
            <w:tcBorders/>
            <w:shd w:fill="FFFFFF" w:val="clear"/>
            <w:vAlign w:val="center"/>
          </w:tcPr>
          <w:p>
            <w:pPr>
              <w:pStyle w:val="TableContents"/>
              <w:spacing w:before="0" w:after="283"/>
              <w:rPr/>
            </w:pPr>
            <w:r>
              <w:rPr/>
              <w:t> </w:t>
            </w:r>
          </w:p>
        </w:tc>
        <w:tc>
          <w:tcPr>
            <w:tcW w:w="161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32" w:type="dxa"/>
            <w:tcBorders/>
            <w:shd w:fill="FFFFFF" w:val="clear"/>
            <w:vAlign w:val="center"/>
          </w:tcPr>
          <w:p>
            <w:pPr>
              <w:pStyle w:val="TableContents"/>
              <w:spacing w:before="0" w:after="283"/>
              <w:rPr/>
            </w:pPr>
            <w:r>
              <w:rPr/>
              <w:t> </w:t>
            </w:r>
          </w:p>
        </w:tc>
        <w:tc>
          <w:tcPr>
            <w:tcW w:w="166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30" w:type="dxa"/>
            <w:tcBorders/>
            <w:shd w:fill="FFFFFF" w:val="clear"/>
            <w:vAlign w:val="bottom"/>
          </w:tcPr>
          <w:p>
            <w:pPr>
              <w:pStyle w:val="TableContents"/>
              <w:spacing w:before="0" w:after="283"/>
              <w:jc w:val="left"/>
              <w:rPr/>
            </w:pPr>
            <w:r>
              <w:rPr/>
              <w:t>      </w:t>
            </w:r>
          </w:p>
        </w:tc>
        <w:tc>
          <w:tcPr>
            <w:tcW w:w="5703" w:type="dxa"/>
            <w:tcBorders/>
            <w:shd w:fill="FFFFFF" w:val="clear"/>
            <w:vAlign w:val="bottom"/>
          </w:tcPr>
          <w:p>
            <w:pPr>
              <w:pStyle w:val="TableContents"/>
              <w:spacing w:before="0" w:after="283"/>
              <w:jc w:val="left"/>
              <w:rPr>
                <w:rFonts w:ascii="Arial" w:hAnsi="Arial"/>
              </w:rPr>
            </w:pPr>
            <w:r>
              <w:rPr>
                <w:rFonts w:ascii="Arial" w:hAnsi="Arial"/>
              </w:rPr>
              <w:t>Claims Unresolved at the beginning of year</w:t>
            </w:r>
          </w:p>
        </w:tc>
        <w:tc>
          <w:tcPr>
            <w:tcW w:w="265" w:type="dxa"/>
            <w:tcBorders/>
            <w:shd w:fill="FFFFFF" w:val="clear"/>
            <w:vAlign w:val="bottom"/>
          </w:tcPr>
          <w:p>
            <w:pPr>
              <w:pStyle w:val="TableContents"/>
              <w:spacing w:before="0" w:after="283"/>
              <w:jc w:val="right"/>
              <w:rPr/>
            </w:pPr>
            <w:r>
              <w:rPr/>
              <w:t>    </w:t>
            </w:r>
          </w:p>
        </w:tc>
        <w:tc>
          <w:tcPr>
            <w:tcW w:w="116" w:type="dxa"/>
            <w:tcBorders/>
            <w:shd w:fill="FFFFFF" w:val="clear"/>
            <w:vAlign w:val="center"/>
          </w:tcPr>
          <w:p>
            <w:pPr>
              <w:pStyle w:val="TableContents"/>
              <w:spacing w:before="0" w:after="283"/>
              <w:rPr/>
            </w:pPr>
            <w:r>
              <w:rPr/>
              <w:t> </w:t>
            </w:r>
          </w:p>
        </w:tc>
        <w:tc>
          <w:tcPr>
            <w:tcW w:w="1354" w:type="dxa"/>
            <w:tcBorders/>
            <w:shd w:fill="FFFFFF" w:val="clear"/>
            <w:vAlign w:val="bottom"/>
          </w:tcPr>
          <w:p>
            <w:pPr>
              <w:pStyle w:val="TableContents"/>
              <w:spacing w:before="0" w:after="283"/>
              <w:jc w:val="right"/>
              <w:rPr>
                <w:rFonts w:ascii="Arial" w:hAnsi="Arial"/>
              </w:rPr>
            </w:pPr>
            <w:r>
              <w:rPr>
                <w:rFonts w:ascii="Arial" w:hAnsi="Arial"/>
              </w:rPr>
              <w:t>79,502</w:t>
            </w:r>
          </w:p>
        </w:tc>
        <w:tc>
          <w:tcPr>
            <w:tcW w:w="145" w:type="dxa"/>
            <w:tcBorders/>
            <w:shd w:fill="FFFFFF" w:val="clear"/>
            <w:vAlign w:val="center"/>
          </w:tcPr>
          <w:p>
            <w:pPr>
              <w:pStyle w:val="TableContents"/>
              <w:spacing w:before="0" w:after="283"/>
              <w:rPr/>
            </w:pPr>
            <w:r>
              <w:rPr/>
              <w:t> </w:t>
            </w:r>
          </w:p>
        </w:tc>
        <w:tc>
          <w:tcPr>
            <w:tcW w:w="332" w:type="dxa"/>
            <w:tcBorders/>
            <w:shd w:fill="FFFFFF" w:val="clear"/>
            <w:vAlign w:val="bottom"/>
          </w:tcPr>
          <w:p>
            <w:pPr>
              <w:pStyle w:val="TableContents"/>
              <w:spacing w:before="0" w:after="283"/>
              <w:jc w:val="right"/>
              <w:rPr/>
            </w:pPr>
            <w:r>
              <w:rPr/>
              <w:t>    </w:t>
            </w:r>
          </w:p>
        </w:tc>
        <w:tc>
          <w:tcPr>
            <w:tcW w:w="116" w:type="dxa"/>
            <w:tcBorders/>
            <w:shd w:fill="FFFFFF" w:val="clear"/>
            <w:vAlign w:val="center"/>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Arial" w:hAnsi="Arial"/>
              </w:rPr>
            </w:pPr>
            <w:r>
              <w:rPr>
                <w:rFonts w:ascii="Arial" w:hAnsi="Arial"/>
              </w:rPr>
              <w:t>76,348</w:t>
            </w:r>
          </w:p>
        </w:tc>
        <w:tc>
          <w:tcPr>
            <w:tcW w:w="386" w:type="dxa"/>
            <w:tcBorders/>
            <w:shd w:fill="FFFFFF" w:val="clear"/>
            <w:vAlign w:val="center"/>
          </w:tcPr>
          <w:p>
            <w:pPr>
              <w:pStyle w:val="TableContents"/>
              <w:spacing w:before="0" w:after="283"/>
              <w:rPr/>
            </w:pPr>
            <w:r>
              <w:rPr/>
              <w:t> </w:t>
            </w:r>
          </w:p>
        </w:tc>
      </w:tr>
      <w:tr>
        <w:trPr/>
        <w:tc>
          <w:tcPr>
            <w:tcW w:w="630" w:type="dxa"/>
            <w:tcBorders/>
            <w:shd w:fill="E5FFFF" w:val="clear"/>
            <w:vAlign w:val="bottom"/>
          </w:tcPr>
          <w:p>
            <w:pPr>
              <w:pStyle w:val="TableContents"/>
              <w:spacing w:before="0" w:after="283"/>
              <w:jc w:val="left"/>
              <w:rPr/>
            </w:pPr>
            <w:r>
              <w:rPr/>
              <w:t>      </w:t>
            </w:r>
          </w:p>
        </w:tc>
        <w:tc>
          <w:tcPr>
            <w:tcW w:w="5703" w:type="dxa"/>
            <w:tcBorders/>
            <w:shd w:fill="E5FFFF" w:val="clear"/>
            <w:vAlign w:val="bottom"/>
          </w:tcPr>
          <w:p>
            <w:pPr>
              <w:pStyle w:val="TableContents"/>
              <w:spacing w:before="0" w:after="283"/>
              <w:jc w:val="left"/>
              <w:rPr>
                <w:rFonts w:ascii="Arial" w:hAnsi="Arial"/>
              </w:rPr>
            </w:pPr>
            <w:r>
              <w:rPr>
                <w:rFonts w:ascii="Arial" w:hAnsi="Arial"/>
              </w:rPr>
              <w:t>Claims Filed</w:t>
            </w:r>
          </w:p>
        </w:tc>
        <w:tc>
          <w:tcPr>
            <w:tcW w:w="265" w:type="dxa"/>
            <w:tcBorders/>
            <w:shd w:fill="E5FFFF" w:val="clear"/>
            <w:vAlign w:val="bottom"/>
          </w:tcPr>
          <w:p>
            <w:pPr>
              <w:pStyle w:val="TableContents"/>
              <w:spacing w:before="0" w:after="283"/>
              <w:jc w:val="right"/>
              <w:rPr/>
            </w:pPr>
            <w:r>
              <w:rPr/>
              <w:t>    </w:t>
            </w:r>
          </w:p>
        </w:tc>
        <w:tc>
          <w:tcPr>
            <w:tcW w:w="116" w:type="dxa"/>
            <w:tcBorders/>
            <w:shd w:fill="E5FFFF" w:val="clear"/>
            <w:vAlign w:val="center"/>
          </w:tcPr>
          <w:p>
            <w:pPr>
              <w:pStyle w:val="TableContents"/>
              <w:spacing w:before="0" w:after="283"/>
              <w:rPr/>
            </w:pPr>
            <w:r>
              <w:rPr/>
              <w:t> </w:t>
            </w:r>
          </w:p>
        </w:tc>
        <w:tc>
          <w:tcPr>
            <w:tcW w:w="1354" w:type="dxa"/>
            <w:tcBorders/>
            <w:shd w:fill="E5FFFF" w:val="clear"/>
            <w:vAlign w:val="bottom"/>
          </w:tcPr>
          <w:p>
            <w:pPr>
              <w:pStyle w:val="TableContents"/>
              <w:spacing w:before="0" w:after="283"/>
              <w:jc w:val="right"/>
              <w:rPr>
                <w:rFonts w:ascii="Arial" w:hAnsi="Arial"/>
              </w:rPr>
            </w:pPr>
            <w:r>
              <w:rPr>
                <w:rFonts w:ascii="Arial" w:hAnsi="Arial"/>
              </w:rPr>
              <w:t>4,391</w:t>
            </w:r>
          </w:p>
        </w:tc>
        <w:tc>
          <w:tcPr>
            <w:tcW w:w="145" w:type="dxa"/>
            <w:tcBorders/>
            <w:shd w:fill="E5FFFF" w:val="clear"/>
            <w:vAlign w:val="center"/>
          </w:tcPr>
          <w:p>
            <w:pPr>
              <w:pStyle w:val="TableContents"/>
              <w:spacing w:before="0" w:after="283"/>
              <w:rPr/>
            </w:pPr>
            <w:r>
              <w:rPr/>
              <w:t> </w:t>
            </w:r>
          </w:p>
        </w:tc>
        <w:tc>
          <w:tcPr>
            <w:tcW w:w="332" w:type="dxa"/>
            <w:tcBorders/>
            <w:shd w:fill="E5FFFF" w:val="clear"/>
            <w:vAlign w:val="bottom"/>
          </w:tcPr>
          <w:p>
            <w:pPr>
              <w:pStyle w:val="TableContents"/>
              <w:spacing w:before="0" w:after="283"/>
              <w:jc w:val="right"/>
              <w:rPr/>
            </w:pPr>
            <w:r>
              <w:rPr/>
              <w:t>    </w:t>
            </w:r>
          </w:p>
        </w:tc>
        <w:tc>
          <w:tcPr>
            <w:tcW w:w="116" w:type="dxa"/>
            <w:tcBorders/>
            <w:shd w:fill="E5FFFF" w:val="clear"/>
            <w:vAlign w:val="center"/>
          </w:tcPr>
          <w:p>
            <w:pPr>
              <w:pStyle w:val="TableContents"/>
              <w:spacing w:before="0" w:after="283"/>
              <w:rPr/>
            </w:pPr>
            <w:r>
              <w:rPr/>
              <w:t> </w:t>
            </w:r>
          </w:p>
        </w:tc>
        <w:tc>
          <w:tcPr>
            <w:tcW w:w="1158" w:type="dxa"/>
            <w:tcBorders/>
            <w:shd w:fill="E5FFFF" w:val="clear"/>
            <w:vAlign w:val="bottom"/>
          </w:tcPr>
          <w:p>
            <w:pPr>
              <w:pStyle w:val="TableContents"/>
              <w:spacing w:before="0" w:after="283"/>
              <w:jc w:val="right"/>
              <w:rPr>
                <w:rFonts w:ascii="Arial" w:hAnsi="Arial"/>
              </w:rPr>
            </w:pPr>
            <w:r>
              <w:rPr>
                <w:rFonts w:ascii="Arial" w:hAnsi="Arial"/>
              </w:rPr>
              <w:t>7,520</w:t>
            </w:r>
          </w:p>
        </w:tc>
        <w:tc>
          <w:tcPr>
            <w:tcW w:w="386" w:type="dxa"/>
            <w:tcBorders/>
            <w:shd w:fill="E5FFFF" w:val="clear"/>
            <w:vAlign w:val="center"/>
          </w:tcPr>
          <w:p>
            <w:pPr>
              <w:pStyle w:val="TableContents"/>
              <w:spacing w:before="0" w:after="283"/>
              <w:rPr/>
            </w:pPr>
            <w:r>
              <w:rPr/>
              <w:t> </w:t>
            </w:r>
          </w:p>
        </w:tc>
      </w:tr>
      <w:tr>
        <w:trPr/>
        <w:tc>
          <w:tcPr>
            <w:tcW w:w="630" w:type="dxa"/>
            <w:tcBorders/>
            <w:shd w:fill="FFFFFF" w:val="clear"/>
            <w:vAlign w:val="bottom"/>
          </w:tcPr>
          <w:p>
            <w:pPr>
              <w:pStyle w:val="TableContents"/>
              <w:spacing w:before="0" w:after="283"/>
              <w:jc w:val="left"/>
              <w:rPr/>
            </w:pPr>
            <w:r>
              <w:rPr/>
              <w:t>      </w:t>
            </w:r>
          </w:p>
        </w:tc>
        <w:tc>
          <w:tcPr>
            <w:tcW w:w="5703" w:type="dxa"/>
            <w:tcBorders/>
            <w:shd w:fill="FFFFFF" w:val="clear"/>
            <w:vAlign w:val="bottom"/>
          </w:tcPr>
          <w:p>
            <w:pPr>
              <w:pStyle w:val="TableContents"/>
              <w:spacing w:before="0" w:after="283"/>
              <w:jc w:val="left"/>
              <w:rPr>
                <w:rFonts w:ascii="Arial" w:hAnsi="Arial"/>
              </w:rPr>
            </w:pPr>
            <w:r>
              <w:rPr>
                <w:rFonts w:ascii="Arial" w:hAnsi="Arial"/>
              </w:rPr>
              <w:t>Claims Resolved</w:t>
            </w:r>
          </w:p>
        </w:tc>
        <w:tc>
          <w:tcPr>
            <w:tcW w:w="265" w:type="dxa"/>
            <w:tcBorders/>
            <w:shd w:fill="FFFFFF" w:val="clear"/>
            <w:vAlign w:val="bottom"/>
          </w:tcPr>
          <w:p>
            <w:pPr>
              <w:pStyle w:val="TableContents"/>
              <w:spacing w:before="0" w:after="283"/>
              <w:jc w:val="right"/>
              <w:rPr/>
            </w:pPr>
            <w:r>
              <w:rPr/>
              <w:t>    </w:t>
            </w:r>
          </w:p>
        </w:tc>
        <w:tc>
          <w:tcPr>
            <w:tcW w:w="116" w:type="dxa"/>
            <w:tcBorders/>
            <w:shd w:fill="FFFFFF" w:val="clear"/>
            <w:vAlign w:val="center"/>
          </w:tcPr>
          <w:p>
            <w:pPr>
              <w:pStyle w:val="TableContents"/>
              <w:spacing w:before="0" w:after="283"/>
              <w:rPr/>
            </w:pPr>
            <w:r>
              <w:rPr/>
              <w:t> </w:t>
            </w:r>
          </w:p>
        </w:tc>
        <w:tc>
          <w:tcPr>
            <w:tcW w:w="1354" w:type="dxa"/>
            <w:tcBorders/>
            <w:shd w:fill="FFFFFF" w:val="clear"/>
            <w:vAlign w:val="bottom"/>
          </w:tcPr>
          <w:p>
            <w:pPr>
              <w:pStyle w:val="TableContents"/>
              <w:spacing w:before="0" w:after="283"/>
              <w:jc w:val="right"/>
              <w:rPr>
                <w:rFonts w:ascii="Arial" w:hAnsi="Arial"/>
              </w:rPr>
            </w:pPr>
            <w:r>
              <w:rPr>
                <w:rFonts w:ascii="Arial" w:hAnsi="Arial"/>
              </w:rPr>
              <w:t>(26,785</w:t>
            </w:r>
          </w:p>
        </w:tc>
        <w:tc>
          <w:tcPr>
            <w:tcW w:w="145" w:type="dxa"/>
            <w:tcBorders/>
            <w:shd w:fill="FFFFFF" w:val="clear"/>
            <w:vAlign w:val="bottom"/>
          </w:tcPr>
          <w:p>
            <w:pPr>
              <w:pStyle w:val="TableContents"/>
              <w:spacing w:before="0" w:after="283"/>
              <w:jc w:val="left"/>
              <w:rPr>
                <w:rFonts w:ascii="Arial" w:hAnsi="Arial"/>
              </w:rPr>
            </w:pPr>
            <w:r>
              <w:rPr>
                <w:rFonts w:ascii="Arial" w:hAnsi="Arial"/>
              </w:rPr>
              <w:t>)</w:t>
            </w:r>
          </w:p>
        </w:tc>
        <w:tc>
          <w:tcPr>
            <w:tcW w:w="332" w:type="dxa"/>
            <w:tcBorders/>
            <w:shd w:fill="FFFFFF" w:val="clear"/>
            <w:vAlign w:val="bottom"/>
          </w:tcPr>
          <w:p>
            <w:pPr>
              <w:pStyle w:val="TableContents"/>
              <w:spacing w:before="0" w:after="283"/>
              <w:jc w:val="right"/>
              <w:rPr/>
            </w:pPr>
            <w:r>
              <w:rPr/>
              <w:t>    </w:t>
            </w:r>
          </w:p>
        </w:tc>
        <w:tc>
          <w:tcPr>
            <w:tcW w:w="116" w:type="dxa"/>
            <w:tcBorders/>
            <w:shd w:fill="FFFFFF" w:val="clear"/>
            <w:vAlign w:val="center"/>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Arial" w:hAnsi="Arial"/>
              </w:rPr>
            </w:pPr>
            <w:r>
              <w:rPr>
                <w:rFonts w:ascii="Arial" w:hAnsi="Arial"/>
              </w:rPr>
              <w:t>(4,366</w:t>
            </w:r>
          </w:p>
        </w:tc>
        <w:tc>
          <w:tcPr>
            <w:tcW w:w="386" w:type="dxa"/>
            <w:tcBorders/>
            <w:shd w:fill="FFFFFF" w:val="clear"/>
            <w:vAlign w:val="bottom"/>
          </w:tcPr>
          <w:p>
            <w:pPr>
              <w:pStyle w:val="TableContents"/>
              <w:spacing w:before="0" w:after="283"/>
              <w:jc w:val="left"/>
              <w:rPr>
                <w:rFonts w:ascii="Arial" w:hAnsi="Arial"/>
              </w:rPr>
            </w:pPr>
            <w:r>
              <w:rPr>
                <w:rFonts w:ascii="Arial" w:hAnsi="Arial"/>
              </w:rPr>
              <w:t>)(a)</w:t>
            </w:r>
          </w:p>
        </w:tc>
      </w:tr>
      <w:tr>
        <w:trPr/>
        <w:tc>
          <w:tcPr>
            <w:tcW w:w="630" w:type="dxa"/>
            <w:tcBorders/>
            <w:shd w:fill="E5FFFF" w:val="clear"/>
            <w:vAlign w:val="center"/>
          </w:tcPr>
          <w:p>
            <w:pPr>
              <w:pStyle w:val="TableContents"/>
              <w:spacing w:before="0" w:after="283"/>
              <w:rPr/>
            </w:pPr>
            <w:r>
              <w:rPr/>
              <w:t> </w:t>
            </w:r>
          </w:p>
        </w:tc>
        <w:tc>
          <w:tcPr>
            <w:tcW w:w="5703" w:type="dxa"/>
            <w:tcBorders/>
            <w:shd w:fill="E5FFFF" w:val="clear"/>
            <w:vAlign w:val="center"/>
          </w:tcPr>
          <w:p>
            <w:pPr>
              <w:pStyle w:val="TableContents"/>
              <w:spacing w:before="0" w:after="283"/>
              <w:rPr/>
            </w:pPr>
            <w:r>
              <w:rPr/>
              <w:t> </w:t>
            </w:r>
          </w:p>
        </w:tc>
        <w:tc>
          <w:tcPr>
            <w:tcW w:w="265" w:type="dxa"/>
            <w:tcBorders/>
            <w:shd w:fill="E5FFFF" w:val="clear"/>
            <w:vAlign w:val="bottom"/>
          </w:tcPr>
          <w:p>
            <w:pPr>
              <w:pStyle w:val="TableContents"/>
              <w:spacing w:before="0" w:after="283"/>
              <w:jc w:val="right"/>
              <w:rPr/>
            </w:pPr>
            <w:r>
              <w:rPr/>
              <w:t>    </w:t>
            </w:r>
          </w:p>
        </w:tc>
        <w:tc>
          <w:tcPr>
            <w:tcW w:w="116" w:type="dxa"/>
            <w:tcBorders/>
            <w:shd w:fill="E5FFFF" w:val="clear"/>
            <w:vAlign w:val="center"/>
          </w:tcPr>
          <w:p>
            <w:pPr>
              <w:pStyle w:val="TableContents"/>
              <w:spacing w:before="0" w:after="283"/>
              <w:rPr/>
            </w:pPr>
            <w:r>
              <w:rPr/>
              <w:t> </w:t>
            </w:r>
          </w:p>
        </w:tc>
        <w:tc>
          <w:tcPr>
            <w:tcW w:w="1354" w:type="dxa"/>
            <w:tcBorders/>
            <w:shd w:fill="E5FFFF" w:val="clear"/>
            <w:vAlign w:val="bottom"/>
          </w:tcPr>
          <w:p>
            <w:pPr>
              <w:pStyle w:val="HorizontalLine"/>
              <w:pBdr>
                <w:bottom w:val="single" w:sz="6" w:space="0" w:color="000000"/>
              </w:pBdr>
              <w:spacing w:before="0" w:after="283"/>
              <w:rPr/>
            </w:pPr>
            <w:r>
              <w:rPr/>
            </w:r>
          </w:p>
        </w:tc>
        <w:tc>
          <w:tcPr>
            <w:tcW w:w="145" w:type="dxa"/>
            <w:tcBorders/>
            <w:shd w:fill="E5FFFF" w:val="clear"/>
            <w:vAlign w:val="center"/>
          </w:tcPr>
          <w:p>
            <w:pPr>
              <w:pStyle w:val="TableContents"/>
              <w:spacing w:before="0" w:after="283"/>
              <w:rPr/>
            </w:pPr>
            <w:r>
              <w:rPr/>
              <w:t> </w:t>
            </w:r>
          </w:p>
        </w:tc>
        <w:tc>
          <w:tcPr>
            <w:tcW w:w="332" w:type="dxa"/>
            <w:tcBorders/>
            <w:shd w:fill="E5FFFF" w:val="clear"/>
            <w:vAlign w:val="bottom"/>
          </w:tcPr>
          <w:p>
            <w:pPr>
              <w:pStyle w:val="TableContents"/>
              <w:spacing w:before="0" w:after="283"/>
              <w:jc w:val="right"/>
              <w:rPr/>
            </w:pPr>
            <w:r>
              <w:rPr/>
              <w:t>    </w:t>
            </w:r>
          </w:p>
        </w:tc>
        <w:tc>
          <w:tcPr>
            <w:tcW w:w="116" w:type="dxa"/>
            <w:tcBorders/>
            <w:shd w:fill="E5FFFF" w:val="clear"/>
            <w:vAlign w:val="center"/>
          </w:tcPr>
          <w:p>
            <w:pPr>
              <w:pStyle w:val="TableContents"/>
              <w:spacing w:before="0" w:after="283"/>
              <w:rPr/>
            </w:pPr>
            <w:r>
              <w:rPr/>
              <w:t> </w:t>
            </w:r>
          </w:p>
        </w:tc>
        <w:tc>
          <w:tcPr>
            <w:tcW w:w="1158" w:type="dxa"/>
            <w:tcBorders/>
            <w:shd w:fill="E5FFFF" w:val="clear"/>
            <w:vAlign w:val="bottom"/>
          </w:tcPr>
          <w:p>
            <w:pPr>
              <w:pStyle w:val="HorizontalLine"/>
              <w:pBdr>
                <w:bottom w:val="single" w:sz="6" w:space="0" w:color="000000"/>
              </w:pBdr>
              <w:spacing w:before="0" w:after="283"/>
              <w:rPr/>
            </w:pPr>
            <w:r>
              <w:rPr/>
            </w:r>
          </w:p>
        </w:tc>
        <w:tc>
          <w:tcPr>
            <w:tcW w:w="386" w:type="dxa"/>
            <w:tcBorders/>
            <w:shd w:fill="E5FFFF" w:val="clear"/>
            <w:vAlign w:val="center"/>
          </w:tcPr>
          <w:p>
            <w:pPr>
              <w:pStyle w:val="TableContents"/>
              <w:spacing w:before="0" w:after="283"/>
              <w:rPr/>
            </w:pPr>
            <w:r>
              <w:rPr/>
              <w:t> </w:t>
            </w:r>
          </w:p>
        </w:tc>
      </w:tr>
      <w:tr>
        <w:trPr/>
        <w:tc>
          <w:tcPr>
            <w:tcW w:w="630" w:type="dxa"/>
            <w:tcBorders/>
            <w:shd w:fill="FFFFFF" w:val="clear"/>
            <w:vAlign w:val="bottom"/>
          </w:tcPr>
          <w:p>
            <w:pPr>
              <w:pStyle w:val="TableContents"/>
              <w:spacing w:before="0" w:after="283"/>
              <w:jc w:val="left"/>
              <w:rPr/>
            </w:pPr>
            <w:r>
              <w:rPr/>
              <w:t>      </w:t>
            </w:r>
          </w:p>
        </w:tc>
        <w:tc>
          <w:tcPr>
            <w:tcW w:w="5703" w:type="dxa"/>
            <w:tcBorders/>
            <w:shd w:fill="FFFFFF" w:val="clear"/>
            <w:vAlign w:val="bottom"/>
          </w:tcPr>
          <w:p>
            <w:pPr>
              <w:pStyle w:val="TableContents"/>
              <w:spacing w:before="0" w:after="283"/>
              <w:jc w:val="left"/>
              <w:rPr>
                <w:rFonts w:ascii="Arial" w:hAnsi="Arial"/>
              </w:rPr>
            </w:pPr>
            <w:r>
              <w:rPr>
                <w:rFonts w:ascii="Arial" w:hAnsi="Arial"/>
              </w:rPr>
              <w:t>Claims Unresolved at the end of year</w:t>
            </w:r>
          </w:p>
        </w:tc>
        <w:tc>
          <w:tcPr>
            <w:tcW w:w="265" w:type="dxa"/>
            <w:tcBorders/>
            <w:shd w:fill="FFFFFF" w:val="clear"/>
            <w:vAlign w:val="bottom"/>
          </w:tcPr>
          <w:p>
            <w:pPr>
              <w:pStyle w:val="TableContents"/>
              <w:spacing w:before="0" w:after="283"/>
              <w:jc w:val="right"/>
              <w:rPr/>
            </w:pPr>
            <w:r>
              <w:rPr/>
              <w:t>    </w:t>
            </w:r>
          </w:p>
        </w:tc>
        <w:tc>
          <w:tcPr>
            <w:tcW w:w="116" w:type="dxa"/>
            <w:tcBorders/>
            <w:shd w:fill="FFFFFF" w:val="clear"/>
            <w:vAlign w:val="center"/>
          </w:tcPr>
          <w:p>
            <w:pPr>
              <w:pStyle w:val="TableContents"/>
              <w:spacing w:before="0" w:after="283"/>
              <w:rPr/>
            </w:pPr>
            <w:r>
              <w:rPr/>
              <w:t> </w:t>
            </w:r>
          </w:p>
        </w:tc>
        <w:tc>
          <w:tcPr>
            <w:tcW w:w="1354" w:type="dxa"/>
            <w:tcBorders/>
            <w:shd w:fill="FFFFFF" w:val="clear"/>
            <w:vAlign w:val="bottom"/>
          </w:tcPr>
          <w:p>
            <w:pPr>
              <w:pStyle w:val="TableContents"/>
              <w:spacing w:before="0" w:after="283"/>
              <w:jc w:val="right"/>
              <w:rPr>
                <w:rFonts w:ascii="Arial" w:hAnsi="Arial"/>
              </w:rPr>
            </w:pPr>
            <w:r>
              <w:rPr>
                <w:rFonts w:ascii="Arial" w:hAnsi="Arial"/>
              </w:rPr>
              <w:t>57,108</w:t>
            </w:r>
          </w:p>
        </w:tc>
        <w:tc>
          <w:tcPr>
            <w:tcW w:w="145" w:type="dxa"/>
            <w:tcBorders/>
            <w:shd w:fill="FFFFFF" w:val="clear"/>
            <w:vAlign w:val="center"/>
          </w:tcPr>
          <w:p>
            <w:pPr>
              <w:pStyle w:val="TableContents"/>
              <w:spacing w:before="0" w:after="283"/>
              <w:rPr/>
            </w:pPr>
            <w:r>
              <w:rPr/>
              <w:t> </w:t>
            </w:r>
          </w:p>
        </w:tc>
        <w:tc>
          <w:tcPr>
            <w:tcW w:w="332" w:type="dxa"/>
            <w:tcBorders/>
            <w:shd w:fill="FFFFFF" w:val="clear"/>
            <w:vAlign w:val="bottom"/>
          </w:tcPr>
          <w:p>
            <w:pPr>
              <w:pStyle w:val="TableContents"/>
              <w:spacing w:before="0" w:after="283"/>
              <w:jc w:val="right"/>
              <w:rPr/>
            </w:pPr>
            <w:r>
              <w:rPr/>
              <w:t>    </w:t>
            </w:r>
          </w:p>
        </w:tc>
        <w:tc>
          <w:tcPr>
            <w:tcW w:w="116" w:type="dxa"/>
            <w:tcBorders/>
            <w:shd w:fill="FFFFFF" w:val="clear"/>
            <w:vAlign w:val="center"/>
          </w:tcPr>
          <w:p>
            <w:pPr>
              <w:pStyle w:val="TableContents"/>
              <w:spacing w:before="0" w:after="283"/>
              <w:rPr/>
            </w:pPr>
            <w:r>
              <w:rPr/>
              <w:t> </w:t>
            </w:r>
          </w:p>
        </w:tc>
        <w:tc>
          <w:tcPr>
            <w:tcW w:w="1158" w:type="dxa"/>
            <w:tcBorders/>
            <w:shd w:fill="FFFFFF" w:val="clear"/>
            <w:vAlign w:val="bottom"/>
          </w:tcPr>
          <w:p>
            <w:pPr>
              <w:pStyle w:val="TableContents"/>
              <w:spacing w:before="0" w:after="283"/>
              <w:jc w:val="right"/>
              <w:rPr>
                <w:rFonts w:ascii="Arial" w:hAnsi="Arial"/>
              </w:rPr>
            </w:pPr>
            <w:r>
              <w:rPr>
                <w:rFonts w:ascii="Arial" w:hAnsi="Arial"/>
              </w:rPr>
              <w:t>79,502</w:t>
            </w:r>
          </w:p>
        </w:tc>
        <w:tc>
          <w:tcPr>
            <w:tcW w:w="386" w:type="dxa"/>
            <w:tcBorders/>
            <w:shd w:fill="FFFFFF" w:val="clear"/>
            <w:vAlign w:val="center"/>
          </w:tcPr>
          <w:p>
            <w:pPr>
              <w:pStyle w:val="TableContents"/>
              <w:spacing w:before="0" w:after="283"/>
              <w:rPr/>
            </w:pPr>
            <w:r>
              <w:rPr/>
              <w:t> </w:t>
            </w:r>
          </w:p>
        </w:tc>
      </w:tr>
      <w:tr>
        <w:trPr/>
        <w:tc>
          <w:tcPr>
            <w:tcW w:w="630" w:type="dxa"/>
            <w:tcBorders/>
            <w:shd w:fill="E5FFFF" w:val="clear"/>
            <w:vAlign w:val="center"/>
          </w:tcPr>
          <w:p>
            <w:pPr>
              <w:pStyle w:val="TableContents"/>
              <w:spacing w:before="0" w:after="283"/>
              <w:rPr/>
            </w:pPr>
            <w:r>
              <w:rPr/>
              <w:t> </w:t>
            </w:r>
          </w:p>
        </w:tc>
        <w:tc>
          <w:tcPr>
            <w:tcW w:w="5703" w:type="dxa"/>
            <w:tcBorders/>
            <w:shd w:fill="E5FFFF" w:val="clear"/>
            <w:vAlign w:val="center"/>
          </w:tcPr>
          <w:p>
            <w:pPr>
              <w:pStyle w:val="TableContents"/>
              <w:spacing w:before="0" w:after="283"/>
              <w:rPr/>
            </w:pPr>
            <w:r>
              <w:rPr/>
              <w:t> </w:t>
            </w:r>
          </w:p>
        </w:tc>
        <w:tc>
          <w:tcPr>
            <w:tcW w:w="265" w:type="dxa"/>
            <w:tcBorders/>
            <w:shd w:fill="E5FFFF" w:val="clear"/>
            <w:vAlign w:val="bottom"/>
          </w:tcPr>
          <w:p>
            <w:pPr>
              <w:pStyle w:val="TableContents"/>
              <w:spacing w:before="0" w:after="283"/>
              <w:jc w:val="right"/>
              <w:rPr/>
            </w:pPr>
            <w:r>
              <w:rPr/>
              <w:t>    </w:t>
            </w:r>
          </w:p>
        </w:tc>
        <w:tc>
          <w:tcPr>
            <w:tcW w:w="116" w:type="dxa"/>
            <w:tcBorders/>
            <w:shd w:fill="E5FFFF" w:val="clear"/>
            <w:vAlign w:val="center"/>
          </w:tcPr>
          <w:p>
            <w:pPr>
              <w:pStyle w:val="TableContents"/>
              <w:spacing w:before="0" w:after="283"/>
              <w:rPr/>
            </w:pPr>
            <w:r>
              <w:rPr/>
              <w:t> </w:t>
            </w:r>
          </w:p>
        </w:tc>
        <w:tc>
          <w:tcPr>
            <w:tcW w:w="1354" w:type="dxa"/>
            <w:tcBorders/>
            <w:shd w:fill="E5FFFF" w:val="clear"/>
            <w:vAlign w:val="bottom"/>
          </w:tcPr>
          <w:p>
            <w:pPr>
              <w:pStyle w:val="HorizontalLine"/>
              <w:pBdr>
                <w:bottom w:val="single" w:sz="18" w:space="0" w:color="000000"/>
              </w:pBdr>
              <w:spacing w:before="0" w:after="283"/>
              <w:rPr/>
            </w:pPr>
            <w:r>
              <w:rPr/>
            </w:r>
          </w:p>
        </w:tc>
        <w:tc>
          <w:tcPr>
            <w:tcW w:w="145" w:type="dxa"/>
            <w:tcBorders/>
            <w:shd w:fill="E5FFFF" w:val="clear"/>
            <w:vAlign w:val="center"/>
          </w:tcPr>
          <w:p>
            <w:pPr>
              <w:pStyle w:val="TableContents"/>
              <w:spacing w:before="0" w:after="283"/>
              <w:rPr/>
            </w:pPr>
            <w:r>
              <w:rPr/>
              <w:t> </w:t>
            </w:r>
          </w:p>
        </w:tc>
        <w:tc>
          <w:tcPr>
            <w:tcW w:w="332" w:type="dxa"/>
            <w:tcBorders/>
            <w:shd w:fill="E5FFFF" w:val="clear"/>
            <w:vAlign w:val="bottom"/>
          </w:tcPr>
          <w:p>
            <w:pPr>
              <w:pStyle w:val="TableContents"/>
              <w:spacing w:before="0" w:after="283"/>
              <w:jc w:val="right"/>
              <w:rPr/>
            </w:pPr>
            <w:r>
              <w:rPr/>
              <w:t>    </w:t>
            </w:r>
          </w:p>
        </w:tc>
        <w:tc>
          <w:tcPr>
            <w:tcW w:w="116" w:type="dxa"/>
            <w:tcBorders/>
            <w:shd w:fill="E5FFFF" w:val="clear"/>
            <w:vAlign w:val="center"/>
          </w:tcPr>
          <w:p>
            <w:pPr>
              <w:pStyle w:val="TableContents"/>
              <w:spacing w:before="0" w:after="283"/>
              <w:rPr/>
            </w:pPr>
            <w:r>
              <w:rPr/>
              <w:t> </w:t>
            </w:r>
          </w:p>
        </w:tc>
        <w:tc>
          <w:tcPr>
            <w:tcW w:w="1158" w:type="dxa"/>
            <w:tcBorders/>
            <w:shd w:fill="E5FFFF" w:val="clear"/>
            <w:vAlign w:val="bottom"/>
          </w:tcPr>
          <w:p>
            <w:pPr>
              <w:pStyle w:val="HorizontalLine"/>
              <w:pBdr>
                <w:bottom w:val="single" w:sz="18" w:space="0" w:color="000000"/>
              </w:pBdr>
              <w:spacing w:before="0" w:after="283"/>
              <w:rPr/>
            </w:pPr>
            <w:r>
              <w:rPr/>
            </w:r>
          </w:p>
        </w:tc>
        <w:tc>
          <w:tcPr>
            <w:tcW w:w="386" w:type="dxa"/>
            <w:tcBorders/>
            <w:shd w:fill="E5FFFF" w:val="clear"/>
            <w:vAlign w:val="center"/>
          </w:tcPr>
          <w:p>
            <w:pPr>
              <w:pStyle w:val="TableContents"/>
              <w:spacing w:before="0" w:after="283"/>
              <w:rPr/>
            </w:pPr>
            <w:r>
              <w:rPr/>
              <w:t> </w:t>
            </w:r>
          </w:p>
        </w:tc>
      </w:tr>
      <w:tr>
        <w:trPr/>
        <w:tc>
          <w:tcPr>
            <w:tcW w:w="630" w:type="dxa"/>
            <w:tcBorders/>
            <w:shd w:fill="FFFFFF" w:val="clear"/>
            <w:vAlign w:val="bottom"/>
          </w:tcPr>
          <w:p>
            <w:pPr>
              <w:pStyle w:val="TableContents"/>
              <w:spacing w:before="0" w:after="283"/>
              <w:jc w:val="left"/>
              <w:rPr/>
            </w:pPr>
            <w:r>
              <w:rPr/>
              <w:t>      </w:t>
            </w:r>
          </w:p>
        </w:tc>
        <w:tc>
          <w:tcPr>
            <w:tcW w:w="5703" w:type="dxa"/>
            <w:tcBorders/>
            <w:shd w:fill="FFFFFF" w:val="clear"/>
            <w:vAlign w:val="bottom"/>
          </w:tcPr>
          <w:p>
            <w:pPr>
              <w:pStyle w:val="TableContents"/>
              <w:spacing w:before="0" w:after="283"/>
              <w:rPr>
                <w:sz w:val="4"/>
                <w:szCs w:val="4"/>
              </w:rPr>
            </w:pPr>
            <w:r>
              <w:rPr>
                <w:sz w:val="4"/>
                <w:szCs w:val="4"/>
              </w:rPr>
            </w:r>
          </w:p>
        </w:tc>
        <w:tc>
          <w:tcPr>
            <w:tcW w:w="265" w:type="dxa"/>
            <w:tcBorders/>
            <w:shd w:fill="FFFFFF" w:val="clear"/>
            <w:vAlign w:val="center"/>
          </w:tcPr>
          <w:p>
            <w:pPr>
              <w:pStyle w:val="TableContents"/>
              <w:spacing w:before="0" w:after="283"/>
              <w:rPr/>
            </w:pPr>
            <w:r>
              <w:rPr/>
              <w:t> </w:t>
            </w:r>
          </w:p>
        </w:tc>
        <w:tc>
          <w:tcPr>
            <w:tcW w:w="116" w:type="dxa"/>
            <w:tcBorders/>
            <w:shd w:fill="FFFFFF" w:val="clear"/>
            <w:vAlign w:val="center"/>
          </w:tcPr>
          <w:p>
            <w:pPr>
              <w:pStyle w:val="TableContents"/>
              <w:spacing w:before="0" w:after="283"/>
              <w:rPr/>
            </w:pPr>
            <w:r>
              <w:rPr/>
              <w:t> </w:t>
            </w:r>
          </w:p>
        </w:tc>
        <w:tc>
          <w:tcPr>
            <w:tcW w:w="1354"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332" w:type="dxa"/>
            <w:tcBorders/>
            <w:shd w:fill="FFFFFF" w:val="clear"/>
            <w:vAlign w:val="center"/>
          </w:tcPr>
          <w:p>
            <w:pPr>
              <w:pStyle w:val="TableContents"/>
              <w:spacing w:before="0" w:after="283"/>
              <w:rPr/>
            </w:pPr>
            <w:r>
              <w:rPr/>
              <w:t> </w:t>
            </w:r>
          </w:p>
        </w:tc>
        <w:tc>
          <w:tcPr>
            <w:tcW w:w="116" w:type="dxa"/>
            <w:tcBorders/>
            <w:shd w:fill="FFFFFF" w:val="clear"/>
            <w:vAlign w:val="center"/>
          </w:tcPr>
          <w:p>
            <w:pPr>
              <w:pStyle w:val="TableContents"/>
              <w:spacing w:before="0" w:after="283"/>
              <w:rPr/>
            </w:pPr>
            <w:r>
              <w:rPr/>
              <w:t> </w:t>
            </w:r>
          </w:p>
        </w:tc>
        <w:tc>
          <w:tcPr>
            <w:tcW w:w="1158" w:type="dxa"/>
            <w:tcBorders/>
            <w:shd w:fill="FFFFFF" w:val="clear"/>
            <w:vAlign w:val="center"/>
          </w:tcPr>
          <w:p>
            <w:pPr>
              <w:pStyle w:val="TableContents"/>
              <w:spacing w:before="0" w:after="283"/>
              <w:rPr/>
            </w:pPr>
            <w:r>
              <w:rPr/>
              <w:t> </w:t>
            </w:r>
          </w:p>
        </w:tc>
        <w:tc>
          <w:tcPr>
            <w:tcW w:w="386"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19"/>
        <w:gridCol w:w="6257"/>
        <w:gridCol w:w="240"/>
        <w:gridCol w:w="115"/>
        <w:gridCol w:w="1191"/>
        <w:gridCol w:w="115"/>
        <w:gridCol w:w="240"/>
        <w:gridCol w:w="115"/>
        <w:gridCol w:w="1191"/>
        <w:gridCol w:w="122"/>
      </w:tblGrid>
      <w:tr>
        <w:trPr/>
        <w:tc>
          <w:tcPr>
            <w:tcW w:w="619" w:type="dxa"/>
            <w:tcBorders/>
            <w:shd w:fill="FFFFFF" w:val="clear"/>
            <w:vAlign w:val="center"/>
          </w:tcPr>
          <w:p>
            <w:pPr>
              <w:pStyle w:val="TableContents"/>
              <w:spacing w:before="0" w:after="283"/>
              <w:rPr/>
            </w:pPr>
            <w:r>
              <w:rPr/>
              <w:t> </w:t>
            </w:r>
          </w:p>
        </w:tc>
        <w:tc>
          <w:tcPr>
            <w:tcW w:w="6257"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089"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19" w:type="dxa"/>
            <w:tcBorders/>
            <w:shd w:fill="FFFFFF" w:val="clear"/>
            <w:vAlign w:val="bottom"/>
          </w:tcPr>
          <w:p>
            <w:pPr>
              <w:pStyle w:val="TableContents"/>
              <w:spacing w:before="0" w:after="283"/>
              <w:jc w:val="left"/>
              <w:rPr/>
            </w:pPr>
            <w:r>
              <w:rPr/>
              <w:t>      </w:t>
            </w:r>
          </w:p>
        </w:tc>
        <w:tc>
          <w:tcPr>
            <w:tcW w:w="6257" w:type="dxa"/>
            <w:tcBorders/>
            <w:shd w:fill="FFFFFF" w:val="clear"/>
            <w:vAlign w:val="bottom"/>
          </w:tcPr>
          <w:p>
            <w:pPr>
              <w:pStyle w:val="TableContents"/>
              <w:spacing w:before="0" w:after="0"/>
              <w:jc w:val="left"/>
              <w:rPr>
                <w:rFonts w:ascii="Arial" w:hAnsi="Arial"/>
                <w:b/>
              </w:rPr>
            </w:pPr>
            <w:r>
              <w:rPr>
                <w:rFonts w:ascii="Arial" w:hAnsi="Arial"/>
                <w:b/>
              </w:rPr>
              <w:t>Disease Distribution of Unresolved Claims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421"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428"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19" w:type="dxa"/>
            <w:tcBorders/>
            <w:shd w:fill="FFFFFF" w:val="clear"/>
            <w:vAlign w:val="bottom"/>
          </w:tcPr>
          <w:p>
            <w:pPr>
              <w:pStyle w:val="TableContents"/>
              <w:spacing w:before="0" w:after="283"/>
              <w:jc w:val="left"/>
              <w:rPr/>
            </w:pPr>
            <w:r>
              <w:rPr/>
              <w:t>      </w:t>
            </w:r>
          </w:p>
        </w:tc>
        <w:tc>
          <w:tcPr>
            <w:tcW w:w="6257" w:type="dxa"/>
            <w:tcBorders/>
            <w:shd w:fill="FFFFFF" w:val="clear"/>
            <w:vAlign w:val="bottom"/>
          </w:tcPr>
          <w:p>
            <w:pPr>
              <w:pStyle w:val="TableContents"/>
              <w:spacing w:before="0" w:after="283"/>
              <w:jc w:val="left"/>
              <w:rPr>
                <w:rFonts w:ascii="Arial" w:hAnsi="Arial"/>
              </w:rPr>
            </w:pPr>
            <w:r>
              <w:rPr>
                <w:rFonts w:ascii="Arial" w:hAnsi="Arial"/>
              </w:rPr>
              <w:t>Mesothelioma and Other Cancer Claims</w:t>
            </w:r>
          </w:p>
        </w:tc>
        <w:tc>
          <w:tcPr>
            <w:tcW w:w="240" w:type="dxa"/>
            <w:tcBorders/>
            <w:shd w:fill="FFFFFF" w:val="clear"/>
            <w:vAlign w:val="bottom"/>
          </w:tcPr>
          <w:p>
            <w:pPr>
              <w:pStyle w:val="TableContents"/>
              <w:spacing w:before="0" w:after="283"/>
              <w:jc w:val="right"/>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bottom"/>
          </w:tcPr>
          <w:p>
            <w:pPr>
              <w:pStyle w:val="TableContents"/>
              <w:spacing w:before="0" w:after="283"/>
              <w:jc w:val="right"/>
              <w:rPr>
                <w:rFonts w:ascii="Arial" w:hAnsi="Arial"/>
              </w:rPr>
            </w:pPr>
            <w:r>
              <w:rPr>
                <w:rFonts w:ascii="Arial" w:hAnsi="Arial"/>
              </w:rPr>
              <w:t>4,843</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bottom"/>
          </w:tcPr>
          <w:p>
            <w:pPr>
              <w:pStyle w:val="TableContents"/>
              <w:spacing w:before="0" w:after="283"/>
              <w:jc w:val="right"/>
              <w:rPr>
                <w:rFonts w:ascii="Arial" w:hAnsi="Arial"/>
              </w:rPr>
            </w:pPr>
            <w:r>
              <w:rPr>
                <w:rFonts w:ascii="Arial" w:hAnsi="Arial"/>
              </w:rPr>
              <w:t>4,810</w:t>
            </w:r>
          </w:p>
        </w:tc>
        <w:tc>
          <w:tcPr>
            <w:tcW w:w="122" w:type="dxa"/>
            <w:tcBorders/>
            <w:shd w:fill="FFFFFF" w:val="clear"/>
            <w:vAlign w:val="center"/>
          </w:tcPr>
          <w:p>
            <w:pPr>
              <w:pStyle w:val="TableContents"/>
              <w:spacing w:before="0" w:after="283"/>
              <w:rPr/>
            </w:pPr>
            <w:r>
              <w:rPr/>
              <w:t> </w:t>
            </w:r>
          </w:p>
        </w:tc>
      </w:tr>
      <w:tr>
        <w:trPr/>
        <w:tc>
          <w:tcPr>
            <w:tcW w:w="619" w:type="dxa"/>
            <w:tcBorders/>
            <w:shd w:fill="E5FFFF" w:val="clear"/>
            <w:vAlign w:val="bottom"/>
          </w:tcPr>
          <w:p>
            <w:pPr>
              <w:pStyle w:val="TableContents"/>
              <w:spacing w:before="0" w:after="283"/>
              <w:jc w:val="left"/>
              <w:rPr/>
            </w:pPr>
            <w:r>
              <w:rPr/>
              <w:t>      </w:t>
            </w:r>
          </w:p>
        </w:tc>
        <w:tc>
          <w:tcPr>
            <w:tcW w:w="6257" w:type="dxa"/>
            <w:tcBorders/>
            <w:shd w:fill="E5FFFF" w:val="clear"/>
            <w:vAlign w:val="bottom"/>
          </w:tcPr>
          <w:p>
            <w:pPr>
              <w:pStyle w:val="TableContents"/>
              <w:spacing w:before="0" w:after="283"/>
              <w:jc w:val="left"/>
              <w:rPr>
                <w:rFonts w:ascii="Arial" w:hAnsi="Arial"/>
              </w:rPr>
            </w:pPr>
            <w:r>
              <w:rPr>
                <w:rFonts w:ascii="Arial" w:hAnsi="Arial"/>
              </w:rPr>
              <w:t>Other Claims</w:t>
            </w:r>
          </w:p>
        </w:tc>
        <w:tc>
          <w:tcPr>
            <w:tcW w:w="240" w:type="dxa"/>
            <w:tcBorders/>
            <w:shd w:fill="E5FFFF" w:val="clear"/>
            <w:vAlign w:val="bottom"/>
          </w:tcPr>
          <w:p>
            <w:pPr>
              <w:pStyle w:val="TableContents"/>
              <w:spacing w:before="0" w:after="283"/>
              <w:jc w:val="right"/>
              <w:rPr/>
            </w:pPr>
            <w:r>
              <w:rPr/>
              <w:t>    </w:t>
            </w:r>
          </w:p>
        </w:tc>
        <w:tc>
          <w:tcPr>
            <w:tcW w:w="115" w:type="dxa"/>
            <w:tcBorders/>
            <w:shd w:fill="E5FFFF" w:val="clear"/>
            <w:vAlign w:val="center"/>
          </w:tcPr>
          <w:p>
            <w:pPr>
              <w:pStyle w:val="TableContents"/>
              <w:spacing w:before="0" w:after="283"/>
              <w:rPr/>
            </w:pPr>
            <w:r>
              <w:rPr/>
              <w:t> </w:t>
            </w:r>
          </w:p>
        </w:tc>
        <w:tc>
          <w:tcPr>
            <w:tcW w:w="1191" w:type="dxa"/>
            <w:tcBorders/>
            <w:shd w:fill="E5FFFF" w:val="clear"/>
            <w:vAlign w:val="bottom"/>
          </w:tcPr>
          <w:p>
            <w:pPr>
              <w:pStyle w:val="TableContents"/>
              <w:spacing w:before="0" w:after="283"/>
              <w:jc w:val="right"/>
              <w:rPr>
                <w:rFonts w:ascii="Arial" w:hAnsi="Arial"/>
              </w:rPr>
            </w:pPr>
            <w:r>
              <w:rPr>
                <w:rFonts w:ascii="Arial" w:hAnsi="Arial"/>
              </w:rPr>
              <w:t>52,265</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5" w:type="dxa"/>
            <w:tcBorders/>
            <w:shd w:fill="E5FFFF" w:val="clear"/>
            <w:vAlign w:val="center"/>
          </w:tcPr>
          <w:p>
            <w:pPr>
              <w:pStyle w:val="TableContents"/>
              <w:spacing w:before="0" w:after="283"/>
              <w:rPr/>
            </w:pPr>
            <w:r>
              <w:rPr/>
              <w:t> </w:t>
            </w:r>
          </w:p>
        </w:tc>
        <w:tc>
          <w:tcPr>
            <w:tcW w:w="1191" w:type="dxa"/>
            <w:tcBorders/>
            <w:shd w:fill="E5FFFF" w:val="clear"/>
            <w:vAlign w:val="bottom"/>
          </w:tcPr>
          <w:p>
            <w:pPr>
              <w:pStyle w:val="TableContents"/>
              <w:spacing w:before="0" w:after="283"/>
              <w:jc w:val="right"/>
              <w:rPr>
                <w:rFonts w:ascii="Arial" w:hAnsi="Arial"/>
              </w:rPr>
            </w:pPr>
            <w:r>
              <w:rPr>
                <w:rFonts w:ascii="Arial" w:hAnsi="Arial"/>
              </w:rPr>
              <w:t>74,692</w:t>
            </w:r>
          </w:p>
        </w:tc>
        <w:tc>
          <w:tcPr>
            <w:tcW w:w="122" w:type="dxa"/>
            <w:tcBorders/>
            <w:shd w:fill="E5FFFF" w:val="clear"/>
            <w:vAlign w:val="center"/>
          </w:tcPr>
          <w:p>
            <w:pPr>
              <w:pStyle w:val="TableContents"/>
              <w:spacing w:before="0" w:after="283"/>
              <w:rPr/>
            </w:pPr>
            <w:r>
              <w:rPr/>
              <w:t> </w:t>
            </w:r>
          </w:p>
        </w:tc>
      </w:tr>
      <w:tr>
        <w:trPr/>
        <w:tc>
          <w:tcPr>
            <w:tcW w:w="619" w:type="dxa"/>
            <w:tcBorders/>
            <w:shd w:fill="FFFFFF" w:val="clear"/>
            <w:vAlign w:val="center"/>
          </w:tcPr>
          <w:p>
            <w:pPr>
              <w:pStyle w:val="TableContents"/>
              <w:spacing w:before="0" w:after="283"/>
              <w:rPr/>
            </w:pPr>
            <w:r>
              <w:rPr/>
              <w:t> </w:t>
            </w:r>
          </w:p>
        </w:tc>
        <w:tc>
          <w:tcPr>
            <w:tcW w:w="625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bottom"/>
          </w:tcPr>
          <w:p>
            <w:pPr>
              <w:pStyle w:val="HorizontalLine"/>
              <w:pBdr>
                <w:bottom w:val="single" w:sz="6" w:space="0" w:color="000000"/>
              </w:pBdr>
              <w:spacing w:before="0" w:after="283"/>
              <w:rPr/>
            </w:pPr>
            <w:r>
              <w:rPr/>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bottom"/>
          </w:tcPr>
          <w:p>
            <w:pPr>
              <w:pStyle w:val="HorizontalLine"/>
              <w:pBdr>
                <w:bottom w:val="single" w:sz="6" w:space="0" w:color="000000"/>
              </w:pBdr>
              <w:spacing w:before="0" w:after="283"/>
              <w:rPr/>
            </w:pPr>
            <w:r>
              <w:rPr/>
            </w:r>
          </w:p>
        </w:tc>
        <w:tc>
          <w:tcPr>
            <w:tcW w:w="122" w:type="dxa"/>
            <w:tcBorders/>
            <w:shd w:fill="FFFFFF" w:val="clear"/>
            <w:vAlign w:val="center"/>
          </w:tcPr>
          <w:p>
            <w:pPr>
              <w:pStyle w:val="TableContents"/>
              <w:spacing w:before="0" w:after="283"/>
              <w:rPr/>
            </w:pPr>
            <w:r>
              <w:rPr/>
              <w:t> </w:t>
            </w:r>
          </w:p>
        </w:tc>
      </w:tr>
      <w:tr>
        <w:trPr/>
        <w:tc>
          <w:tcPr>
            <w:tcW w:w="619" w:type="dxa"/>
            <w:tcBorders/>
            <w:shd w:fill="E5FFFF" w:val="clear"/>
            <w:vAlign w:val="bottom"/>
          </w:tcPr>
          <w:p>
            <w:pPr>
              <w:pStyle w:val="TableContents"/>
              <w:spacing w:before="0" w:after="283"/>
              <w:jc w:val="left"/>
              <w:rPr/>
            </w:pPr>
            <w:r>
              <w:rPr/>
              <w:t>      </w:t>
            </w:r>
          </w:p>
        </w:tc>
        <w:tc>
          <w:tcPr>
            <w:tcW w:w="6257" w:type="dxa"/>
            <w:tcBorders/>
            <w:shd w:fill="E5FFFF" w:val="clear"/>
            <w:vAlign w:val="bottom"/>
          </w:tcPr>
          <w:p>
            <w:pPr>
              <w:pStyle w:val="TableContents"/>
              <w:spacing w:before="0" w:after="283"/>
              <w:jc w:val="left"/>
              <w:rPr>
                <w:rFonts w:ascii="Arial" w:hAnsi="Arial"/>
              </w:rPr>
            </w:pPr>
            <w:r>
              <w:rPr>
                <w:rFonts w:ascii="Arial" w:hAnsi="Arial"/>
              </w:rPr>
              <w:t>Total Claims</w:t>
            </w:r>
          </w:p>
        </w:tc>
        <w:tc>
          <w:tcPr>
            <w:tcW w:w="240" w:type="dxa"/>
            <w:tcBorders/>
            <w:shd w:fill="E5FFFF" w:val="clear"/>
            <w:vAlign w:val="bottom"/>
          </w:tcPr>
          <w:p>
            <w:pPr>
              <w:pStyle w:val="TableContents"/>
              <w:spacing w:before="0" w:after="283"/>
              <w:jc w:val="right"/>
              <w:rPr/>
            </w:pPr>
            <w:r>
              <w:rPr/>
              <w:t>    </w:t>
            </w:r>
          </w:p>
        </w:tc>
        <w:tc>
          <w:tcPr>
            <w:tcW w:w="115" w:type="dxa"/>
            <w:tcBorders/>
            <w:shd w:fill="E5FFFF" w:val="clear"/>
            <w:vAlign w:val="center"/>
          </w:tcPr>
          <w:p>
            <w:pPr>
              <w:pStyle w:val="TableContents"/>
              <w:spacing w:before="0" w:after="283"/>
              <w:rPr/>
            </w:pPr>
            <w:r>
              <w:rPr/>
              <w:t> </w:t>
            </w:r>
          </w:p>
        </w:tc>
        <w:tc>
          <w:tcPr>
            <w:tcW w:w="1191" w:type="dxa"/>
            <w:tcBorders/>
            <w:shd w:fill="E5FFFF" w:val="clear"/>
            <w:vAlign w:val="bottom"/>
          </w:tcPr>
          <w:p>
            <w:pPr>
              <w:pStyle w:val="TableContents"/>
              <w:spacing w:before="0" w:after="283"/>
              <w:jc w:val="right"/>
              <w:rPr>
                <w:rFonts w:ascii="Arial" w:hAnsi="Arial"/>
              </w:rPr>
            </w:pPr>
            <w:r>
              <w:rPr>
                <w:rFonts w:ascii="Arial" w:hAnsi="Arial"/>
              </w:rPr>
              <w:t>57,108</w:t>
            </w:r>
          </w:p>
        </w:tc>
        <w:tc>
          <w:tcPr>
            <w:tcW w:w="11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15" w:type="dxa"/>
            <w:tcBorders/>
            <w:shd w:fill="E5FFFF" w:val="clear"/>
            <w:vAlign w:val="center"/>
          </w:tcPr>
          <w:p>
            <w:pPr>
              <w:pStyle w:val="TableContents"/>
              <w:spacing w:before="0" w:after="283"/>
              <w:rPr/>
            </w:pPr>
            <w:r>
              <w:rPr/>
              <w:t> </w:t>
            </w:r>
          </w:p>
        </w:tc>
        <w:tc>
          <w:tcPr>
            <w:tcW w:w="1191" w:type="dxa"/>
            <w:tcBorders/>
            <w:shd w:fill="E5FFFF" w:val="clear"/>
            <w:vAlign w:val="bottom"/>
          </w:tcPr>
          <w:p>
            <w:pPr>
              <w:pStyle w:val="TableContents"/>
              <w:spacing w:before="0" w:after="283"/>
              <w:jc w:val="right"/>
              <w:rPr>
                <w:rFonts w:ascii="Arial" w:hAnsi="Arial"/>
              </w:rPr>
            </w:pPr>
            <w:r>
              <w:rPr>
                <w:rFonts w:ascii="Arial" w:hAnsi="Arial"/>
              </w:rPr>
              <w:t>79,502</w:t>
            </w:r>
          </w:p>
        </w:tc>
        <w:tc>
          <w:tcPr>
            <w:tcW w:w="122" w:type="dxa"/>
            <w:tcBorders/>
            <w:shd w:fill="E5FFFF" w:val="clear"/>
            <w:vAlign w:val="center"/>
          </w:tcPr>
          <w:p>
            <w:pPr>
              <w:pStyle w:val="TableContents"/>
              <w:spacing w:before="0" w:after="283"/>
              <w:rPr/>
            </w:pPr>
            <w:r>
              <w:rPr/>
              <w:t> </w:t>
            </w:r>
          </w:p>
        </w:tc>
      </w:tr>
      <w:tr>
        <w:trPr/>
        <w:tc>
          <w:tcPr>
            <w:tcW w:w="619" w:type="dxa"/>
            <w:tcBorders/>
            <w:shd w:fill="FFFFFF" w:val="clear"/>
            <w:vAlign w:val="center"/>
          </w:tcPr>
          <w:p>
            <w:pPr>
              <w:pStyle w:val="TableContents"/>
              <w:spacing w:before="0" w:after="283"/>
              <w:rPr/>
            </w:pPr>
            <w:r>
              <w:rPr/>
              <w:t> </w:t>
            </w:r>
          </w:p>
        </w:tc>
        <w:tc>
          <w:tcPr>
            <w:tcW w:w="6257"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bottom"/>
          </w:tcPr>
          <w:p>
            <w:pPr>
              <w:pStyle w:val="HorizontalLine"/>
              <w:pBdr>
                <w:bottom w:val="single" w:sz="18" w:space="0" w:color="000000"/>
              </w:pBdr>
              <w:spacing w:before="0" w:after="283"/>
              <w:rPr/>
            </w:pPr>
            <w:r>
              <w:rPr/>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bottom"/>
          </w:tcPr>
          <w:p>
            <w:pPr>
              <w:pStyle w:val="HorizontalLine"/>
              <w:pBdr>
                <w:bottom w:val="single" w:sz="18" w:space="0" w:color="000000"/>
              </w:pBdr>
              <w:spacing w:before="0" w:after="283"/>
              <w:rPr/>
            </w:pPr>
            <w:r>
              <w:rPr/>
            </w:r>
          </w:p>
        </w:tc>
        <w:tc>
          <w:tcPr>
            <w:tcW w:w="122" w:type="dxa"/>
            <w:tcBorders/>
            <w:shd w:fill="FFFFFF" w:val="clear"/>
            <w:vAlign w:val="center"/>
          </w:tcPr>
          <w:p>
            <w:pPr>
              <w:pStyle w:val="TableContents"/>
              <w:spacing w:before="0" w:after="283"/>
              <w:rPr/>
            </w:pPr>
            <w:r>
              <w:rPr/>
              <w:t> </w:t>
            </w:r>
          </w:p>
        </w:tc>
      </w:tr>
      <w:tr>
        <w:trPr/>
        <w:tc>
          <w:tcPr>
            <w:tcW w:w="619" w:type="dxa"/>
            <w:tcBorders/>
            <w:shd w:fill="FFFFFF" w:val="clear"/>
            <w:vAlign w:val="bottom"/>
          </w:tcPr>
          <w:p>
            <w:pPr>
              <w:pStyle w:val="TableContents"/>
              <w:spacing w:before="0" w:after="283"/>
              <w:jc w:val="left"/>
              <w:rPr/>
            </w:pPr>
            <w:r>
              <w:rPr/>
              <w:t>      </w:t>
            </w:r>
          </w:p>
        </w:tc>
        <w:tc>
          <w:tcPr>
            <w:tcW w:w="6257"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1191"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58"/>
        <w:gridCol w:w="180"/>
        <w:gridCol w:w="9767"/>
      </w:tblGrid>
      <w:tr>
        <w:trPr/>
        <w:tc>
          <w:tcPr>
            <w:tcW w:w="258"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67" w:type="dxa"/>
            <w:tcBorders/>
            <w:shd w:fill="FFFFFF" w:val="clear"/>
            <w:vAlign w:val="center"/>
          </w:tcPr>
          <w:p>
            <w:pPr>
              <w:pStyle w:val="TableContents"/>
              <w:spacing w:before="0" w:after="283"/>
              <w:rPr/>
            </w:pPr>
            <w:r>
              <w:rPr/>
              <w:t> </w:t>
            </w:r>
          </w:p>
        </w:tc>
      </w:tr>
      <w:tr>
        <w:trPr/>
        <w:tc>
          <w:tcPr>
            <w:tcW w:w="258" w:type="dxa"/>
            <w:tcBorders/>
            <w:shd w:fill="FFFFFF" w:val="clear"/>
          </w:tcPr>
          <w:p>
            <w:pPr>
              <w:pStyle w:val="TableContents"/>
              <w:spacing w:before="0" w:after="283"/>
              <w:jc w:val="right"/>
              <w:rPr>
                <w:rFonts w:ascii="Arial" w:hAnsi="Arial"/>
              </w:rPr>
            </w:pPr>
            <w:r>
              <w:rPr>
                <w:rFonts w:ascii="Arial" w:hAnsi="Arial"/>
              </w:rPr>
              <w:t>(a)</w:t>
            </w:r>
          </w:p>
        </w:tc>
        <w:tc>
          <w:tcPr>
            <w:tcW w:w="180" w:type="dxa"/>
            <w:tcBorders/>
            <w:shd w:fill="FFFFFF" w:val="clear"/>
            <w:vAlign w:val="bottom"/>
          </w:tcPr>
          <w:p>
            <w:pPr>
              <w:pStyle w:val="TableContents"/>
              <w:spacing w:before="0" w:after="283"/>
              <w:jc w:val="left"/>
              <w:rPr/>
            </w:pPr>
            <w:r>
              <w:rPr/>
              <w:t>   </w:t>
            </w:r>
          </w:p>
        </w:tc>
        <w:tc>
          <w:tcPr>
            <w:tcW w:w="9767" w:type="dxa"/>
            <w:tcBorders/>
            <w:shd w:fill="FFFFFF" w:val="clear"/>
            <w:vAlign w:val="bottom"/>
          </w:tcPr>
          <w:p>
            <w:pPr>
              <w:pStyle w:val="TableContents"/>
              <w:spacing w:before="0" w:after="283"/>
              <w:jc w:val="left"/>
              <w:rPr>
                <w:rFonts w:ascii="Arial" w:hAnsi="Arial"/>
              </w:rPr>
            </w:pPr>
            <w:r>
              <w:rPr>
                <w:rFonts w:ascii="Arial" w:hAnsi="Arial"/>
              </w:rPr>
              <w:t>Excludes 2,524 claims which were inadvertently included in resolved claims as of December 31, 2005 which had no impact on the recorded values for such claims and has been corrected for purposes of this presentation.</w:t>
            </w:r>
          </w:p>
        </w:tc>
      </w:tr>
    </w:tbl>
    <w:p>
      <w:pPr>
        <w:pStyle w:val="TextBody"/>
        <w:jc w:val="left"/>
        <w:rPr/>
      </w:pPr>
      <w:r>
        <w:rPr/>
        <w:t>      </w:t>
      </w:r>
      <w:r>
        <w:rPr>
          <w:rFonts w:ascii="Arial" w:hAnsi="Arial"/>
        </w:rPr>
        <w:t>Approximately 45 percent of the approximately 57,000 pending claims at December 31, 2006 are on the inactive, deferred, or similar dockets established in some jurisdictions for claimants who allege minimal or no impairment. The approximately 57,000 pending claims also include claims filed in jurisdictions such as Texas, Virginia, and Mississippi that historically allowed for consolidated filings. In these jurisdictions, plaintiffs were permitted to file complaints against a pre-determined master list of defendants, regardless of whether they have claims against each individual defendant. Many of these plaintiffs may not actually have claims against Honeywell. Based on state rules and prior experience in these jurisdictions, we anticipate that many of these claims will ultimately be dismissed. During 2006 approximately 16,000 cases were dismissed. More than 85 percent of these dismissals occurred in Mississippi as a result of judicial rulings relating to non-resident filings and venue. We anticipate additional dismissals in this jurisdiction.</w:t>
      </w:r>
    </w:p>
    <w:p>
      <w:pPr>
        <w:pStyle w:val="TextBody"/>
        <w:jc w:val="left"/>
        <w:rPr/>
      </w:pPr>
      <w:r>
        <w:rPr/>
        <w:t>      </w:t>
      </w:r>
      <w:r>
        <w:rPr>
          <w:rFonts w:ascii="Arial" w:hAnsi="Arial"/>
        </w:rPr>
        <w:t>Honeywell has experienced average resolution values per claim excluding legal costs as follows:</w:t>
      </w:r>
    </w:p>
    <w:tbl>
      <w:tblPr>
        <w:tblW w:w="5000" w:type="pct"/>
        <w:jc w:val="left"/>
        <w:tblInd w:w="0" w:type="dxa"/>
        <w:tblCellMar>
          <w:top w:w="0" w:type="dxa"/>
          <w:left w:w="0" w:type="dxa"/>
          <w:bottom w:w="0" w:type="dxa"/>
          <w:right w:w="0" w:type="dxa"/>
        </w:tblCellMar>
      </w:tblPr>
      <w:tblGrid>
        <w:gridCol w:w="586"/>
        <w:gridCol w:w="3701"/>
        <w:gridCol w:w="391"/>
        <w:gridCol w:w="253"/>
        <w:gridCol w:w="1231"/>
        <w:gridCol w:w="98"/>
        <w:gridCol w:w="391"/>
        <w:gridCol w:w="252"/>
        <w:gridCol w:w="1231"/>
        <w:gridCol w:w="98"/>
        <w:gridCol w:w="391"/>
        <w:gridCol w:w="253"/>
        <w:gridCol w:w="1231"/>
        <w:gridCol w:w="98"/>
      </w:tblGrid>
      <w:tr>
        <w:trPr/>
        <w:tc>
          <w:tcPr>
            <w:tcW w:w="586" w:type="dxa"/>
            <w:tcBorders/>
            <w:shd w:fill="FFFFFF" w:val="clear"/>
            <w:vAlign w:val="center"/>
          </w:tcPr>
          <w:p>
            <w:pPr>
              <w:pStyle w:val="TableContents"/>
              <w:spacing w:before="0" w:after="283"/>
              <w:rPr/>
            </w:pPr>
            <w:r>
              <w:rPr/>
              <w:t> </w:t>
            </w:r>
          </w:p>
        </w:tc>
        <w:tc>
          <w:tcPr>
            <w:tcW w:w="3701"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5527"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586" w:type="dxa"/>
            <w:tcBorders/>
            <w:shd w:fill="FFFFFF" w:val="clear"/>
            <w:vAlign w:val="bottom"/>
          </w:tcPr>
          <w:p>
            <w:pPr>
              <w:pStyle w:val="TableContents"/>
              <w:spacing w:before="0" w:after="283"/>
              <w:jc w:val="center"/>
              <w:rPr/>
            </w:pPr>
            <w:r>
              <w:rPr/>
              <w:t>      </w:t>
            </w:r>
          </w:p>
        </w:tc>
        <w:tc>
          <w:tcPr>
            <w:tcW w:w="3701" w:type="dxa"/>
            <w:tcBorders/>
            <w:shd w:fill="FFFFFF" w:val="clear"/>
            <w:vAlign w:val="bottom"/>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pPr>
            <w:r>
              <w:rPr/>
              <w:t> </w:t>
            </w:r>
          </w:p>
        </w:tc>
        <w:tc>
          <w:tcPr>
            <w:tcW w:w="158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91" w:type="dxa"/>
            <w:tcBorders/>
            <w:shd w:fill="FFFFFF" w:val="clear"/>
            <w:vAlign w:val="center"/>
          </w:tcPr>
          <w:p>
            <w:pPr>
              <w:pStyle w:val="TableContents"/>
              <w:spacing w:before="0" w:after="283"/>
              <w:rPr/>
            </w:pPr>
            <w:r>
              <w:rPr/>
              <w:t> </w:t>
            </w:r>
          </w:p>
        </w:tc>
        <w:tc>
          <w:tcPr>
            <w:tcW w:w="1581"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91" w:type="dxa"/>
            <w:tcBorders/>
            <w:shd w:fill="FFFFFF" w:val="clear"/>
            <w:vAlign w:val="center"/>
          </w:tcPr>
          <w:p>
            <w:pPr>
              <w:pStyle w:val="TableContents"/>
              <w:spacing w:before="0" w:after="283"/>
              <w:rPr/>
            </w:pPr>
            <w:r>
              <w:rPr/>
              <w:t> </w:t>
            </w:r>
          </w:p>
        </w:tc>
        <w:tc>
          <w:tcPr>
            <w:tcW w:w="158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86" w:type="dxa"/>
            <w:tcBorders/>
            <w:shd w:fill="FFFFFF" w:val="clear"/>
            <w:vAlign w:val="center"/>
          </w:tcPr>
          <w:p>
            <w:pPr>
              <w:pStyle w:val="TableContents"/>
              <w:spacing w:before="0" w:after="283"/>
              <w:rPr/>
            </w:pPr>
            <w:r>
              <w:rPr/>
              <w:t> </w:t>
            </w:r>
          </w:p>
        </w:tc>
        <w:tc>
          <w:tcPr>
            <w:tcW w:w="3701"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5527" w:type="dxa"/>
            <w:gridSpan w:val="11"/>
            <w:tcBorders/>
            <w:shd w:fill="FFFFFF" w:val="clear"/>
          </w:tcPr>
          <w:p>
            <w:pPr>
              <w:pStyle w:val="TableContents"/>
              <w:spacing w:before="0" w:after="283"/>
              <w:jc w:val="center"/>
              <w:rPr>
                <w:rFonts w:ascii="Arial" w:hAnsi="Arial"/>
                <w:b/>
                <w:sz w:val="14"/>
              </w:rPr>
            </w:pPr>
            <w:r>
              <w:rPr>
                <w:rFonts w:ascii="Arial" w:hAnsi="Arial"/>
                <w:b/>
                <w:sz w:val="14"/>
              </w:rPr>
              <w:t>(in whole dollars)</w:t>
            </w:r>
          </w:p>
        </w:tc>
      </w:tr>
      <w:tr>
        <w:trPr/>
        <w:tc>
          <w:tcPr>
            <w:tcW w:w="586" w:type="dxa"/>
            <w:tcBorders/>
            <w:shd w:fill="E5FFFF" w:val="clear"/>
            <w:vAlign w:val="bottom"/>
          </w:tcPr>
          <w:p>
            <w:pPr>
              <w:pStyle w:val="TableContents"/>
              <w:spacing w:before="0" w:after="283"/>
              <w:jc w:val="left"/>
              <w:rPr/>
            </w:pPr>
            <w:r>
              <w:rPr/>
              <w:t>      </w:t>
            </w:r>
          </w:p>
        </w:tc>
        <w:tc>
          <w:tcPr>
            <w:tcW w:w="3701" w:type="dxa"/>
            <w:tcBorders/>
            <w:shd w:fill="E5FFFF" w:val="clear"/>
            <w:vAlign w:val="bottom"/>
          </w:tcPr>
          <w:p>
            <w:pPr>
              <w:pStyle w:val="TableContents"/>
              <w:spacing w:before="0" w:after="283"/>
              <w:jc w:val="left"/>
              <w:rPr>
                <w:rFonts w:ascii="Arial" w:hAnsi="Arial"/>
              </w:rPr>
            </w:pPr>
            <w:r>
              <w:rPr>
                <w:rFonts w:ascii="Arial" w:hAnsi="Arial"/>
              </w:rPr>
              <w:t>Malignant claims</w:t>
            </w:r>
          </w:p>
        </w:tc>
        <w:tc>
          <w:tcPr>
            <w:tcW w:w="391" w:type="dxa"/>
            <w:tcBorders/>
            <w:shd w:fill="E5FFFF" w:val="clear"/>
            <w:vAlign w:val="bottom"/>
          </w:tcPr>
          <w:p>
            <w:pPr>
              <w:pStyle w:val="TableContents"/>
              <w:spacing w:before="0" w:after="283"/>
              <w:jc w:val="right"/>
              <w:rPr/>
            </w:pPr>
            <w:r>
              <w:rPr/>
              <w:t>    </w:t>
            </w:r>
          </w:p>
        </w:tc>
        <w:tc>
          <w:tcPr>
            <w:tcW w:w="253" w:type="dxa"/>
            <w:tcBorders/>
            <w:shd w:fill="E5FFFF" w:val="clear"/>
            <w:vAlign w:val="bottom"/>
          </w:tcPr>
          <w:p>
            <w:pPr>
              <w:pStyle w:val="TableContents"/>
              <w:spacing w:before="0" w:after="283"/>
              <w:jc w:val="right"/>
              <w:rPr>
                <w:rFonts w:ascii="Arial" w:hAnsi="Arial"/>
              </w:rPr>
            </w:pPr>
            <w:r>
              <w:rPr>
                <w:rFonts w:ascii="Arial" w:hAnsi="Arial"/>
              </w:rPr>
              <w:t>$</w:t>
            </w:r>
          </w:p>
        </w:tc>
        <w:tc>
          <w:tcPr>
            <w:tcW w:w="1231" w:type="dxa"/>
            <w:tcBorders/>
            <w:shd w:fill="E5FFFF" w:val="clear"/>
            <w:vAlign w:val="bottom"/>
          </w:tcPr>
          <w:p>
            <w:pPr>
              <w:pStyle w:val="TableContents"/>
              <w:spacing w:before="0" w:after="283"/>
              <w:jc w:val="right"/>
              <w:rPr>
                <w:rFonts w:ascii="Arial" w:hAnsi="Arial"/>
              </w:rPr>
            </w:pPr>
            <w:r>
              <w:rPr>
                <w:rFonts w:ascii="Arial" w:hAnsi="Arial"/>
              </w:rPr>
              <w:t>33,000</w:t>
            </w:r>
          </w:p>
        </w:tc>
        <w:tc>
          <w:tcPr>
            <w:tcW w:w="98" w:type="dxa"/>
            <w:tcBorders/>
            <w:shd w:fill="E5FFFF" w:val="clear"/>
            <w:vAlign w:val="center"/>
          </w:tcPr>
          <w:p>
            <w:pPr>
              <w:pStyle w:val="TableContents"/>
              <w:spacing w:before="0" w:after="283"/>
              <w:rPr/>
            </w:pPr>
            <w:r>
              <w:rPr/>
              <w:t> </w:t>
            </w:r>
          </w:p>
        </w:tc>
        <w:tc>
          <w:tcPr>
            <w:tcW w:w="391" w:type="dxa"/>
            <w:tcBorders/>
            <w:shd w:fill="E5FFFF" w:val="clear"/>
            <w:vAlign w:val="bottom"/>
          </w:tcPr>
          <w:p>
            <w:pPr>
              <w:pStyle w:val="TableContents"/>
              <w:spacing w:before="0" w:after="283"/>
              <w:jc w:val="right"/>
              <w:rPr/>
            </w:pPr>
            <w:r>
              <w:rPr/>
              <w:t>    </w:t>
            </w:r>
          </w:p>
        </w:tc>
        <w:tc>
          <w:tcPr>
            <w:tcW w:w="252" w:type="dxa"/>
            <w:tcBorders/>
            <w:shd w:fill="E5FFFF" w:val="clear"/>
            <w:vAlign w:val="bottom"/>
          </w:tcPr>
          <w:p>
            <w:pPr>
              <w:pStyle w:val="TableContents"/>
              <w:spacing w:before="0" w:after="283"/>
              <w:jc w:val="right"/>
              <w:rPr>
                <w:rFonts w:ascii="Arial" w:hAnsi="Arial"/>
              </w:rPr>
            </w:pPr>
            <w:r>
              <w:rPr>
                <w:rFonts w:ascii="Arial" w:hAnsi="Arial"/>
              </w:rPr>
              <w:t>$</w:t>
            </w:r>
          </w:p>
        </w:tc>
        <w:tc>
          <w:tcPr>
            <w:tcW w:w="1231" w:type="dxa"/>
            <w:tcBorders/>
            <w:shd w:fill="E5FFFF" w:val="clear"/>
            <w:vAlign w:val="bottom"/>
          </w:tcPr>
          <w:p>
            <w:pPr>
              <w:pStyle w:val="TableContents"/>
              <w:spacing w:before="0" w:after="283"/>
              <w:jc w:val="right"/>
              <w:rPr>
                <w:rFonts w:ascii="Arial" w:hAnsi="Arial"/>
              </w:rPr>
            </w:pPr>
            <w:r>
              <w:rPr>
                <w:rFonts w:ascii="Arial" w:hAnsi="Arial"/>
              </w:rPr>
              <w:t>58,000</w:t>
            </w:r>
          </w:p>
        </w:tc>
        <w:tc>
          <w:tcPr>
            <w:tcW w:w="98" w:type="dxa"/>
            <w:tcBorders/>
            <w:shd w:fill="E5FFFF" w:val="clear"/>
            <w:vAlign w:val="center"/>
          </w:tcPr>
          <w:p>
            <w:pPr>
              <w:pStyle w:val="TableContents"/>
              <w:spacing w:before="0" w:after="283"/>
              <w:rPr/>
            </w:pPr>
            <w:r>
              <w:rPr/>
              <w:t> </w:t>
            </w:r>
          </w:p>
        </w:tc>
        <w:tc>
          <w:tcPr>
            <w:tcW w:w="391" w:type="dxa"/>
            <w:tcBorders/>
            <w:shd w:fill="E5FFFF" w:val="clear"/>
            <w:vAlign w:val="bottom"/>
          </w:tcPr>
          <w:p>
            <w:pPr>
              <w:pStyle w:val="TableContents"/>
              <w:spacing w:before="0" w:after="283"/>
              <w:jc w:val="right"/>
              <w:rPr/>
            </w:pPr>
            <w:r>
              <w:rPr/>
              <w:t>    </w:t>
            </w:r>
          </w:p>
        </w:tc>
        <w:tc>
          <w:tcPr>
            <w:tcW w:w="253" w:type="dxa"/>
            <w:tcBorders/>
            <w:shd w:fill="E5FFFF" w:val="clear"/>
            <w:vAlign w:val="bottom"/>
          </w:tcPr>
          <w:p>
            <w:pPr>
              <w:pStyle w:val="TableContents"/>
              <w:spacing w:before="0" w:after="283"/>
              <w:jc w:val="right"/>
              <w:rPr>
                <w:rFonts w:ascii="Arial" w:hAnsi="Arial"/>
              </w:rPr>
            </w:pPr>
            <w:r>
              <w:rPr>
                <w:rFonts w:ascii="Arial" w:hAnsi="Arial"/>
              </w:rPr>
              <w:t>$</w:t>
            </w:r>
          </w:p>
        </w:tc>
        <w:tc>
          <w:tcPr>
            <w:tcW w:w="1231" w:type="dxa"/>
            <w:tcBorders/>
            <w:shd w:fill="E5FFFF" w:val="clear"/>
            <w:vAlign w:val="bottom"/>
          </w:tcPr>
          <w:p>
            <w:pPr>
              <w:pStyle w:val="TableContents"/>
              <w:spacing w:before="0" w:after="283"/>
              <w:jc w:val="right"/>
              <w:rPr>
                <w:rFonts w:ascii="Arial" w:hAnsi="Arial"/>
              </w:rPr>
            </w:pPr>
            <w:r>
              <w:rPr>
                <w:rFonts w:ascii="Arial" w:hAnsi="Arial"/>
              </w:rPr>
              <w:t>90,000</w:t>
            </w:r>
          </w:p>
        </w:tc>
        <w:tc>
          <w:tcPr>
            <w:tcW w:w="98" w:type="dxa"/>
            <w:tcBorders/>
            <w:shd w:fill="E5FFFF" w:val="clear"/>
            <w:vAlign w:val="center"/>
          </w:tcPr>
          <w:p>
            <w:pPr>
              <w:pStyle w:val="TableContents"/>
              <w:spacing w:before="0" w:after="283"/>
              <w:rPr/>
            </w:pPr>
            <w:r>
              <w:rPr/>
              <w:t> </w:t>
            </w:r>
          </w:p>
        </w:tc>
      </w:tr>
      <w:tr>
        <w:trPr/>
        <w:tc>
          <w:tcPr>
            <w:tcW w:w="586" w:type="dxa"/>
            <w:tcBorders/>
            <w:shd w:fill="FFFFFF" w:val="clear"/>
            <w:vAlign w:val="bottom"/>
          </w:tcPr>
          <w:p>
            <w:pPr>
              <w:pStyle w:val="TableContents"/>
              <w:spacing w:before="0" w:after="283"/>
              <w:jc w:val="left"/>
              <w:rPr/>
            </w:pPr>
            <w:r>
              <w:rPr/>
              <w:t>      </w:t>
            </w:r>
          </w:p>
        </w:tc>
        <w:tc>
          <w:tcPr>
            <w:tcW w:w="3701" w:type="dxa"/>
            <w:tcBorders/>
            <w:shd w:fill="FFFFFF" w:val="clear"/>
            <w:vAlign w:val="bottom"/>
          </w:tcPr>
          <w:p>
            <w:pPr>
              <w:pStyle w:val="TableContents"/>
              <w:spacing w:before="0" w:after="283"/>
              <w:jc w:val="left"/>
              <w:rPr>
                <w:rFonts w:ascii="Arial" w:hAnsi="Arial"/>
              </w:rPr>
            </w:pPr>
            <w:r>
              <w:rPr>
                <w:rFonts w:ascii="Arial" w:hAnsi="Arial"/>
              </w:rPr>
              <w:t>Nonmalignant claims</w:t>
            </w:r>
          </w:p>
        </w:tc>
        <w:tc>
          <w:tcPr>
            <w:tcW w:w="391" w:type="dxa"/>
            <w:tcBorders/>
            <w:shd w:fill="FFFFFF" w:val="clear"/>
            <w:vAlign w:val="bottom"/>
          </w:tcPr>
          <w:p>
            <w:pPr>
              <w:pStyle w:val="TableContents"/>
              <w:spacing w:before="0" w:after="283"/>
              <w:jc w:val="right"/>
              <w:rPr/>
            </w:pPr>
            <w:r>
              <w:rPr/>
              <w:t>    </w:t>
            </w:r>
          </w:p>
        </w:tc>
        <w:tc>
          <w:tcPr>
            <w:tcW w:w="253" w:type="dxa"/>
            <w:tcBorders/>
            <w:shd w:fill="FFFFFF" w:val="clear"/>
            <w:vAlign w:val="bottom"/>
          </w:tcPr>
          <w:p>
            <w:pPr>
              <w:pStyle w:val="TableContents"/>
              <w:spacing w:before="0" w:after="283"/>
              <w:jc w:val="right"/>
              <w:rPr>
                <w:rFonts w:ascii="Arial" w:hAnsi="Arial"/>
              </w:rPr>
            </w:pPr>
            <w:r>
              <w:rPr>
                <w:rFonts w:ascii="Arial" w:hAnsi="Arial"/>
              </w:rPr>
              <w:t>$</w:t>
            </w:r>
          </w:p>
        </w:tc>
        <w:tc>
          <w:tcPr>
            <w:tcW w:w="1231" w:type="dxa"/>
            <w:tcBorders/>
            <w:shd w:fill="FFFFFF" w:val="clear"/>
            <w:vAlign w:val="bottom"/>
          </w:tcPr>
          <w:p>
            <w:pPr>
              <w:pStyle w:val="TableContents"/>
              <w:spacing w:before="0" w:after="283"/>
              <w:jc w:val="right"/>
              <w:rPr>
                <w:rFonts w:ascii="Arial" w:hAnsi="Arial"/>
              </w:rPr>
            </w:pPr>
            <w:r>
              <w:rPr>
                <w:rFonts w:ascii="Arial" w:hAnsi="Arial"/>
              </w:rPr>
              <w:t>250</w:t>
            </w:r>
          </w:p>
        </w:tc>
        <w:tc>
          <w:tcPr>
            <w:tcW w:w="98" w:type="dxa"/>
            <w:tcBorders/>
            <w:shd w:fill="FFFFFF" w:val="clear"/>
            <w:vAlign w:val="center"/>
          </w:tcPr>
          <w:p>
            <w:pPr>
              <w:pStyle w:val="TableContents"/>
              <w:spacing w:before="0" w:after="283"/>
              <w:rPr/>
            </w:pPr>
            <w:r>
              <w:rPr/>
              <w:t> </w:t>
            </w:r>
          </w:p>
        </w:tc>
        <w:tc>
          <w:tcPr>
            <w:tcW w:w="391" w:type="dxa"/>
            <w:tcBorders/>
            <w:shd w:fill="FFFFFF" w:val="clear"/>
            <w:vAlign w:val="bottom"/>
          </w:tcPr>
          <w:p>
            <w:pPr>
              <w:pStyle w:val="TableContents"/>
              <w:spacing w:before="0" w:after="283"/>
              <w:jc w:val="right"/>
              <w:rPr/>
            </w:pPr>
            <w:r>
              <w:rPr/>
              <w:t>    </w:t>
            </w:r>
          </w:p>
        </w:tc>
        <w:tc>
          <w:tcPr>
            <w:tcW w:w="252" w:type="dxa"/>
            <w:tcBorders/>
            <w:shd w:fill="FFFFFF" w:val="clear"/>
            <w:vAlign w:val="bottom"/>
          </w:tcPr>
          <w:p>
            <w:pPr>
              <w:pStyle w:val="TableContents"/>
              <w:spacing w:before="0" w:after="283"/>
              <w:jc w:val="right"/>
              <w:rPr>
                <w:rFonts w:ascii="Arial" w:hAnsi="Arial"/>
              </w:rPr>
            </w:pPr>
            <w:r>
              <w:rPr>
                <w:rFonts w:ascii="Arial" w:hAnsi="Arial"/>
              </w:rPr>
              <w:t>$</w:t>
            </w:r>
          </w:p>
        </w:tc>
        <w:tc>
          <w:tcPr>
            <w:tcW w:w="1231" w:type="dxa"/>
            <w:tcBorders/>
            <w:shd w:fill="FFFFFF" w:val="clear"/>
            <w:vAlign w:val="bottom"/>
          </w:tcPr>
          <w:p>
            <w:pPr>
              <w:pStyle w:val="TableContents"/>
              <w:spacing w:before="0" w:after="283"/>
              <w:jc w:val="right"/>
              <w:rPr>
                <w:rFonts w:ascii="Arial" w:hAnsi="Arial"/>
              </w:rPr>
            </w:pPr>
            <w:r>
              <w:rPr>
                <w:rFonts w:ascii="Arial" w:hAnsi="Arial"/>
              </w:rPr>
              <w:t>600</w:t>
            </w:r>
          </w:p>
        </w:tc>
        <w:tc>
          <w:tcPr>
            <w:tcW w:w="98" w:type="dxa"/>
            <w:tcBorders/>
            <w:shd w:fill="FFFFFF" w:val="clear"/>
            <w:vAlign w:val="center"/>
          </w:tcPr>
          <w:p>
            <w:pPr>
              <w:pStyle w:val="TableContents"/>
              <w:spacing w:before="0" w:after="283"/>
              <w:rPr/>
            </w:pPr>
            <w:r>
              <w:rPr/>
              <w:t> </w:t>
            </w:r>
          </w:p>
        </w:tc>
        <w:tc>
          <w:tcPr>
            <w:tcW w:w="391" w:type="dxa"/>
            <w:tcBorders/>
            <w:shd w:fill="FFFFFF" w:val="clear"/>
            <w:vAlign w:val="bottom"/>
          </w:tcPr>
          <w:p>
            <w:pPr>
              <w:pStyle w:val="TableContents"/>
              <w:spacing w:before="0" w:after="283"/>
              <w:jc w:val="right"/>
              <w:rPr/>
            </w:pPr>
            <w:r>
              <w:rPr/>
              <w:t>    </w:t>
            </w:r>
          </w:p>
        </w:tc>
        <w:tc>
          <w:tcPr>
            <w:tcW w:w="253" w:type="dxa"/>
            <w:tcBorders/>
            <w:shd w:fill="FFFFFF" w:val="clear"/>
            <w:vAlign w:val="bottom"/>
          </w:tcPr>
          <w:p>
            <w:pPr>
              <w:pStyle w:val="TableContents"/>
              <w:spacing w:before="0" w:after="283"/>
              <w:jc w:val="right"/>
              <w:rPr>
                <w:rFonts w:ascii="Arial" w:hAnsi="Arial"/>
              </w:rPr>
            </w:pPr>
            <w:r>
              <w:rPr>
                <w:rFonts w:ascii="Arial" w:hAnsi="Arial"/>
              </w:rPr>
              <w:t>$</w:t>
            </w:r>
          </w:p>
        </w:tc>
        <w:tc>
          <w:tcPr>
            <w:tcW w:w="1231" w:type="dxa"/>
            <w:tcBorders/>
            <w:shd w:fill="FFFFFF" w:val="clear"/>
            <w:vAlign w:val="bottom"/>
          </w:tcPr>
          <w:p>
            <w:pPr>
              <w:pStyle w:val="TableContents"/>
              <w:spacing w:before="0" w:after="283"/>
              <w:jc w:val="right"/>
              <w:rPr>
                <w:rFonts w:ascii="Arial" w:hAnsi="Arial"/>
              </w:rPr>
            </w:pPr>
            <w:r>
              <w:rPr>
                <w:rFonts w:ascii="Arial" w:hAnsi="Arial"/>
              </w:rPr>
              <w:t>1,600</w:t>
            </w:r>
          </w:p>
        </w:tc>
        <w:tc>
          <w:tcPr>
            <w:tcW w:w="98" w:type="dxa"/>
            <w:tcBorders/>
            <w:shd w:fill="FFFFFF" w:val="clear"/>
            <w:vAlign w:val="center"/>
          </w:tcPr>
          <w:p>
            <w:pPr>
              <w:pStyle w:val="TableContents"/>
              <w:spacing w:before="0" w:after="283"/>
              <w:rPr/>
            </w:pPr>
            <w:r>
              <w:rPr/>
              <w:t> </w:t>
            </w:r>
          </w:p>
        </w:tc>
      </w:tr>
      <w:tr>
        <w:trPr/>
        <w:tc>
          <w:tcPr>
            <w:tcW w:w="586" w:type="dxa"/>
            <w:tcBorders/>
            <w:shd w:fill="FFFFFF" w:val="clear"/>
            <w:vAlign w:val="bottom"/>
          </w:tcPr>
          <w:p>
            <w:pPr>
              <w:pStyle w:val="TableContents"/>
              <w:spacing w:before="0" w:after="283"/>
              <w:jc w:val="left"/>
              <w:rPr/>
            </w:pPr>
            <w:r>
              <w:rPr/>
              <w:t>      </w:t>
            </w:r>
          </w:p>
        </w:tc>
        <w:tc>
          <w:tcPr>
            <w:tcW w:w="3701" w:type="dxa"/>
            <w:tcBorders/>
            <w:shd w:fill="FFFFFF" w:val="clear"/>
            <w:vAlign w:val="bottom"/>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pPr>
            <w:r>
              <w:rPr/>
              <w:t> </w:t>
            </w:r>
          </w:p>
        </w:tc>
        <w:tc>
          <w:tcPr>
            <w:tcW w:w="253" w:type="dxa"/>
            <w:tcBorders/>
            <w:shd w:fill="FFFFFF" w:val="clear"/>
            <w:vAlign w:val="center"/>
          </w:tcPr>
          <w:p>
            <w:pPr>
              <w:pStyle w:val="TableContents"/>
              <w:spacing w:before="0" w:after="283"/>
              <w:rPr/>
            </w:pPr>
            <w:r>
              <w:rPr/>
              <w:t> </w:t>
            </w:r>
          </w:p>
        </w:tc>
        <w:tc>
          <w:tcPr>
            <w:tcW w:w="1231"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252" w:type="dxa"/>
            <w:tcBorders/>
            <w:shd w:fill="FFFFFF" w:val="clear"/>
            <w:vAlign w:val="center"/>
          </w:tcPr>
          <w:p>
            <w:pPr>
              <w:pStyle w:val="TableContents"/>
              <w:spacing w:before="0" w:after="283"/>
              <w:rPr/>
            </w:pPr>
            <w:r>
              <w:rPr/>
              <w:t> </w:t>
            </w:r>
          </w:p>
        </w:tc>
        <w:tc>
          <w:tcPr>
            <w:tcW w:w="1231"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253" w:type="dxa"/>
            <w:tcBorders/>
            <w:shd w:fill="FFFFFF" w:val="clear"/>
            <w:vAlign w:val="center"/>
          </w:tcPr>
          <w:p>
            <w:pPr>
              <w:pStyle w:val="TableContents"/>
              <w:spacing w:before="0" w:after="283"/>
              <w:rPr/>
            </w:pPr>
            <w:r>
              <w:rPr/>
              <w:t> </w:t>
            </w:r>
          </w:p>
        </w:tc>
        <w:tc>
          <w:tcPr>
            <w:tcW w:w="1231" w:type="dxa"/>
            <w:tcBorders/>
            <w:shd w:fill="FFFFFF" w:val="clear"/>
            <w:vAlign w:val="center"/>
          </w:tcPr>
          <w:p>
            <w:pPr>
              <w:pStyle w:val="TableContents"/>
              <w:spacing w:before="0" w:after="283"/>
              <w:rPr/>
            </w:pPr>
            <w:r>
              <w:rPr/>
              <w:t> </w:t>
            </w:r>
          </w:p>
        </w:tc>
        <w:tc>
          <w:tcPr>
            <w:tcW w:w="98"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It is not possible to predict whether resolution values for Bendix related asbestos claims will increase, decrease or stabilize in the future.</w:t>
      </w:r>
    </w:p>
    <w:p>
      <w:pPr>
        <w:pStyle w:val="TextBody"/>
        <w:jc w:val="center"/>
        <w:rPr>
          <w:rFonts w:ascii="Arial" w:hAnsi="Arial"/>
        </w:rPr>
      </w:pPr>
      <w:r>
        <w:rPr>
          <w:rFonts w:ascii="Arial" w:hAnsi="Arial"/>
        </w:rPr>
        <w:t>80</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Our consolidated financial statements reflect an estimated liability for resolution of pending and future Bendix related abestos claims at December 31, 2006 of $528 million. Prior to December 2006, we only accrued for the estimated cost of pending Bendix related abestos claims as we could not reasonably estimate losses which could arise from future Bendix related abestos claims. Due to the steady three-year decline in the rate of Bendix related asbestos claims filed and reduced volatility in those rates, we believe that it is now possible to determine a reasonable estimate of the costs that will be incurred for claims filed over the next five years. Accordingly during the fourth quarter of 2006, we recorded a reserve of $335 million for the estimated cost of future Bendix related asbestos claims based on the number of pending claims at December 31, 2006, disease classifications, and expected resolution values and historic dismissal rates. Prior to December 2006, we have historically valued Bendix claims at the average resolution value of the previous five years. In December 2006, based on the Bendix related experience over the last five years we now believe that the average of the prior two years is a more accurate indicator of future resolution values, and accordingly, we have applied this two-year resolution value in calculating both the reserves for pending and future Bendix related asbestos claims. This change resulted in a reduction of $118 million in the reserve for pending Bendix claims in the fourth quarter of 2006. We will update the expected resolution values used to estimate the cost of pending and future Bendix claims during the fourth quarter each year.</w:t>
      </w:r>
    </w:p>
    <w:p>
      <w:pPr>
        <w:pStyle w:val="TextBody"/>
        <w:jc w:val="left"/>
        <w:rPr/>
      </w:pPr>
      <w:r>
        <w:rPr/>
        <w:t>      </w:t>
      </w:r>
      <w:r>
        <w:rPr>
          <w:rFonts w:ascii="Arial" w:hAnsi="Arial"/>
        </w:rPr>
        <w:t>The estimated liability for future claims represents the estimated value of future asbestos related bodily injury claims expected to be asserted against Bendix through 2011. In light of the uncertainties inherent in making long-term projections, as well as certain factors unique to friction product asbestos claims, we do not believe that we have a reasonable basis for estimating asbestos claims beyond 2011 under SFAS No. 5, “Accounting for Contingencies”. The estimate is based upon Bendix historical experience in the tort system for the two years ended December 31, 2006 with respect to claims filing and resolution. The methodology used to estimate the liability for future claims has been commonly accepted by numerous courts. It is substantially similar to that used to estimate the future NARCO related asbestos claims liability, with the exception that the valuation methodology for Bendix includes payment rates based on Bendix resolution history, rather than expected trust payment rates.</w:t>
      </w:r>
    </w:p>
    <w:p>
      <w:pPr>
        <w:pStyle w:val="TextBody"/>
        <w:jc w:val="left"/>
        <w:rPr/>
      </w:pPr>
      <w:r>
        <w:rPr/>
        <w:t>      </w:t>
      </w:r>
      <w:r>
        <w:rPr>
          <w:rFonts w:ascii="Arial" w:hAnsi="Arial"/>
        </w:rPr>
        <w:t>Honeywell currently has approximately $1.9 billion of insurance coverage remaining with respect to pending and potential future Bendix related asbestos claims, of which $302 and $377 million are reflected as receivables in our consolidated balance sheet at December 31, 2006 and 2005, respectively. This coverage is provided by a large number of insurance policies written by dozens of insurance companies in both the domestic insurance market and the London excess market. Insurance receivables are recorded in the financial statements simultaneous with the recording of the liability for the estimated value of the underlying asbestos claims. The amount of the insurance receivable recorded is based on our ongoing analysis of the insurance that we estimate is probable of recovery. This determination is based on our analysis of the underlying insurance policies, our historical experience with our insurers, our ongoing review of the solvency of our insurers, our interpretation of judicial determinations relevant to our insurance programs, and our consideration of the impacts of any settlements reached with our issuers. Insurance receivables are also recorded when structured insurance settlements provide for future fixed payment streams that are not contingent upon future claims or other events. Such amounts are recorded at the net present value of the fixed payment stream.</w:t>
      </w:r>
    </w:p>
    <w:p>
      <w:pPr>
        <w:pStyle w:val="TextBody"/>
        <w:jc w:val="left"/>
        <w:rPr/>
      </w:pPr>
      <w:r>
        <w:rPr/>
        <w:t>      </w:t>
      </w:r>
      <w:r>
        <w:rPr>
          <w:rFonts w:ascii="Arial" w:hAnsi="Arial"/>
        </w:rPr>
        <w:t>On a cumulative historical basis, Honeywell has recorded insurance receivables equal to approximately 50 percent of the value of the underlying asbestos claims recorded. However, because there are gaps in our coverage due to insurance company insolvencies, certain uninsured periods, and insurance settlements, this rate is expected to decline for any future Bendix 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w:t>
      </w:r>
    </w:p>
    <w:p>
      <w:pPr>
        <w:pStyle w:val="TextBody"/>
        <w:jc w:val="center"/>
        <w:rPr>
          <w:rFonts w:ascii="Arial" w:hAnsi="Arial"/>
        </w:rPr>
      </w:pPr>
      <w:r>
        <w:rPr>
          <w:rFonts w:ascii="Arial" w:hAnsi="Arial"/>
        </w:rPr>
        <w:t>81</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levels, we estimate that the cumulative recoverability rate could decline over the next five years to approximately 40 percent.</w:t>
      </w:r>
    </w:p>
    <w:p>
      <w:pPr>
        <w:pStyle w:val="TextBody"/>
        <w:jc w:val="left"/>
        <w:rPr/>
      </w:pPr>
      <w:r>
        <w:rPr/>
        <w:t>      </w:t>
      </w:r>
      <w:r>
        <w:rPr>
          <w:rFonts w:ascii="Arial" w:hAnsi="Arial"/>
        </w:rPr>
        <w:t>Honeywell believes it has sufficient insurance coverage and reserves to cover all pending Bendix related asbestos claims and Bendix related asbestos claims estimated to be filed within the next five years. Although it is impossible to predict the outcome of either pending or future Bendix 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 related asbestos claims to have a material adverse effect on our results of operations or operating cash flows in any fiscal year. No assurances can be given, however, that the Variable Claims Factors will not change.</w:t>
      </w:r>
    </w:p>
    <w:p>
      <w:pPr>
        <w:pStyle w:val="TextBody"/>
        <w:jc w:val="left"/>
        <w:rPr/>
      </w:pPr>
      <w:r>
        <w:rPr/>
        <w:t>      </w:t>
      </w:r>
      <w:r>
        <w:rPr>
          <w:rFonts w:ascii="Arial" w:hAnsi="Arial"/>
          <w:b/>
          <w:i/>
        </w:rPr>
        <w:t>Refractory and Friction Products—</w:t>
      </w:r>
      <w:r>
        <w:rPr>
          <w:rFonts w:ascii="Arial" w:hAnsi="Arial"/>
        </w:rPr>
        <w:t>The following tables summarize information concerning NARCO and Bendix asbestos related balances:</w:t>
      </w:r>
    </w:p>
    <w:p>
      <w:pPr>
        <w:pStyle w:val="TextBody"/>
        <w:jc w:val="left"/>
        <w:rPr>
          <w:rFonts w:ascii="Arial" w:hAnsi="Arial"/>
          <w:b/>
        </w:rPr>
      </w:pPr>
      <w:r>
        <w:rPr>
          <w:rFonts w:ascii="Arial" w:hAnsi="Arial"/>
          <w:b/>
        </w:rPr>
        <w:t>Asbestos Related Liabilities</w:t>
      </w:r>
    </w:p>
    <w:tbl>
      <w:tblPr>
        <w:tblW w:w="5000" w:type="pct"/>
        <w:jc w:val="left"/>
        <w:tblInd w:w="0" w:type="dxa"/>
        <w:tblCellMar>
          <w:top w:w="0" w:type="dxa"/>
          <w:left w:w="0" w:type="dxa"/>
          <w:bottom w:w="0" w:type="dxa"/>
          <w:right w:w="0" w:type="dxa"/>
        </w:tblCellMar>
      </w:tblPr>
      <w:tblGrid>
        <w:gridCol w:w="886"/>
        <w:gridCol w:w="240"/>
        <w:gridCol w:w="175"/>
        <w:gridCol w:w="534"/>
        <w:gridCol w:w="121"/>
        <w:gridCol w:w="251"/>
        <w:gridCol w:w="171"/>
        <w:gridCol w:w="659"/>
        <w:gridCol w:w="91"/>
        <w:gridCol w:w="251"/>
        <w:gridCol w:w="160"/>
        <w:gridCol w:w="382"/>
        <w:gridCol w:w="68"/>
        <w:gridCol w:w="240"/>
        <w:gridCol w:w="175"/>
        <w:gridCol w:w="533"/>
        <w:gridCol w:w="121"/>
        <w:gridCol w:w="251"/>
        <w:gridCol w:w="171"/>
        <w:gridCol w:w="659"/>
        <w:gridCol w:w="91"/>
        <w:gridCol w:w="251"/>
        <w:gridCol w:w="160"/>
        <w:gridCol w:w="382"/>
        <w:gridCol w:w="68"/>
        <w:gridCol w:w="240"/>
        <w:gridCol w:w="175"/>
        <w:gridCol w:w="534"/>
        <w:gridCol w:w="121"/>
        <w:gridCol w:w="251"/>
        <w:gridCol w:w="171"/>
        <w:gridCol w:w="659"/>
        <w:gridCol w:w="90"/>
        <w:gridCol w:w="251"/>
        <w:gridCol w:w="160"/>
        <w:gridCol w:w="382"/>
        <w:gridCol w:w="80"/>
      </w:tblGrid>
      <w:tr>
        <w:trPr/>
        <w:tc>
          <w:tcPr>
            <w:tcW w:w="88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863" w:type="dxa"/>
            <w:gridSpan w:val="11"/>
            <w:tcBorders/>
            <w:shd w:fill="FFFFFF" w:val="clear"/>
            <w:vAlign w:val="bottom"/>
          </w:tcPr>
          <w:p>
            <w:pPr>
              <w:pStyle w:val="TableContents"/>
              <w:spacing w:before="0" w:after="0"/>
              <w:jc w:val="center"/>
              <w:rPr>
                <w:rFonts w:ascii="Arial" w:hAnsi="Arial"/>
                <w:b/>
              </w:rPr>
            </w:pPr>
            <w:r>
              <w:rPr>
                <w:rFonts w:ascii="Arial" w:hAnsi="Arial"/>
                <w:b/>
              </w:rPr>
              <w:t>Year Ended December 31, 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862" w:type="dxa"/>
            <w:gridSpan w:val="11"/>
            <w:tcBorders/>
            <w:shd w:fill="FFFFFF" w:val="clear"/>
            <w:vAlign w:val="bottom"/>
          </w:tcPr>
          <w:p>
            <w:pPr>
              <w:pStyle w:val="TableContents"/>
              <w:spacing w:before="0" w:after="0"/>
              <w:jc w:val="center"/>
              <w:rPr>
                <w:rFonts w:ascii="Arial" w:hAnsi="Arial"/>
                <w:b/>
              </w:rPr>
            </w:pPr>
            <w:r>
              <w:rPr>
                <w:rFonts w:ascii="Arial" w:hAnsi="Arial"/>
                <w:b/>
              </w:rPr>
              <w:t>Year Ended December 31, 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874" w:type="dxa"/>
            <w:gridSpan w:val="11"/>
            <w:tcBorders/>
            <w:shd w:fill="FFFFFF" w:val="clear"/>
            <w:vAlign w:val="bottom"/>
          </w:tcPr>
          <w:p>
            <w:pPr>
              <w:pStyle w:val="TableContents"/>
              <w:spacing w:before="0" w:after="0"/>
              <w:jc w:val="center"/>
              <w:rPr>
                <w:rFonts w:ascii="Arial" w:hAnsi="Arial"/>
                <w:b/>
              </w:rPr>
            </w:pPr>
            <w:r>
              <w:rPr>
                <w:rFonts w:ascii="Arial" w:hAnsi="Arial"/>
                <w:b/>
              </w:rPr>
              <w:t>Year Ended December 31, 2004</w:t>
            </w:r>
          </w:p>
          <w:p>
            <w:pPr>
              <w:pStyle w:val="HorizontalLine"/>
              <w:pBdr>
                <w:bottom w:val="single" w:sz="6" w:space="0" w:color="000000"/>
              </w:pBdr>
              <w:spacing w:before="0" w:after="283"/>
              <w:rPr/>
            </w:pPr>
            <w:r>
              <w:rPr/>
            </w:r>
          </w:p>
        </w:tc>
      </w:tr>
      <w:tr>
        <w:trPr/>
        <w:tc>
          <w:tcPr>
            <w:tcW w:w="88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830" w:type="dxa"/>
            <w:gridSpan w:val="3"/>
            <w:tcBorders/>
            <w:shd w:fill="FFFFFF" w:val="clear"/>
            <w:vAlign w:val="bottom"/>
          </w:tcPr>
          <w:p>
            <w:pPr>
              <w:pStyle w:val="TableContents"/>
              <w:spacing w:before="0" w:after="0"/>
              <w:jc w:val="center"/>
              <w:rPr>
                <w:rFonts w:ascii="Arial" w:hAnsi="Arial"/>
                <w:b/>
              </w:rPr>
            </w:pPr>
            <w:r>
              <w:rPr>
                <w:rFonts w:ascii="Arial" w:hAnsi="Arial"/>
                <w:b/>
              </w:rPr>
              <w:t>Bendix</w:t>
            </w:r>
          </w:p>
          <w:p>
            <w:pPr>
              <w:pStyle w:val="HorizontalLine"/>
              <w:pBdr>
                <w:bottom w:val="single" w:sz="6" w:space="0" w:color="000000"/>
              </w:pBdr>
              <w:spacing w:before="0" w:after="283"/>
              <w:rPr/>
            </w:pPr>
            <w:r>
              <w:rPr/>
            </w:r>
          </w:p>
        </w:tc>
        <w:tc>
          <w:tcPr>
            <w:tcW w:w="251" w:type="dxa"/>
            <w:tcBorders/>
            <w:shd w:fill="FFFFFF" w:val="clear"/>
            <w:vAlign w:val="center"/>
          </w:tcPr>
          <w:p>
            <w:pPr>
              <w:pStyle w:val="TableContents"/>
              <w:spacing w:before="0" w:after="283"/>
              <w:rPr/>
            </w:pPr>
            <w:r>
              <w:rPr/>
              <w:t> </w:t>
            </w:r>
          </w:p>
        </w:tc>
        <w:tc>
          <w:tcPr>
            <w:tcW w:w="921" w:type="dxa"/>
            <w:gridSpan w:val="3"/>
            <w:tcBorders/>
            <w:shd w:fill="FFFFFF" w:val="clear"/>
            <w:vAlign w:val="bottom"/>
          </w:tcPr>
          <w:p>
            <w:pPr>
              <w:pStyle w:val="TableContents"/>
              <w:spacing w:before="0" w:after="0"/>
              <w:jc w:val="center"/>
              <w:rPr>
                <w:rFonts w:ascii="Arial" w:hAnsi="Arial"/>
                <w:b/>
              </w:rPr>
            </w:pPr>
            <w:r>
              <w:rPr>
                <w:rFonts w:ascii="Arial" w:hAnsi="Arial"/>
                <w:b/>
              </w:rPr>
              <w:t>NARCO</w:t>
            </w:r>
          </w:p>
          <w:p>
            <w:pPr>
              <w:pStyle w:val="HorizontalLine"/>
              <w:pBdr>
                <w:bottom w:val="single" w:sz="6" w:space="0" w:color="000000"/>
              </w:pBdr>
              <w:spacing w:before="0" w:after="283"/>
              <w:rPr/>
            </w:pPr>
            <w:r>
              <w:rPr/>
            </w:r>
          </w:p>
        </w:tc>
        <w:tc>
          <w:tcPr>
            <w:tcW w:w="251" w:type="dxa"/>
            <w:tcBorders/>
            <w:shd w:fill="FFFFFF" w:val="clear"/>
            <w:vAlign w:val="center"/>
          </w:tcPr>
          <w:p>
            <w:pPr>
              <w:pStyle w:val="TableContents"/>
              <w:spacing w:before="0" w:after="283"/>
              <w:rPr/>
            </w:pPr>
            <w:r>
              <w:rPr/>
              <w:t> </w:t>
            </w:r>
          </w:p>
        </w:tc>
        <w:tc>
          <w:tcPr>
            <w:tcW w:w="610"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29" w:type="dxa"/>
            <w:gridSpan w:val="3"/>
            <w:tcBorders/>
            <w:shd w:fill="FFFFFF" w:val="clear"/>
            <w:vAlign w:val="bottom"/>
          </w:tcPr>
          <w:p>
            <w:pPr>
              <w:pStyle w:val="TableContents"/>
              <w:spacing w:before="0" w:after="0"/>
              <w:jc w:val="center"/>
              <w:rPr>
                <w:rFonts w:ascii="Arial" w:hAnsi="Arial"/>
                <w:b/>
              </w:rPr>
            </w:pPr>
            <w:r>
              <w:rPr>
                <w:rFonts w:ascii="Arial" w:hAnsi="Arial"/>
                <w:b/>
              </w:rPr>
              <w:t>Bendix</w:t>
            </w:r>
          </w:p>
          <w:p>
            <w:pPr>
              <w:pStyle w:val="HorizontalLine"/>
              <w:pBdr>
                <w:bottom w:val="single" w:sz="6" w:space="0" w:color="000000"/>
              </w:pBdr>
              <w:spacing w:before="0" w:after="283"/>
              <w:rPr/>
            </w:pPr>
            <w:r>
              <w:rPr/>
            </w:r>
          </w:p>
        </w:tc>
        <w:tc>
          <w:tcPr>
            <w:tcW w:w="251" w:type="dxa"/>
            <w:tcBorders/>
            <w:shd w:fill="FFFFFF" w:val="clear"/>
            <w:vAlign w:val="center"/>
          </w:tcPr>
          <w:p>
            <w:pPr>
              <w:pStyle w:val="TableContents"/>
              <w:spacing w:before="0" w:after="283"/>
              <w:rPr/>
            </w:pPr>
            <w:r>
              <w:rPr/>
              <w:t> </w:t>
            </w:r>
          </w:p>
        </w:tc>
        <w:tc>
          <w:tcPr>
            <w:tcW w:w="921" w:type="dxa"/>
            <w:gridSpan w:val="3"/>
            <w:tcBorders/>
            <w:shd w:fill="FFFFFF" w:val="clear"/>
            <w:vAlign w:val="bottom"/>
          </w:tcPr>
          <w:p>
            <w:pPr>
              <w:pStyle w:val="TableContents"/>
              <w:spacing w:before="0" w:after="0"/>
              <w:jc w:val="center"/>
              <w:rPr>
                <w:rFonts w:ascii="Arial" w:hAnsi="Arial"/>
                <w:b/>
              </w:rPr>
            </w:pPr>
            <w:r>
              <w:rPr>
                <w:rFonts w:ascii="Arial" w:hAnsi="Arial"/>
                <w:b/>
              </w:rPr>
              <w:t>NARCO</w:t>
            </w:r>
          </w:p>
          <w:p>
            <w:pPr>
              <w:pStyle w:val="HorizontalLine"/>
              <w:pBdr>
                <w:bottom w:val="single" w:sz="6" w:space="0" w:color="000000"/>
              </w:pBdr>
              <w:spacing w:before="0" w:after="283"/>
              <w:rPr/>
            </w:pPr>
            <w:r>
              <w:rPr/>
            </w:r>
          </w:p>
        </w:tc>
        <w:tc>
          <w:tcPr>
            <w:tcW w:w="251" w:type="dxa"/>
            <w:tcBorders/>
            <w:shd w:fill="FFFFFF" w:val="clear"/>
            <w:vAlign w:val="center"/>
          </w:tcPr>
          <w:p>
            <w:pPr>
              <w:pStyle w:val="TableContents"/>
              <w:spacing w:before="0" w:after="283"/>
              <w:rPr/>
            </w:pPr>
            <w:r>
              <w:rPr/>
              <w:t> </w:t>
            </w:r>
          </w:p>
        </w:tc>
        <w:tc>
          <w:tcPr>
            <w:tcW w:w="610"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30" w:type="dxa"/>
            <w:gridSpan w:val="3"/>
            <w:tcBorders/>
            <w:shd w:fill="FFFFFF" w:val="clear"/>
            <w:vAlign w:val="bottom"/>
          </w:tcPr>
          <w:p>
            <w:pPr>
              <w:pStyle w:val="TableContents"/>
              <w:spacing w:before="0" w:after="0"/>
              <w:jc w:val="center"/>
              <w:rPr>
                <w:rFonts w:ascii="Arial" w:hAnsi="Arial"/>
                <w:b/>
              </w:rPr>
            </w:pPr>
            <w:r>
              <w:rPr>
                <w:rFonts w:ascii="Arial" w:hAnsi="Arial"/>
                <w:b/>
              </w:rPr>
              <w:t>Bendix</w:t>
            </w:r>
          </w:p>
          <w:p>
            <w:pPr>
              <w:pStyle w:val="HorizontalLine"/>
              <w:pBdr>
                <w:bottom w:val="single" w:sz="6" w:space="0" w:color="000000"/>
              </w:pBdr>
              <w:spacing w:before="0" w:after="283"/>
              <w:rPr/>
            </w:pPr>
            <w:r>
              <w:rPr/>
            </w:r>
          </w:p>
        </w:tc>
        <w:tc>
          <w:tcPr>
            <w:tcW w:w="251" w:type="dxa"/>
            <w:tcBorders/>
            <w:shd w:fill="FFFFFF" w:val="clear"/>
            <w:vAlign w:val="center"/>
          </w:tcPr>
          <w:p>
            <w:pPr>
              <w:pStyle w:val="TableContents"/>
              <w:spacing w:before="0" w:after="283"/>
              <w:rPr/>
            </w:pPr>
            <w:r>
              <w:rPr/>
              <w:t> </w:t>
            </w:r>
          </w:p>
        </w:tc>
        <w:tc>
          <w:tcPr>
            <w:tcW w:w="920" w:type="dxa"/>
            <w:gridSpan w:val="3"/>
            <w:tcBorders/>
            <w:shd w:fill="FFFFFF" w:val="clear"/>
            <w:vAlign w:val="bottom"/>
          </w:tcPr>
          <w:p>
            <w:pPr>
              <w:pStyle w:val="TableContents"/>
              <w:spacing w:before="0" w:after="0"/>
              <w:jc w:val="center"/>
              <w:rPr>
                <w:rFonts w:ascii="Arial" w:hAnsi="Arial"/>
                <w:b/>
              </w:rPr>
            </w:pPr>
            <w:r>
              <w:rPr>
                <w:rFonts w:ascii="Arial" w:hAnsi="Arial"/>
                <w:b/>
              </w:rPr>
              <w:t>NARCO</w:t>
            </w:r>
          </w:p>
          <w:p>
            <w:pPr>
              <w:pStyle w:val="HorizontalLine"/>
              <w:pBdr>
                <w:bottom w:val="single" w:sz="6" w:space="0" w:color="000000"/>
              </w:pBdr>
              <w:spacing w:before="0" w:after="283"/>
              <w:rPr/>
            </w:pPr>
            <w:r>
              <w:rPr/>
            </w:r>
          </w:p>
        </w:tc>
        <w:tc>
          <w:tcPr>
            <w:tcW w:w="251" w:type="dxa"/>
            <w:tcBorders/>
            <w:shd w:fill="FFFFFF" w:val="clear"/>
            <w:vAlign w:val="center"/>
          </w:tcPr>
          <w:p>
            <w:pPr>
              <w:pStyle w:val="TableContents"/>
              <w:spacing w:before="0" w:after="283"/>
              <w:rPr/>
            </w:pPr>
            <w:r>
              <w:rPr/>
              <w:t> </w:t>
            </w:r>
          </w:p>
        </w:tc>
        <w:tc>
          <w:tcPr>
            <w:tcW w:w="622"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r>
      <w:tr>
        <w:trPr/>
        <w:tc>
          <w:tcPr>
            <w:tcW w:w="886" w:type="dxa"/>
            <w:tcBorders/>
            <w:shd w:fill="E5FFFF" w:val="clear"/>
            <w:vAlign w:val="bottom"/>
          </w:tcPr>
          <w:p>
            <w:pPr>
              <w:pStyle w:val="TableContents"/>
              <w:spacing w:before="0" w:after="283"/>
              <w:jc w:val="left"/>
              <w:rPr>
                <w:rFonts w:ascii="Arial" w:hAnsi="Arial"/>
                <w:sz w:val="14"/>
              </w:rPr>
            </w:pPr>
            <w:r>
              <w:rPr>
                <w:rFonts w:ascii="Arial" w:hAnsi="Arial"/>
                <w:sz w:val="14"/>
              </w:rPr>
              <w:t>Beginning of year</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287</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1,782</w:t>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2,069</w:t>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33" w:type="dxa"/>
            <w:tcBorders/>
            <w:shd w:fill="E5FFFF" w:val="clear"/>
            <w:vAlign w:val="bottom"/>
          </w:tcPr>
          <w:p>
            <w:pPr>
              <w:pStyle w:val="TableContents"/>
              <w:spacing w:before="0" w:after="283"/>
              <w:jc w:val="right"/>
              <w:rPr>
                <w:rFonts w:ascii="Arial" w:hAnsi="Arial"/>
                <w:sz w:val="14"/>
              </w:rPr>
            </w:pPr>
            <w:r>
              <w:rPr>
                <w:rFonts w:ascii="Arial" w:hAnsi="Arial"/>
                <w:sz w:val="14"/>
              </w:rPr>
              <w:t>355</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2,395</w:t>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2,750</w:t>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249</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2,760</w:t>
            </w:r>
          </w:p>
        </w:tc>
        <w:tc>
          <w:tcPr>
            <w:tcW w:w="90"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3,009</w:t>
            </w:r>
          </w:p>
        </w:tc>
        <w:tc>
          <w:tcPr>
            <w:tcW w:w="80" w:type="dxa"/>
            <w:tcBorders/>
            <w:shd w:fill="E5FFFF" w:val="clear"/>
            <w:vAlign w:val="center"/>
          </w:tcPr>
          <w:p>
            <w:pPr>
              <w:pStyle w:val="TableContents"/>
              <w:spacing w:before="0" w:after="283"/>
              <w:rPr/>
            </w:pPr>
            <w:r>
              <w:rPr/>
              <w:t> </w:t>
            </w:r>
          </w:p>
        </w:tc>
      </w:tr>
      <w:tr>
        <w:trPr/>
        <w:tc>
          <w:tcPr>
            <w:tcW w:w="886" w:type="dxa"/>
            <w:tcBorders/>
            <w:shd w:fill="FFFFFF" w:val="clear"/>
            <w:vAlign w:val="bottom"/>
          </w:tcPr>
          <w:p>
            <w:pPr>
              <w:pStyle w:val="TableContents"/>
              <w:spacing w:before="0" w:after="283"/>
              <w:jc w:val="left"/>
              <w:rPr>
                <w:rFonts w:ascii="Arial" w:hAnsi="Arial"/>
                <w:sz w:val="14"/>
              </w:rPr>
            </w:pPr>
            <w:r>
              <w:rPr>
                <w:rFonts w:ascii="Arial" w:hAnsi="Arial"/>
                <w:sz w:val="14"/>
              </w:rPr>
              <w:t>Accrual for claims filed and defense costs incurred</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125</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125</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rFonts w:ascii="Arial" w:hAnsi="Arial"/>
                <w:sz w:val="14"/>
              </w:rPr>
            </w:pPr>
            <w:r>
              <w:rPr>
                <w:rFonts w:ascii="Arial" w:hAnsi="Arial"/>
                <w:sz w:val="14"/>
              </w:rPr>
              <w:t>170</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170</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186</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0"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186</w:t>
            </w:r>
          </w:p>
        </w:tc>
        <w:tc>
          <w:tcPr>
            <w:tcW w:w="80" w:type="dxa"/>
            <w:tcBorders/>
            <w:shd w:fill="FFFFFF" w:val="clear"/>
            <w:vAlign w:val="center"/>
          </w:tcPr>
          <w:p>
            <w:pPr>
              <w:pStyle w:val="TableContents"/>
              <w:spacing w:before="0" w:after="283"/>
              <w:rPr/>
            </w:pPr>
            <w:r>
              <w:rPr/>
              <w:t> </w:t>
            </w:r>
          </w:p>
        </w:tc>
      </w:tr>
      <w:tr>
        <w:trPr/>
        <w:tc>
          <w:tcPr>
            <w:tcW w:w="886" w:type="dxa"/>
            <w:tcBorders/>
            <w:shd w:fill="E5FFFF" w:val="clear"/>
            <w:vAlign w:val="bottom"/>
          </w:tcPr>
          <w:p>
            <w:pPr>
              <w:pStyle w:val="TableContents"/>
              <w:spacing w:before="0" w:after="283"/>
              <w:jc w:val="left"/>
              <w:rPr>
                <w:rFonts w:ascii="Arial" w:hAnsi="Arial"/>
                <w:sz w:val="14"/>
              </w:rPr>
            </w:pPr>
            <w:r>
              <w:rPr>
                <w:rFonts w:ascii="Arial" w:hAnsi="Arial"/>
                <w:sz w:val="14"/>
              </w:rPr>
              <w:t>Accrual for estimated cost of future claims</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335</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335</w:t>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pPr>
            <w:r>
              <w:rPr/>
              <w:t>—</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pPr>
            <w:r>
              <w:rPr/>
              <w:t>—</w:t>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pPr>
            <w:r>
              <w:rPr/>
              <w:t>—</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0"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pPr>
            <w:r>
              <w:rPr/>
              <w:t>—</w:t>
            </w:r>
          </w:p>
        </w:tc>
        <w:tc>
          <w:tcPr>
            <w:tcW w:w="80" w:type="dxa"/>
            <w:tcBorders/>
            <w:shd w:fill="E5FFFF" w:val="clear"/>
            <w:vAlign w:val="center"/>
          </w:tcPr>
          <w:p>
            <w:pPr>
              <w:pStyle w:val="TableContents"/>
              <w:spacing w:before="0" w:after="283"/>
              <w:rPr/>
            </w:pPr>
            <w:r>
              <w:rPr/>
              <w:t> </w:t>
            </w:r>
          </w:p>
        </w:tc>
      </w:tr>
      <w:tr>
        <w:trPr/>
        <w:tc>
          <w:tcPr>
            <w:tcW w:w="886" w:type="dxa"/>
            <w:tcBorders/>
            <w:shd w:fill="FFFFFF" w:val="clear"/>
            <w:vAlign w:val="bottom"/>
          </w:tcPr>
          <w:p>
            <w:pPr>
              <w:pStyle w:val="TableContents"/>
              <w:spacing w:before="0" w:after="283"/>
              <w:jc w:val="left"/>
              <w:rPr>
                <w:rFonts w:ascii="Arial" w:hAnsi="Arial"/>
                <w:sz w:val="14"/>
              </w:rPr>
            </w:pPr>
            <w:r>
              <w:rPr>
                <w:rFonts w:ascii="Arial" w:hAnsi="Arial"/>
                <w:sz w:val="14"/>
              </w:rPr>
              <w:t>Reduction in estimated cost of future claims</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(207</w:t>
            </w:r>
          </w:p>
        </w:tc>
        <w:tc>
          <w:tcPr>
            <w:tcW w:w="9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(207</w:t>
            </w:r>
          </w:p>
        </w:tc>
        <w:tc>
          <w:tcPr>
            <w:tcW w:w="68"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pPr>
            <w:r>
              <w:rPr/>
              <w:t>—</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0"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886" w:type="dxa"/>
            <w:tcBorders/>
            <w:shd w:fill="E5FFFF" w:val="clear"/>
            <w:vAlign w:val="bottom"/>
          </w:tcPr>
          <w:p>
            <w:pPr>
              <w:pStyle w:val="TableContents"/>
              <w:spacing w:before="0" w:after="283"/>
              <w:jc w:val="left"/>
              <w:rPr>
                <w:rFonts w:ascii="Arial" w:hAnsi="Arial"/>
                <w:sz w:val="14"/>
              </w:rPr>
            </w:pPr>
            <w:r>
              <w:rPr>
                <w:rFonts w:ascii="Arial" w:hAnsi="Arial"/>
                <w:sz w:val="14"/>
              </w:rPr>
              <w:t>Asbestos related liability payments</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(103</w:t>
            </w:r>
          </w:p>
        </w:tc>
        <w:tc>
          <w:tcPr>
            <w:tcW w:w="12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(316</w:t>
            </w:r>
          </w:p>
        </w:tc>
        <w:tc>
          <w:tcPr>
            <w:tcW w:w="9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(419</w:t>
            </w:r>
          </w:p>
        </w:tc>
        <w:tc>
          <w:tcPr>
            <w:tcW w:w="6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sz w:val="14"/>
              </w:rPr>
            </w:pPr>
            <w:r>
              <w:rPr>
                <w:rFonts w:ascii="Arial" w:hAnsi="Arial"/>
                <w:sz w:val="14"/>
              </w:rPr>
              <w:t>(153</w:t>
            </w:r>
          </w:p>
        </w:tc>
        <w:tc>
          <w:tcPr>
            <w:tcW w:w="12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(597</w:t>
            </w:r>
          </w:p>
        </w:tc>
        <w:tc>
          <w:tcPr>
            <w:tcW w:w="9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(750</w:t>
            </w:r>
          </w:p>
        </w:tc>
        <w:tc>
          <w:tcPr>
            <w:tcW w:w="6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(153</w:t>
            </w:r>
          </w:p>
        </w:tc>
        <w:tc>
          <w:tcPr>
            <w:tcW w:w="12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(365</w:t>
            </w:r>
          </w:p>
        </w:tc>
        <w:tc>
          <w:tcPr>
            <w:tcW w:w="90"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(518</w:t>
            </w:r>
          </w:p>
        </w:tc>
        <w:tc>
          <w:tcPr>
            <w:tcW w:w="80"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886" w:type="dxa"/>
            <w:tcBorders/>
            <w:shd w:fill="FFFFFF" w:val="clear"/>
            <w:vAlign w:val="bottom"/>
          </w:tcPr>
          <w:p>
            <w:pPr>
              <w:pStyle w:val="TableContents"/>
              <w:spacing w:before="0" w:after="283"/>
              <w:jc w:val="left"/>
              <w:rPr>
                <w:rFonts w:ascii="Arial" w:hAnsi="Arial"/>
                <w:sz w:val="14"/>
              </w:rPr>
            </w:pPr>
            <w:r>
              <w:rPr>
                <w:rFonts w:ascii="Arial" w:hAnsi="Arial"/>
                <w:sz w:val="14"/>
              </w:rPr>
              <w:t>Settlement with plaintiff firms of certain pending asbestos claims(1)</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32</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32</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(21</w:t>
            </w:r>
          </w:p>
        </w:tc>
        <w:tc>
          <w:tcPr>
            <w:tcW w:w="91"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(21</w:t>
            </w:r>
          </w:p>
        </w:tc>
        <w:tc>
          <w:tcPr>
            <w:tcW w:w="68"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0"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886" w:type="dxa"/>
            <w:tcBorders/>
            <w:shd w:fill="E5FFFF" w:val="clear"/>
            <w:vAlign w:val="bottom"/>
          </w:tcPr>
          <w:p>
            <w:pPr>
              <w:pStyle w:val="TableContents"/>
              <w:spacing w:before="0" w:after="283"/>
              <w:jc w:val="left"/>
              <w:rPr>
                <w:rFonts w:ascii="Arial" w:hAnsi="Arial"/>
                <w:sz w:val="14"/>
              </w:rPr>
            </w:pPr>
            <w:r>
              <w:rPr>
                <w:rFonts w:ascii="Arial" w:hAnsi="Arial"/>
                <w:sz w:val="14"/>
              </w:rPr>
              <w:t>Update of expected resolution values for pending claims</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(118</w:t>
            </w:r>
          </w:p>
        </w:tc>
        <w:tc>
          <w:tcPr>
            <w:tcW w:w="12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(118</w:t>
            </w:r>
          </w:p>
        </w:tc>
        <w:tc>
          <w:tcPr>
            <w:tcW w:w="6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TableContents"/>
              <w:spacing w:before="0" w:after="283"/>
              <w:jc w:val="right"/>
              <w:rPr>
                <w:rFonts w:ascii="Arial" w:hAnsi="Arial"/>
                <w:sz w:val="14"/>
              </w:rPr>
            </w:pPr>
            <w:r>
              <w:rPr>
                <w:rFonts w:ascii="Arial" w:hAnsi="Arial"/>
                <w:sz w:val="14"/>
              </w:rPr>
              <w:t>(85</w:t>
            </w:r>
          </w:p>
        </w:tc>
        <w:tc>
          <w:tcPr>
            <w:tcW w:w="12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(85</w:t>
            </w:r>
          </w:p>
        </w:tc>
        <w:tc>
          <w:tcPr>
            <w:tcW w:w="6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73</w:t>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0"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TableContents"/>
              <w:spacing w:before="0" w:after="283"/>
              <w:jc w:val="right"/>
              <w:rPr>
                <w:rFonts w:ascii="Arial" w:hAnsi="Arial"/>
                <w:sz w:val="14"/>
              </w:rPr>
            </w:pPr>
            <w:r>
              <w:rPr>
                <w:rFonts w:ascii="Arial" w:hAnsi="Arial"/>
                <w:sz w:val="14"/>
              </w:rPr>
              <w:t>73</w:t>
            </w:r>
          </w:p>
        </w:tc>
        <w:tc>
          <w:tcPr>
            <w:tcW w:w="80" w:type="dxa"/>
            <w:tcBorders/>
            <w:shd w:fill="E5FFFF" w:val="clear"/>
            <w:vAlign w:val="center"/>
          </w:tcPr>
          <w:p>
            <w:pPr>
              <w:pStyle w:val="TableContents"/>
              <w:spacing w:before="0" w:after="283"/>
              <w:rPr/>
            </w:pPr>
            <w:r>
              <w:rPr/>
              <w:t> </w:t>
            </w:r>
          </w:p>
        </w:tc>
      </w:tr>
      <w:tr>
        <w:trPr/>
        <w:tc>
          <w:tcPr>
            <w:tcW w:w="886" w:type="dxa"/>
            <w:tcBorders/>
            <w:shd w:fill="FFFFFF" w:val="clear"/>
            <w:vAlign w:val="bottom"/>
          </w:tcPr>
          <w:p>
            <w:pPr>
              <w:pStyle w:val="TableContents"/>
              <w:spacing w:before="0" w:after="283"/>
              <w:jc w:val="left"/>
              <w:rPr>
                <w:rFonts w:ascii="Arial" w:hAnsi="Arial"/>
                <w:sz w:val="14"/>
              </w:rPr>
            </w:pPr>
            <w:r>
              <w:rPr>
                <w:rFonts w:ascii="Arial" w:hAnsi="Arial"/>
                <w:sz w:val="14"/>
              </w:rPr>
              <w:t>Other</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2</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2</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3"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5</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5</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pPr>
            <w:r>
              <w:rPr/>
              <w:t>—</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0"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bottom"/>
          </w:tcPr>
          <w:p>
            <w:pPr>
              <w:pStyle w:val="TableContents"/>
              <w:spacing w:before="0" w:after="283"/>
              <w:jc w:val="right"/>
              <w:rPr/>
            </w:pPr>
            <w:r>
              <w:rPr/>
              <w:t>—</w:t>
            </w:r>
          </w:p>
        </w:tc>
        <w:tc>
          <w:tcPr>
            <w:tcW w:w="80" w:type="dxa"/>
            <w:tcBorders/>
            <w:shd w:fill="FFFFFF" w:val="clear"/>
            <w:vAlign w:val="center"/>
          </w:tcPr>
          <w:p>
            <w:pPr>
              <w:pStyle w:val="TableContents"/>
              <w:spacing w:before="0" w:after="283"/>
              <w:rPr/>
            </w:pPr>
            <w:r>
              <w:rPr/>
              <w:t> </w:t>
            </w:r>
          </w:p>
        </w:tc>
      </w:tr>
      <w:tr>
        <w:trPr/>
        <w:tc>
          <w:tcPr>
            <w:tcW w:w="88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HorizontalLine"/>
              <w:pBdr>
                <w:bottom w:val="single" w:sz="6" w:space="0" w:color="000000"/>
              </w:pBdr>
              <w:spacing w:before="0" w:after="283"/>
              <w:rPr/>
            </w:pPr>
            <w:r>
              <w:rPr/>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HorizontalLine"/>
              <w:pBdr>
                <w:bottom w:val="single" w:sz="6" w:space="0" w:color="000000"/>
              </w:pBdr>
              <w:spacing w:before="0" w:after="283"/>
              <w:rPr/>
            </w:pPr>
            <w:r>
              <w:rPr/>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HorizontalLine"/>
              <w:pBdr>
                <w:bottom w:val="single" w:sz="6" w:space="0" w:color="000000"/>
              </w:pBdr>
              <w:spacing w:before="0" w:after="283"/>
              <w:rPr/>
            </w:pPr>
            <w:r>
              <w:rPr/>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6" w:space="0" w:color="000000"/>
              </w:pBdr>
              <w:spacing w:before="0" w:after="283"/>
              <w:rPr/>
            </w:pPr>
            <w:r>
              <w:rPr/>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HorizontalLine"/>
              <w:pBdr>
                <w:bottom w:val="single" w:sz="6" w:space="0" w:color="000000"/>
              </w:pBdr>
              <w:spacing w:before="0" w:after="283"/>
              <w:rPr/>
            </w:pPr>
            <w:r>
              <w:rPr/>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HorizontalLine"/>
              <w:pBdr>
                <w:bottom w:val="single" w:sz="6" w:space="0" w:color="000000"/>
              </w:pBdr>
              <w:spacing w:before="0" w:after="283"/>
              <w:rPr/>
            </w:pPr>
            <w:r>
              <w:rPr/>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HorizontalLine"/>
              <w:pBdr>
                <w:bottom w:val="single" w:sz="6" w:space="0" w:color="000000"/>
              </w:pBdr>
              <w:spacing w:before="0" w:after="283"/>
              <w:rPr/>
            </w:pPr>
            <w:r>
              <w:rPr/>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HorizontalLine"/>
              <w:pBdr>
                <w:bottom w:val="single" w:sz="6" w:space="0" w:color="000000"/>
              </w:pBdr>
              <w:spacing w:before="0" w:after="283"/>
              <w:rPr/>
            </w:pPr>
            <w:r>
              <w:rPr/>
            </w:r>
          </w:p>
        </w:tc>
        <w:tc>
          <w:tcPr>
            <w:tcW w:w="90"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HorizontalLine"/>
              <w:pBdr>
                <w:bottom w:val="single" w:sz="6" w:space="0" w:color="000000"/>
              </w:pBdr>
              <w:spacing w:before="0" w:after="283"/>
              <w:rPr/>
            </w:pPr>
            <w:r>
              <w:rPr/>
            </w:r>
          </w:p>
        </w:tc>
        <w:tc>
          <w:tcPr>
            <w:tcW w:w="80" w:type="dxa"/>
            <w:tcBorders/>
            <w:shd w:fill="E5FFFF" w:val="clear"/>
            <w:vAlign w:val="center"/>
          </w:tcPr>
          <w:p>
            <w:pPr>
              <w:pStyle w:val="TableContents"/>
              <w:spacing w:before="0" w:after="283"/>
              <w:rPr/>
            </w:pPr>
            <w:r>
              <w:rPr/>
              <w:t> </w:t>
            </w:r>
          </w:p>
        </w:tc>
      </w:tr>
      <w:tr>
        <w:trPr/>
        <w:tc>
          <w:tcPr>
            <w:tcW w:w="886" w:type="dxa"/>
            <w:tcBorders/>
            <w:shd w:fill="FFFFFF" w:val="clear"/>
            <w:vAlign w:val="bottom"/>
          </w:tcPr>
          <w:p>
            <w:pPr>
              <w:pStyle w:val="TableContents"/>
              <w:spacing w:before="0" w:after="283"/>
              <w:jc w:val="left"/>
              <w:rPr>
                <w:rFonts w:ascii="Arial" w:hAnsi="Arial"/>
                <w:sz w:val="14"/>
              </w:rPr>
            </w:pPr>
            <w:r>
              <w:rPr>
                <w:rFonts w:ascii="Arial" w:hAnsi="Arial"/>
                <w:sz w:val="14"/>
              </w:rPr>
              <w:t>End of year</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528</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1,291</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1,819</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33" w:type="dxa"/>
            <w:tcBorders/>
            <w:shd w:fill="FFFFFF" w:val="clear"/>
            <w:vAlign w:val="bottom"/>
          </w:tcPr>
          <w:p>
            <w:pPr>
              <w:pStyle w:val="TableContents"/>
              <w:spacing w:before="0" w:after="283"/>
              <w:jc w:val="right"/>
              <w:rPr>
                <w:rFonts w:ascii="Arial" w:hAnsi="Arial"/>
                <w:sz w:val="14"/>
              </w:rPr>
            </w:pPr>
            <w:r>
              <w:rPr>
                <w:rFonts w:ascii="Arial" w:hAnsi="Arial"/>
                <w:sz w:val="14"/>
              </w:rPr>
              <w:t>287</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1,782</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2,069</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355</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2,395</w:t>
            </w:r>
          </w:p>
        </w:tc>
        <w:tc>
          <w:tcPr>
            <w:tcW w:w="90" w:type="dxa"/>
            <w:tcBorders/>
            <w:shd w:fill="FFFFFF" w:val="clear"/>
            <w:vAlign w:val="center"/>
          </w:tcPr>
          <w:p>
            <w:pPr>
              <w:pStyle w:val="TableContents"/>
              <w:spacing w:before="0" w:after="283"/>
              <w:rPr/>
            </w:pPr>
            <w:r>
              <w:rPr/>
              <w:t> </w:t>
            </w:r>
          </w:p>
        </w:tc>
        <w:tc>
          <w:tcPr>
            <w:tcW w:w="251"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82" w:type="dxa"/>
            <w:tcBorders/>
            <w:shd w:fill="FFFFFF" w:val="clear"/>
            <w:vAlign w:val="bottom"/>
          </w:tcPr>
          <w:p>
            <w:pPr>
              <w:pStyle w:val="TableContents"/>
              <w:spacing w:before="0" w:after="283"/>
              <w:jc w:val="right"/>
              <w:rPr>
                <w:rFonts w:ascii="Arial" w:hAnsi="Arial"/>
                <w:sz w:val="14"/>
              </w:rPr>
            </w:pPr>
            <w:r>
              <w:rPr>
                <w:rFonts w:ascii="Arial" w:hAnsi="Arial"/>
                <w:sz w:val="14"/>
              </w:rPr>
              <w:t>2,750</w:t>
            </w:r>
          </w:p>
        </w:tc>
        <w:tc>
          <w:tcPr>
            <w:tcW w:w="80" w:type="dxa"/>
            <w:tcBorders/>
            <w:shd w:fill="FFFFFF" w:val="clear"/>
            <w:vAlign w:val="center"/>
          </w:tcPr>
          <w:p>
            <w:pPr>
              <w:pStyle w:val="TableContents"/>
              <w:spacing w:before="0" w:after="283"/>
              <w:rPr/>
            </w:pPr>
            <w:r>
              <w:rPr/>
              <w:t> </w:t>
            </w:r>
          </w:p>
        </w:tc>
      </w:tr>
      <w:tr>
        <w:trPr/>
        <w:tc>
          <w:tcPr>
            <w:tcW w:w="88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HorizontalLine"/>
              <w:pBdr>
                <w:bottom w:val="single" w:sz="18" w:space="0" w:color="000000"/>
              </w:pBdr>
              <w:spacing w:before="0" w:after="283"/>
              <w:rPr/>
            </w:pPr>
            <w:r>
              <w:rPr/>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HorizontalLine"/>
              <w:pBdr>
                <w:bottom w:val="single" w:sz="18" w:space="0" w:color="000000"/>
              </w:pBdr>
              <w:spacing w:before="0" w:after="283"/>
              <w:rPr/>
            </w:pPr>
            <w:r>
              <w:rPr/>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HorizontalLine"/>
              <w:pBdr>
                <w:bottom w:val="single" w:sz="18" w:space="0" w:color="000000"/>
              </w:pBdr>
              <w:spacing w:before="0" w:after="283"/>
              <w:rPr/>
            </w:pPr>
            <w:r>
              <w:rPr/>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3" w:type="dxa"/>
            <w:tcBorders/>
            <w:shd w:fill="E5FFFF" w:val="clear"/>
            <w:vAlign w:val="bottom"/>
          </w:tcPr>
          <w:p>
            <w:pPr>
              <w:pStyle w:val="HorizontalLine"/>
              <w:pBdr>
                <w:bottom w:val="single" w:sz="18" w:space="0" w:color="000000"/>
              </w:pBdr>
              <w:spacing w:before="0" w:after="283"/>
              <w:rPr/>
            </w:pPr>
            <w:r>
              <w:rPr/>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HorizontalLine"/>
              <w:pBdr>
                <w:bottom w:val="single" w:sz="18" w:space="0" w:color="000000"/>
              </w:pBdr>
              <w:spacing w:before="0" w:after="283"/>
              <w:rPr/>
            </w:pPr>
            <w:r>
              <w:rPr/>
            </w:r>
          </w:p>
        </w:tc>
        <w:tc>
          <w:tcPr>
            <w:tcW w:w="9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HorizontalLine"/>
              <w:pBdr>
                <w:bottom w:val="single" w:sz="18" w:space="0" w:color="000000"/>
              </w:pBdr>
              <w:spacing w:before="0" w:after="283"/>
              <w:rPr/>
            </w:pPr>
            <w:r>
              <w:rPr/>
            </w:r>
          </w:p>
        </w:tc>
        <w:tc>
          <w:tcPr>
            <w:tcW w:w="68"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HorizontalLine"/>
              <w:pBdr>
                <w:bottom w:val="single" w:sz="18" w:space="0" w:color="000000"/>
              </w:pBdr>
              <w:spacing w:before="0" w:after="283"/>
              <w:rPr/>
            </w:pPr>
            <w:r>
              <w:rPr/>
            </w:r>
          </w:p>
        </w:tc>
        <w:tc>
          <w:tcPr>
            <w:tcW w:w="121"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HorizontalLine"/>
              <w:pBdr>
                <w:bottom w:val="single" w:sz="18" w:space="0" w:color="000000"/>
              </w:pBdr>
              <w:spacing w:before="0" w:after="283"/>
              <w:rPr/>
            </w:pPr>
            <w:r>
              <w:rPr/>
            </w:r>
          </w:p>
        </w:tc>
        <w:tc>
          <w:tcPr>
            <w:tcW w:w="90" w:type="dxa"/>
            <w:tcBorders/>
            <w:shd w:fill="E5FFFF" w:val="clear"/>
            <w:vAlign w:val="center"/>
          </w:tcPr>
          <w:p>
            <w:pPr>
              <w:pStyle w:val="TableContents"/>
              <w:spacing w:before="0" w:after="283"/>
              <w:rPr/>
            </w:pPr>
            <w:r>
              <w:rPr/>
              <w:t> </w:t>
            </w:r>
          </w:p>
        </w:tc>
        <w:tc>
          <w:tcPr>
            <w:tcW w:w="251"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82" w:type="dxa"/>
            <w:tcBorders/>
            <w:shd w:fill="E5FFFF" w:val="clear"/>
            <w:vAlign w:val="bottom"/>
          </w:tcPr>
          <w:p>
            <w:pPr>
              <w:pStyle w:val="HorizontalLine"/>
              <w:pBdr>
                <w:bottom w:val="single" w:sz="18" w:space="0" w:color="000000"/>
              </w:pBdr>
              <w:spacing w:before="0" w:after="283"/>
              <w:rPr/>
            </w:pPr>
            <w:r>
              <w:rPr/>
            </w:r>
          </w:p>
        </w:tc>
        <w:tc>
          <w:tcPr>
            <w:tcW w:w="80" w:type="dxa"/>
            <w:tcBorders/>
            <w:shd w:fill="E5FFFF" w:val="clear"/>
            <w:vAlign w:val="center"/>
          </w:tcPr>
          <w:p>
            <w:pPr>
              <w:pStyle w:val="TableContents"/>
              <w:spacing w:before="0" w:after="283"/>
              <w:rPr/>
            </w:pPr>
            <w:r>
              <w:rPr/>
              <w:t> </w:t>
            </w:r>
          </w:p>
        </w:tc>
      </w:tr>
      <w:tr>
        <w:trPr/>
        <w:tc>
          <w:tcPr>
            <w:tcW w:w="886"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533"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38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5000" w:type="pct"/>
        <w:jc w:val="left"/>
        <w:tblInd w:w="0" w:type="dxa"/>
        <w:tblCellMar>
          <w:top w:w="0" w:type="dxa"/>
          <w:left w:w="0" w:type="dxa"/>
          <w:bottom w:w="0" w:type="dxa"/>
          <w:right w:w="0" w:type="dxa"/>
        </w:tblCellMar>
      </w:tblPr>
      <w:tblGrid>
        <w:gridCol w:w="248"/>
        <w:gridCol w:w="60"/>
        <w:gridCol w:w="9897"/>
      </w:tblGrid>
      <w:tr>
        <w:trPr/>
        <w:tc>
          <w:tcPr>
            <w:tcW w:w="248" w:type="dxa"/>
            <w:tcBorders/>
            <w:shd w:fill="auto" w:val="clear"/>
          </w:tcPr>
          <w:p>
            <w:pPr>
              <w:pStyle w:val="TableContents"/>
              <w:spacing w:before="0" w:after="283"/>
              <w:jc w:val="left"/>
              <w:rPr>
                <w:rFonts w:ascii="Arial" w:hAnsi="Arial"/>
              </w:rPr>
            </w:pPr>
            <w:r>
              <w:rPr>
                <w:rFonts w:ascii="Arial" w:hAnsi="Arial"/>
              </w:rPr>
              <w:t>(1)</w:t>
            </w:r>
          </w:p>
        </w:tc>
        <w:tc>
          <w:tcPr>
            <w:tcW w:w="60" w:type="dxa"/>
            <w:tcBorders/>
            <w:shd w:fill="auto" w:val="clear"/>
          </w:tcPr>
          <w:p>
            <w:pPr>
              <w:pStyle w:val="TableContents"/>
              <w:spacing w:before="0" w:after="283"/>
              <w:jc w:val="left"/>
              <w:rPr/>
            </w:pPr>
            <w:r>
              <w:rPr/>
              <w:t> </w:t>
            </w:r>
          </w:p>
        </w:tc>
        <w:tc>
          <w:tcPr>
            <w:tcW w:w="9897" w:type="dxa"/>
            <w:tcBorders/>
            <w:shd w:fill="auto" w:val="clear"/>
          </w:tcPr>
          <w:p>
            <w:pPr>
              <w:pStyle w:val="TableContents"/>
              <w:spacing w:before="0" w:after="283"/>
              <w:jc w:val="left"/>
              <w:rPr>
                <w:rFonts w:ascii="Arial" w:hAnsi="Arial"/>
              </w:rPr>
            </w:pPr>
            <w:r>
              <w:rPr>
                <w:rFonts w:ascii="Arial" w:hAnsi="Arial"/>
              </w:rPr>
              <w:t>In 2006, charge of $32 million reflects a settlement of certain pending asbestos claims. In 2005, consists of a charge of $52 million to reflect a settlement of certain pending asbestos claims during the year and a credit of $73 million related to a re-estimation of asbestos reserves in connection with an additional settlement.</w:t>
            </w:r>
          </w:p>
        </w:tc>
      </w:tr>
    </w:tbl>
    <w:p>
      <w:pPr>
        <w:pStyle w:val="TextBody"/>
        <w:jc w:val="center"/>
        <w:rPr>
          <w:rFonts w:ascii="Arial" w:hAnsi="Arial"/>
        </w:rPr>
      </w:pPr>
      <w:r>
        <w:rPr>
          <w:rFonts w:ascii="Arial" w:hAnsi="Arial"/>
        </w:rPr>
        <w:t>82</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Insurance Recoveries for Asbestos Related Liabilities</w:t>
      </w:r>
    </w:p>
    <w:tbl>
      <w:tblPr>
        <w:tblW w:w="5000" w:type="pct"/>
        <w:jc w:val="left"/>
        <w:tblInd w:w="0" w:type="dxa"/>
        <w:tblCellMar>
          <w:top w:w="0" w:type="dxa"/>
          <w:left w:w="0" w:type="dxa"/>
          <w:bottom w:w="0" w:type="dxa"/>
          <w:right w:w="0" w:type="dxa"/>
        </w:tblCellMar>
      </w:tblPr>
      <w:tblGrid>
        <w:gridCol w:w="939"/>
        <w:gridCol w:w="240"/>
        <w:gridCol w:w="175"/>
        <w:gridCol w:w="534"/>
        <w:gridCol w:w="121"/>
        <w:gridCol w:w="246"/>
        <w:gridCol w:w="171"/>
        <w:gridCol w:w="659"/>
        <w:gridCol w:w="90"/>
        <w:gridCol w:w="246"/>
        <w:gridCol w:w="160"/>
        <w:gridCol w:w="375"/>
        <w:gridCol w:w="66"/>
        <w:gridCol w:w="240"/>
        <w:gridCol w:w="193"/>
        <w:gridCol w:w="502"/>
        <w:gridCol w:w="134"/>
        <w:gridCol w:w="247"/>
        <w:gridCol w:w="175"/>
        <w:gridCol w:w="674"/>
        <w:gridCol w:w="72"/>
        <w:gridCol w:w="247"/>
        <w:gridCol w:w="160"/>
        <w:gridCol w:w="375"/>
        <w:gridCol w:w="66"/>
        <w:gridCol w:w="240"/>
        <w:gridCol w:w="186"/>
        <w:gridCol w:w="513"/>
        <w:gridCol w:w="130"/>
        <w:gridCol w:w="246"/>
        <w:gridCol w:w="174"/>
        <w:gridCol w:w="669"/>
        <w:gridCol w:w="78"/>
        <w:gridCol w:w="246"/>
        <w:gridCol w:w="160"/>
        <w:gridCol w:w="375"/>
        <w:gridCol w:w="81"/>
      </w:tblGrid>
      <w:tr>
        <w:trPr/>
        <w:tc>
          <w:tcPr>
            <w:tcW w:w="93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843" w:type="dxa"/>
            <w:gridSpan w:val="11"/>
            <w:tcBorders/>
            <w:shd w:fill="FFFFFF" w:val="clear"/>
            <w:vAlign w:val="bottom"/>
          </w:tcPr>
          <w:p>
            <w:pPr>
              <w:pStyle w:val="TableContents"/>
              <w:spacing w:before="0" w:after="0"/>
              <w:jc w:val="center"/>
              <w:rPr>
                <w:rFonts w:ascii="Arial" w:hAnsi="Arial"/>
                <w:b/>
              </w:rPr>
            </w:pPr>
            <w:r>
              <w:rPr>
                <w:rFonts w:ascii="Arial" w:hAnsi="Arial"/>
                <w:b/>
              </w:rPr>
              <w:t>Year Ended December 31, 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845" w:type="dxa"/>
            <w:gridSpan w:val="11"/>
            <w:tcBorders/>
            <w:shd w:fill="FFFFFF" w:val="clear"/>
            <w:vAlign w:val="bottom"/>
          </w:tcPr>
          <w:p>
            <w:pPr>
              <w:pStyle w:val="TableContents"/>
              <w:spacing w:before="0" w:after="0"/>
              <w:jc w:val="center"/>
              <w:rPr>
                <w:rFonts w:ascii="Arial" w:hAnsi="Arial"/>
                <w:b/>
              </w:rPr>
            </w:pPr>
            <w:r>
              <w:rPr>
                <w:rFonts w:ascii="Arial" w:hAnsi="Arial"/>
                <w:b/>
              </w:rPr>
              <w:t>Year Ended December 31, 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858" w:type="dxa"/>
            <w:gridSpan w:val="11"/>
            <w:tcBorders/>
            <w:shd w:fill="FFFFFF" w:val="clear"/>
            <w:vAlign w:val="bottom"/>
          </w:tcPr>
          <w:p>
            <w:pPr>
              <w:pStyle w:val="TableContents"/>
              <w:spacing w:before="0" w:after="0"/>
              <w:jc w:val="center"/>
              <w:rPr>
                <w:rFonts w:ascii="Arial" w:hAnsi="Arial"/>
                <w:b/>
              </w:rPr>
            </w:pPr>
            <w:r>
              <w:rPr>
                <w:rFonts w:ascii="Arial" w:hAnsi="Arial"/>
                <w:b/>
              </w:rPr>
              <w:t>Year Ended December 31, 2004</w:t>
            </w:r>
          </w:p>
          <w:p>
            <w:pPr>
              <w:pStyle w:val="HorizontalLine"/>
              <w:pBdr>
                <w:bottom w:val="single" w:sz="6" w:space="0" w:color="000000"/>
              </w:pBdr>
              <w:spacing w:before="0" w:after="283"/>
              <w:rPr/>
            </w:pPr>
            <w:r>
              <w:rPr/>
            </w:r>
          </w:p>
        </w:tc>
      </w:tr>
      <w:tr>
        <w:trPr/>
        <w:tc>
          <w:tcPr>
            <w:tcW w:w="93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830" w:type="dxa"/>
            <w:gridSpan w:val="3"/>
            <w:tcBorders/>
            <w:shd w:fill="FFFFFF" w:val="clear"/>
            <w:vAlign w:val="bottom"/>
          </w:tcPr>
          <w:p>
            <w:pPr>
              <w:pStyle w:val="TableContents"/>
              <w:spacing w:before="0" w:after="0"/>
              <w:jc w:val="center"/>
              <w:rPr>
                <w:rFonts w:ascii="Arial" w:hAnsi="Arial"/>
                <w:b/>
              </w:rPr>
            </w:pPr>
            <w:r>
              <w:rPr>
                <w:rFonts w:ascii="Arial" w:hAnsi="Arial"/>
                <w:b/>
              </w:rPr>
              <w:t>Bendix</w:t>
            </w:r>
          </w:p>
          <w:p>
            <w:pPr>
              <w:pStyle w:val="HorizontalLine"/>
              <w:pBdr>
                <w:bottom w:val="single" w:sz="6" w:space="0" w:color="000000"/>
              </w:pBdr>
              <w:spacing w:before="0" w:after="283"/>
              <w:rPr/>
            </w:pPr>
            <w:r>
              <w:rPr/>
            </w:r>
          </w:p>
        </w:tc>
        <w:tc>
          <w:tcPr>
            <w:tcW w:w="246" w:type="dxa"/>
            <w:tcBorders/>
            <w:shd w:fill="FFFFFF" w:val="clear"/>
            <w:vAlign w:val="center"/>
          </w:tcPr>
          <w:p>
            <w:pPr>
              <w:pStyle w:val="TableContents"/>
              <w:spacing w:before="0" w:after="283"/>
              <w:rPr/>
            </w:pPr>
            <w:r>
              <w:rPr/>
              <w:t> </w:t>
            </w:r>
          </w:p>
        </w:tc>
        <w:tc>
          <w:tcPr>
            <w:tcW w:w="920" w:type="dxa"/>
            <w:gridSpan w:val="3"/>
            <w:tcBorders/>
            <w:shd w:fill="FFFFFF" w:val="clear"/>
            <w:vAlign w:val="bottom"/>
          </w:tcPr>
          <w:p>
            <w:pPr>
              <w:pStyle w:val="TableContents"/>
              <w:spacing w:before="0" w:after="0"/>
              <w:jc w:val="center"/>
              <w:rPr>
                <w:rFonts w:ascii="Arial" w:hAnsi="Arial"/>
                <w:b/>
              </w:rPr>
            </w:pPr>
            <w:r>
              <w:rPr>
                <w:rFonts w:ascii="Arial" w:hAnsi="Arial"/>
                <w:b/>
              </w:rPr>
              <w:t>NARCO</w:t>
            </w:r>
          </w:p>
          <w:p>
            <w:pPr>
              <w:pStyle w:val="HorizontalLine"/>
              <w:pBdr>
                <w:bottom w:val="single" w:sz="6" w:space="0" w:color="000000"/>
              </w:pBdr>
              <w:spacing w:before="0" w:after="283"/>
              <w:rPr/>
            </w:pPr>
            <w:r>
              <w:rPr/>
            </w:r>
          </w:p>
        </w:tc>
        <w:tc>
          <w:tcPr>
            <w:tcW w:w="246" w:type="dxa"/>
            <w:tcBorders/>
            <w:shd w:fill="FFFFFF" w:val="clear"/>
            <w:vAlign w:val="center"/>
          </w:tcPr>
          <w:p>
            <w:pPr>
              <w:pStyle w:val="TableContents"/>
              <w:spacing w:before="0" w:after="283"/>
              <w:rPr/>
            </w:pPr>
            <w:r>
              <w:rPr/>
              <w:t> </w:t>
            </w:r>
          </w:p>
        </w:tc>
        <w:tc>
          <w:tcPr>
            <w:tcW w:w="601"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29" w:type="dxa"/>
            <w:gridSpan w:val="3"/>
            <w:tcBorders/>
            <w:shd w:fill="FFFFFF" w:val="clear"/>
            <w:vAlign w:val="bottom"/>
          </w:tcPr>
          <w:p>
            <w:pPr>
              <w:pStyle w:val="TableContents"/>
              <w:spacing w:before="0" w:after="0"/>
              <w:jc w:val="center"/>
              <w:rPr>
                <w:rFonts w:ascii="Arial" w:hAnsi="Arial"/>
                <w:b/>
              </w:rPr>
            </w:pPr>
            <w:r>
              <w:rPr>
                <w:rFonts w:ascii="Arial" w:hAnsi="Arial"/>
                <w:b/>
              </w:rPr>
              <w:t>Bendix</w:t>
            </w:r>
          </w:p>
          <w:p>
            <w:pPr>
              <w:pStyle w:val="HorizontalLine"/>
              <w:pBdr>
                <w:bottom w:val="single" w:sz="6" w:space="0" w:color="000000"/>
              </w:pBdr>
              <w:spacing w:before="0" w:after="283"/>
              <w:rPr/>
            </w:pPr>
            <w:r>
              <w:rPr/>
            </w:r>
          </w:p>
        </w:tc>
        <w:tc>
          <w:tcPr>
            <w:tcW w:w="247" w:type="dxa"/>
            <w:tcBorders/>
            <w:shd w:fill="FFFFFF" w:val="clear"/>
            <w:vAlign w:val="center"/>
          </w:tcPr>
          <w:p>
            <w:pPr>
              <w:pStyle w:val="TableContents"/>
              <w:spacing w:before="0" w:after="283"/>
              <w:rPr/>
            </w:pPr>
            <w:r>
              <w:rPr/>
              <w:t> </w:t>
            </w:r>
          </w:p>
        </w:tc>
        <w:tc>
          <w:tcPr>
            <w:tcW w:w="921" w:type="dxa"/>
            <w:gridSpan w:val="3"/>
            <w:tcBorders/>
            <w:shd w:fill="FFFFFF" w:val="clear"/>
            <w:vAlign w:val="bottom"/>
          </w:tcPr>
          <w:p>
            <w:pPr>
              <w:pStyle w:val="TableContents"/>
              <w:spacing w:before="0" w:after="0"/>
              <w:jc w:val="center"/>
              <w:rPr>
                <w:rFonts w:ascii="Arial" w:hAnsi="Arial"/>
                <w:b/>
              </w:rPr>
            </w:pPr>
            <w:r>
              <w:rPr>
                <w:rFonts w:ascii="Arial" w:hAnsi="Arial"/>
                <w:b/>
              </w:rPr>
              <w:t>NARCO</w:t>
            </w:r>
          </w:p>
          <w:p>
            <w:pPr>
              <w:pStyle w:val="HorizontalLine"/>
              <w:pBdr>
                <w:bottom w:val="single" w:sz="6" w:space="0" w:color="000000"/>
              </w:pBdr>
              <w:spacing w:before="0" w:after="283"/>
              <w:rPr/>
            </w:pPr>
            <w:r>
              <w:rPr/>
            </w:r>
          </w:p>
        </w:tc>
        <w:tc>
          <w:tcPr>
            <w:tcW w:w="247" w:type="dxa"/>
            <w:tcBorders/>
            <w:shd w:fill="FFFFFF" w:val="clear"/>
            <w:vAlign w:val="center"/>
          </w:tcPr>
          <w:p>
            <w:pPr>
              <w:pStyle w:val="TableContents"/>
              <w:spacing w:before="0" w:after="283"/>
              <w:rPr/>
            </w:pPr>
            <w:r>
              <w:rPr/>
              <w:t> </w:t>
            </w:r>
          </w:p>
        </w:tc>
        <w:tc>
          <w:tcPr>
            <w:tcW w:w="601"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29" w:type="dxa"/>
            <w:gridSpan w:val="3"/>
            <w:tcBorders/>
            <w:shd w:fill="FFFFFF" w:val="clear"/>
            <w:vAlign w:val="bottom"/>
          </w:tcPr>
          <w:p>
            <w:pPr>
              <w:pStyle w:val="TableContents"/>
              <w:spacing w:before="0" w:after="0"/>
              <w:jc w:val="center"/>
              <w:rPr>
                <w:rFonts w:ascii="Arial" w:hAnsi="Arial"/>
                <w:b/>
              </w:rPr>
            </w:pPr>
            <w:r>
              <w:rPr>
                <w:rFonts w:ascii="Arial" w:hAnsi="Arial"/>
                <w:b/>
              </w:rPr>
              <w:t>Bendix</w:t>
            </w:r>
          </w:p>
          <w:p>
            <w:pPr>
              <w:pStyle w:val="HorizontalLine"/>
              <w:pBdr>
                <w:bottom w:val="single" w:sz="6" w:space="0" w:color="000000"/>
              </w:pBdr>
              <w:spacing w:before="0" w:after="283"/>
              <w:rPr/>
            </w:pPr>
            <w:r>
              <w:rPr/>
            </w:r>
          </w:p>
        </w:tc>
        <w:tc>
          <w:tcPr>
            <w:tcW w:w="246" w:type="dxa"/>
            <w:tcBorders/>
            <w:shd w:fill="FFFFFF" w:val="clear"/>
            <w:vAlign w:val="center"/>
          </w:tcPr>
          <w:p>
            <w:pPr>
              <w:pStyle w:val="TableContents"/>
              <w:spacing w:before="0" w:after="283"/>
              <w:rPr/>
            </w:pPr>
            <w:r>
              <w:rPr/>
              <w:t> </w:t>
            </w:r>
          </w:p>
        </w:tc>
        <w:tc>
          <w:tcPr>
            <w:tcW w:w="921" w:type="dxa"/>
            <w:gridSpan w:val="3"/>
            <w:tcBorders/>
            <w:shd w:fill="FFFFFF" w:val="clear"/>
            <w:vAlign w:val="bottom"/>
          </w:tcPr>
          <w:p>
            <w:pPr>
              <w:pStyle w:val="TableContents"/>
              <w:spacing w:before="0" w:after="0"/>
              <w:jc w:val="center"/>
              <w:rPr>
                <w:rFonts w:ascii="Arial" w:hAnsi="Arial"/>
                <w:b/>
              </w:rPr>
            </w:pPr>
            <w:r>
              <w:rPr>
                <w:rFonts w:ascii="Arial" w:hAnsi="Arial"/>
                <w:b/>
              </w:rPr>
              <w:t>NARCO</w:t>
            </w:r>
          </w:p>
          <w:p>
            <w:pPr>
              <w:pStyle w:val="HorizontalLine"/>
              <w:pBdr>
                <w:bottom w:val="single" w:sz="6" w:space="0" w:color="000000"/>
              </w:pBdr>
              <w:spacing w:before="0" w:after="283"/>
              <w:rPr/>
            </w:pPr>
            <w:r>
              <w:rPr/>
            </w:r>
          </w:p>
        </w:tc>
        <w:tc>
          <w:tcPr>
            <w:tcW w:w="246" w:type="dxa"/>
            <w:tcBorders/>
            <w:shd w:fill="FFFFFF" w:val="clear"/>
            <w:vAlign w:val="center"/>
          </w:tcPr>
          <w:p>
            <w:pPr>
              <w:pStyle w:val="TableContents"/>
              <w:spacing w:before="0" w:after="283"/>
              <w:rPr/>
            </w:pPr>
            <w:r>
              <w:rPr/>
              <w:t> </w:t>
            </w:r>
          </w:p>
        </w:tc>
        <w:tc>
          <w:tcPr>
            <w:tcW w:w="616" w:type="dxa"/>
            <w:gridSpan w:val="3"/>
            <w:tcBorders/>
            <w:shd w:fill="FFFFFF" w:val="clear"/>
            <w:vAlign w:val="bottom"/>
          </w:tcPr>
          <w:p>
            <w:pPr>
              <w:pStyle w:val="TableContents"/>
              <w:spacing w:before="0" w:after="0"/>
              <w:jc w:val="center"/>
              <w:rPr>
                <w:rFonts w:ascii="Arial" w:hAnsi="Arial"/>
                <w:b/>
              </w:rPr>
            </w:pPr>
            <w:r>
              <w:rPr>
                <w:rFonts w:ascii="Arial" w:hAnsi="Arial"/>
                <w:b/>
              </w:rPr>
              <w:t>Total</w:t>
            </w:r>
          </w:p>
          <w:p>
            <w:pPr>
              <w:pStyle w:val="HorizontalLine"/>
              <w:pBdr>
                <w:bottom w:val="single" w:sz="6" w:space="0" w:color="000000"/>
              </w:pBdr>
              <w:spacing w:before="0" w:after="283"/>
              <w:rPr/>
            </w:pPr>
            <w:r>
              <w:rPr/>
            </w:r>
          </w:p>
        </w:tc>
      </w:tr>
      <w:tr>
        <w:trPr/>
        <w:tc>
          <w:tcPr>
            <w:tcW w:w="939" w:type="dxa"/>
            <w:tcBorders/>
            <w:shd w:fill="FFFFFF" w:val="clear"/>
            <w:vAlign w:val="bottom"/>
          </w:tcPr>
          <w:p>
            <w:pPr>
              <w:pStyle w:val="TableContents"/>
              <w:spacing w:before="0" w:after="283"/>
              <w:jc w:val="left"/>
              <w:rPr>
                <w:rFonts w:ascii="Arial" w:hAnsi="Arial"/>
                <w:sz w:val="14"/>
              </w:rPr>
            </w:pPr>
            <w:r>
              <w:rPr>
                <w:rFonts w:ascii="Arial" w:hAnsi="Arial"/>
                <w:sz w:val="14"/>
              </w:rPr>
              <w:t>Beginning of year</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377</w:t>
            </w:r>
          </w:p>
        </w:tc>
        <w:tc>
          <w:tcPr>
            <w:tcW w:w="121"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1,096</w:t>
            </w:r>
          </w:p>
        </w:tc>
        <w:tc>
          <w:tcPr>
            <w:tcW w:w="9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1,473</w:t>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02" w:type="dxa"/>
            <w:tcBorders/>
            <w:shd w:fill="FFFFFF" w:val="clear"/>
            <w:vAlign w:val="bottom"/>
          </w:tcPr>
          <w:p>
            <w:pPr>
              <w:pStyle w:val="TableContents"/>
              <w:spacing w:before="0" w:after="283"/>
              <w:jc w:val="right"/>
              <w:rPr>
                <w:rFonts w:ascii="Arial" w:hAnsi="Arial"/>
                <w:sz w:val="14"/>
              </w:rPr>
            </w:pPr>
            <w:r>
              <w:rPr>
                <w:rFonts w:ascii="Arial" w:hAnsi="Arial"/>
                <w:sz w:val="14"/>
              </w:rPr>
              <w:t>336</w:t>
            </w:r>
          </w:p>
        </w:tc>
        <w:tc>
          <w:tcPr>
            <w:tcW w:w="134"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74" w:type="dxa"/>
            <w:tcBorders/>
            <w:shd w:fill="FFFFFF" w:val="clear"/>
            <w:vAlign w:val="bottom"/>
          </w:tcPr>
          <w:p>
            <w:pPr>
              <w:pStyle w:val="TableContents"/>
              <w:spacing w:before="0" w:after="283"/>
              <w:jc w:val="right"/>
              <w:rPr>
                <w:rFonts w:ascii="Arial" w:hAnsi="Arial"/>
                <w:sz w:val="14"/>
              </w:rPr>
            </w:pPr>
            <w:r>
              <w:rPr>
                <w:rFonts w:ascii="Arial" w:hAnsi="Arial"/>
                <w:sz w:val="14"/>
              </w:rPr>
              <w:t>1,226</w:t>
            </w:r>
          </w:p>
        </w:tc>
        <w:tc>
          <w:tcPr>
            <w:tcW w:w="72"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1,562</w:t>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513" w:type="dxa"/>
            <w:tcBorders/>
            <w:shd w:fill="FFFFFF" w:val="clear"/>
            <w:vAlign w:val="bottom"/>
          </w:tcPr>
          <w:p>
            <w:pPr>
              <w:pStyle w:val="TableContents"/>
              <w:spacing w:before="0" w:after="283"/>
              <w:jc w:val="right"/>
              <w:rPr>
                <w:rFonts w:ascii="Arial" w:hAnsi="Arial"/>
                <w:sz w:val="14"/>
              </w:rPr>
            </w:pPr>
            <w:r>
              <w:rPr>
                <w:rFonts w:ascii="Arial" w:hAnsi="Arial"/>
                <w:sz w:val="14"/>
              </w:rPr>
              <w:t>209</w:t>
            </w:r>
          </w:p>
        </w:tc>
        <w:tc>
          <w:tcPr>
            <w:tcW w:w="13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669" w:type="dxa"/>
            <w:tcBorders/>
            <w:shd w:fill="FFFFFF" w:val="clear"/>
            <w:vAlign w:val="bottom"/>
          </w:tcPr>
          <w:p>
            <w:pPr>
              <w:pStyle w:val="TableContents"/>
              <w:spacing w:before="0" w:after="283"/>
              <w:jc w:val="right"/>
              <w:rPr>
                <w:rFonts w:ascii="Arial" w:hAnsi="Arial"/>
                <w:sz w:val="14"/>
              </w:rPr>
            </w:pPr>
            <w:r>
              <w:rPr>
                <w:rFonts w:ascii="Arial" w:hAnsi="Arial"/>
                <w:sz w:val="14"/>
              </w:rPr>
              <w:t>1,238</w:t>
            </w:r>
          </w:p>
        </w:tc>
        <w:tc>
          <w:tcPr>
            <w:tcW w:w="7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1,447</w:t>
            </w:r>
          </w:p>
        </w:tc>
        <w:tc>
          <w:tcPr>
            <w:tcW w:w="81" w:type="dxa"/>
            <w:tcBorders/>
            <w:shd w:fill="FFFFFF" w:val="clear"/>
            <w:vAlign w:val="center"/>
          </w:tcPr>
          <w:p>
            <w:pPr>
              <w:pStyle w:val="TableContents"/>
              <w:spacing w:before="0" w:after="283"/>
              <w:rPr/>
            </w:pPr>
            <w:r>
              <w:rPr/>
              <w:t> </w:t>
            </w:r>
          </w:p>
        </w:tc>
      </w:tr>
      <w:tr>
        <w:trPr/>
        <w:tc>
          <w:tcPr>
            <w:tcW w:w="939" w:type="dxa"/>
            <w:tcBorders/>
            <w:shd w:fill="E5FFFF" w:val="clear"/>
            <w:vAlign w:val="bottom"/>
          </w:tcPr>
          <w:p>
            <w:pPr>
              <w:pStyle w:val="TableContents"/>
              <w:spacing w:before="0" w:after="283"/>
              <w:jc w:val="left"/>
              <w:rPr>
                <w:rFonts w:ascii="Arial" w:hAnsi="Arial"/>
                <w:sz w:val="14"/>
              </w:rPr>
            </w:pPr>
            <w:r>
              <w:rPr>
                <w:rFonts w:ascii="Arial" w:hAnsi="Arial"/>
                <w:sz w:val="14"/>
              </w:rPr>
              <w:t>Probable insurance recoveries related to claims filed</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11</w:t>
            </w:r>
          </w:p>
        </w:tc>
        <w:tc>
          <w:tcPr>
            <w:tcW w:w="121"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0"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11</w:t>
            </w:r>
          </w:p>
        </w:tc>
        <w:tc>
          <w:tcPr>
            <w:tcW w:w="6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Arial" w:hAnsi="Arial"/>
                <w:sz w:val="14"/>
              </w:rPr>
            </w:pPr>
            <w:r>
              <w:rPr>
                <w:rFonts w:ascii="Arial" w:hAnsi="Arial"/>
                <w:sz w:val="14"/>
              </w:rPr>
              <w:t>34</w:t>
            </w:r>
          </w:p>
        </w:tc>
        <w:tc>
          <w:tcPr>
            <w:tcW w:w="134"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674" w:type="dxa"/>
            <w:tcBorders/>
            <w:shd w:fill="E5FFFF" w:val="clear"/>
            <w:vAlign w:val="bottom"/>
          </w:tcPr>
          <w:p>
            <w:pPr>
              <w:pStyle w:val="TableContents"/>
              <w:spacing w:before="0" w:after="283"/>
              <w:jc w:val="right"/>
              <w:rPr/>
            </w:pPr>
            <w:r>
              <w:rPr/>
              <w:t>—</w:t>
            </w:r>
          </w:p>
        </w:tc>
        <w:tc>
          <w:tcPr>
            <w:tcW w:w="72"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34</w:t>
            </w:r>
          </w:p>
        </w:tc>
        <w:tc>
          <w:tcPr>
            <w:tcW w:w="6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513" w:type="dxa"/>
            <w:tcBorders/>
            <w:shd w:fill="E5FFFF" w:val="clear"/>
            <w:vAlign w:val="bottom"/>
          </w:tcPr>
          <w:p>
            <w:pPr>
              <w:pStyle w:val="TableContents"/>
              <w:spacing w:before="0" w:after="283"/>
              <w:jc w:val="right"/>
              <w:rPr>
                <w:rFonts w:ascii="Arial" w:hAnsi="Arial"/>
                <w:sz w:val="14"/>
              </w:rPr>
            </w:pPr>
            <w:r>
              <w:rPr>
                <w:rFonts w:ascii="Arial" w:hAnsi="Arial"/>
                <w:sz w:val="14"/>
              </w:rPr>
              <w:t>96</w:t>
            </w:r>
          </w:p>
        </w:tc>
        <w:tc>
          <w:tcPr>
            <w:tcW w:w="130"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74" w:type="dxa"/>
            <w:tcBorders/>
            <w:shd w:fill="E5FFFF" w:val="clear"/>
            <w:vAlign w:val="center"/>
          </w:tcPr>
          <w:p>
            <w:pPr>
              <w:pStyle w:val="TableContents"/>
              <w:spacing w:before="0" w:after="283"/>
              <w:rPr/>
            </w:pPr>
            <w:r>
              <w:rPr/>
              <w:t> </w:t>
            </w:r>
          </w:p>
        </w:tc>
        <w:tc>
          <w:tcPr>
            <w:tcW w:w="669" w:type="dxa"/>
            <w:tcBorders/>
            <w:shd w:fill="E5FFFF" w:val="clear"/>
            <w:vAlign w:val="bottom"/>
          </w:tcPr>
          <w:p>
            <w:pPr>
              <w:pStyle w:val="TableContents"/>
              <w:spacing w:before="0" w:after="283"/>
              <w:jc w:val="right"/>
              <w:rPr/>
            </w:pPr>
            <w:r>
              <w:rPr/>
              <w:t>—</w:t>
            </w:r>
          </w:p>
        </w:tc>
        <w:tc>
          <w:tcPr>
            <w:tcW w:w="7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96</w:t>
            </w:r>
          </w:p>
        </w:tc>
        <w:tc>
          <w:tcPr>
            <w:tcW w:w="81" w:type="dxa"/>
            <w:tcBorders/>
            <w:shd w:fill="E5FFFF" w:val="clear"/>
            <w:vAlign w:val="center"/>
          </w:tcPr>
          <w:p>
            <w:pPr>
              <w:pStyle w:val="TableContents"/>
              <w:spacing w:before="0" w:after="283"/>
              <w:rPr/>
            </w:pPr>
            <w:r>
              <w:rPr/>
              <w:t> </w:t>
            </w:r>
          </w:p>
        </w:tc>
      </w:tr>
      <w:tr>
        <w:trPr/>
        <w:tc>
          <w:tcPr>
            <w:tcW w:w="939" w:type="dxa"/>
            <w:tcBorders/>
            <w:shd w:fill="FFFFFF" w:val="clear"/>
            <w:vAlign w:val="bottom"/>
          </w:tcPr>
          <w:p>
            <w:pPr>
              <w:pStyle w:val="TableContents"/>
              <w:spacing w:before="0" w:after="283"/>
              <w:jc w:val="left"/>
              <w:rPr>
                <w:rFonts w:ascii="Arial" w:hAnsi="Arial"/>
                <w:sz w:val="14"/>
              </w:rPr>
            </w:pPr>
            <w:r>
              <w:rPr>
                <w:rFonts w:ascii="Arial" w:hAnsi="Arial"/>
                <w:sz w:val="14"/>
              </w:rPr>
              <w:t>Probable insurance recoveries related to annual update of expected resolution values for pending claims</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39</w:t>
            </w:r>
          </w:p>
        </w:tc>
        <w:tc>
          <w:tcPr>
            <w:tcW w:w="121"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pPr>
            <w:r>
              <w:rPr/>
              <w:t>—</w:t>
            </w:r>
          </w:p>
        </w:tc>
        <w:tc>
          <w:tcPr>
            <w:tcW w:w="9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39</w:t>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Arial" w:hAnsi="Arial"/>
                <w:sz w:val="14"/>
              </w:rPr>
            </w:pPr>
            <w:r>
              <w:rPr>
                <w:rFonts w:ascii="Arial" w:hAnsi="Arial"/>
                <w:sz w:val="14"/>
              </w:rPr>
              <w:t>(15</w:t>
            </w:r>
          </w:p>
        </w:tc>
        <w:tc>
          <w:tcPr>
            <w:tcW w:w="134"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7"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674" w:type="dxa"/>
            <w:tcBorders/>
            <w:shd w:fill="FFFFFF" w:val="clear"/>
            <w:vAlign w:val="bottom"/>
          </w:tcPr>
          <w:p>
            <w:pPr>
              <w:pStyle w:val="TableContents"/>
              <w:spacing w:before="0" w:after="283"/>
              <w:jc w:val="right"/>
              <w:rPr/>
            </w:pPr>
            <w:r>
              <w:rPr/>
              <w:t>—</w:t>
            </w:r>
          </w:p>
        </w:tc>
        <w:tc>
          <w:tcPr>
            <w:tcW w:w="72"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(15</w:t>
            </w:r>
          </w:p>
        </w:tc>
        <w:tc>
          <w:tcPr>
            <w:tcW w:w="66"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86" w:type="dxa"/>
            <w:tcBorders/>
            <w:shd w:fill="FFFFFF" w:val="clear"/>
            <w:vAlign w:val="center"/>
          </w:tcPr>
          <w:p>
            <w:pPr>
              <w:pStyle w:val="TableContents"/>
              <w:spacing w:before="0" w:after="283"/>
              <w:rPr/>
            </w:pPr>
            <w:r>
              <w:rPr/>
              <w:t> </w:t>
            </w:r>
          </w:p>
        </w:tc>
        <w:tc>
          <w:tcPr>
            <w:tcW w:w="513" w:type="dxa"/>
            <w:tcBorders/>
            <w:shd w:fill="FFFFFF" w:val="clear"/>
            <w:vAlign w:val="bottom"/>
          </w:tcPr>
          <w:p>
            <w:pPr>
              <w:pStyle w:val="TableContents"/>
              <w:spacing w:before="0" w:after="283"/>
              <w:jc w:val="right"/>
              <w:rPr>
                <w:rFonts w:ascii="Arial" w:hAnsi="Arial"/>
                <w:sz w:val="14"/>
              </w:rPr>
            </w:pPr>
            <w:r>
              <w:rPr>
                <w:rFonts w:ascii="Arial" w:hAnsi="Arial"/>
                <w:sz w:val="14"/>
              </w:rPr>
              <w:t>39</w:t>
            </w:r>
          </w:p>
        </w:tc>
        <w:tc>
          <w:tcPr>
            <w:tcW w:w="13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4"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TableContents"/>
              <w:spacing w:before="0" w:after="283"/>
              <w:jc w:val="right"/>
              <w:rPr/>
            </w:pPr>
            <w:r>
              <w:rPr/>
              <w:t>—</w:t>
            </w:r>
          </w:p>
        </w:tc>
        <w:tc>
          <w:tcPr>
            <w:tcW w:w="7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39</w:t>
            </w:r>
          </w:p>
        </w:tc>
        <w:tc>
          <w:tcPr>
            <w:tcW w:w="81" w:type="dxa"/>
            <w:tcBorders/>
            <w:shd w:fill="FFFFFF" w:val="clear"/>
            <w:vAlign w:val="center"/>
          </w:tcPr>
          <w:p>
            <w:pPr>
              <w:pStyle w:val="TableContents"/>
              <w:spacing w:before="0" w:after="283"/>
              <w:rPr/>
            </w:pPr>
            <w:r>
              <w:rPr/>
              <w:t> </w:t>
            </w:r>
          </w:p>
        </w:tc>
      </w:tr>
      <w:tr>
        <w:trPr/>
        <w:tc>
          <w:tcPr>
            <w:tcW w:w="939" w:type="dxa"/>
            <w:tcBorders/>
            <w:shd w:fill="E5FFFF" w:val="clear"/>
            <w:vAlign w:val="bottom"/>
          </w:tcPr>
          <w:p>
            <w:pPr>
              <w:pStyle w:val="TableContents"/>
              <w:spacing w:before="0" w:after="283"/>
              <w:jc w:val="left"/>
              <w:rPr>
                <w:rFonts w:ascii="Arial" w:hAnsi="Arial"/>
                <w:sz w:val="14"/>
              </w:rPr>
            </w:pPr>
            <w:r>
              <w:rPr>
                <w:rFonts w:ascii="Arial" w:hAnsi="Arial"/>
                <w:sz w:val="14"/>
              </w:rPr>
              <w:t>Insurance receipts for asbestos related liabilities</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(166</w:t>
            </w:r>
          </w:p>
        </w:tc>
        <w:tc>
          <w:tcPr>
            <w:tcW w:w="12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6"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(100</w:t>
            </w:r>
          </w:p>
        </w:tc>
        <w:tc>
          <w:tcPr>
            <w:tcW w:w="90"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(266</w:t>
            </w:r>
          </w:p>
        </w:tc>
        <w:tc>
          <w:tcPr>
            <w:tcW w:w="66"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Arial" w:hAnsi="Arial"/>
                <w:sz w:val="14"/>
              </w:rPr>
            </w:pPr>
            <w:r>
              <w:rPr>
                <w:rFonts w:ascii="Arial" w:hAnsi="Arial"/>
                <w:sz w:val="14"/>
              </w:rPr>
              <w:t>(33</w:t>
            </w:r>
          </w:p>
        </w:tc>
        <w:tc>
          <w:tcPr>
            <w:tcW w:w="134"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7"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674" w:type="dxa"/>
            <w:tcBorders/>
            <w:shd w:fill="E5FFFF" w:val="clear"/>
            <w:vAlign w:val="bottom"/>
          </w:tcPr>
          <w:p>
            <w:pPr>
              <w:pStyle w:val="TableContents"/>
              <w:spacing w:before="0" w:after="283"/>
              <w:jc w:val="right"/>
              <w:rPr>
                <w:rFonts w:ascii="Arial" w:hAnsi="Arial"/>
                <w:sz w:val="14"/>
              </w:rPr>
            </w:pPr>
            <w:r>
              <w:rPr>
                <w:rFonts w:ascii="Arial" w:hAnsi="Arial"/>
                <w:sz w:val="14"/>
              </w:rPr>
              <w:t>(127</w:t>
            </w:r>
          </w:p>
        </w:tc>
        <w:tc>
          <w:tcPr>
            <w:tcW w:w="72"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7"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(160</w:t>
            </w:r>
          </w:p>
        </w:tc>
        <w:tc>
          <w:tcPr>
            <w:tcW w:w="66"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513" w:type="dxa"/>
            <w:tcBorders/>
            <w:shd w:fill="E5FFFF" w:val="clear"/>
            <w:vAlign w:val="bottom"/>
          </w:tcPr>
          <w:p>
            <w:pPr>
              <w:pStyle w:val="TableContents"/>
              <w:spacing w:before="0" w:after="283"/>
              <w:jc w:val="right"/>
              <w:rPr>
                <w:rFonts w:ascii="Arial" w:hAnsi="Arial"/>
                <w:sz w:val="14"/>
              </w:rPr>
            </w:pPr>
            <w:r>
              <w:rPr>
                <w:rFonts w:ascii="Arial" w:hAnsi="Arial"/>
                <w:sz w:val="14"/>
              </w:rPr>
              <w:t>(8</w:t>
            </w:r>
          </w:p>
        </w:tc>
        <w:tc>
          <w:tcPr>
            <w:tcW w:w="130"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6" w:type="dxa"/>
            <w:tcBorders/>
            <w:shd w:fill="E5FFFF" w:val="clear"/>
            <w:vAlign w:val="bottom"/>
          </w:tcPr>
          <w:p>
            <w:pPr>
              <w:pStyle w:val="TableContents"/>
              <w:spacing w:before="0" w:after="283"/>
              <w:jc w:val="right"/>
              <w:rPr/>
            </w:pPr>
            <w:r>
              <w:rPr/>
              <w:t>    </w:t>
            </w:r>
          </w:p>
        </w:tc>
        <w:tc>
          <w:tcPr>
            <w:tcW w:w="174" w:type="dxa"/>
            <w:tcBorders/>
            <w:shd w:fill="E5FFFF" w:val="clear"/>
            <w:vAlign w:val="center"/>
          </w:tcPr>
          <w:p>
            <w:pPr>
              <w:pStyle w:val="TableContents"/>
              <w:spacing w:before="0" w:after="283"/>
              <w:rPr/>
            </w:pPr>
            <w:r>
              <w:rPr/>
              <w:t> </w:t>
            </w:r>
          </w:p>
        </w:tc>
        <w:tc>
          <w:tcPr>
            <w:tcW w:w="669" w:type="dxa"/>
            <w:tcBorders/>
            <w:shd w:fill="E5FFFF" w:val="clear"/>
            <w:vAlign w:val="bottom"/>
          </w:tcPr>
          <w:p>
            <w:pPr>
              <w:pStyle w:val="TableContents"/>
              <w:spacing w:before="0" w:after="283"/>
              <w:jc w:val="right"/>
              <w:rPr>
                <w:rFonts w:ascii="Arial" w:hAnsi="Arial"/>
                <w:sz w:val="14"/>
              </w:rPr>
            </w:pPr>
            <w:r>
              <w:rPr>
                <w:rFonts w:ascii="Arial" w:hAnsi="Arial"/>
                <w:sz w:val="14"/>
              </w:rPr>
              <w:t>(59</w:t>
            </w:r>
          </w:p>
        </w:tc>
        <w:tc>
          <w:tcPr>
            <w:tcW w:w="78"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(67</w:t>
            </w:r>
          </w:p>
        </w:tc>
        <w:tc>
          <w:tcPr>
            <w:tcW w:w="81"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939" w:type="dxa"/>
            <w:tcBorders/>
            <w:shd w:fill="FFFFFF" w:val="clear"/>
            <w:vAlign w:val="bottom"/>
          </w:tcPr>
          <w:p>
            <w:pPr>
              <w:pStyle w:val="TableContents"/>
              <w:spacing w:before="0" w:after="283"/>
              <w:jc w:val="left"/>
              <w:rPr>
                <w:rFonts w:ascii="Arial" w:hAnsi="Arial"/>
                <w:sz w:val="14"/>
              </w:rPr>
            </w:pPr>
            <w:r>
              <w:rPr>
                <w:rFonts w:ascii="Arial" w:hAnsi="Arial"/>
                <w:sz w:val="14"/>
              </w:rPr>
              <w:t>Insurance receivables settlements and write-offs(1)</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TableContents"/>
              <w:spacing w:before="0" w:after="283"/>
              <w:jc w:val="right"/>
              <w:rPr>
                <w:rFonts w:ascii="Arial" w:hAnsi="Arial"/>
                <w:sz w:val="14"/>
              </w:rPr>
            </w:pPr>
            <w:r>
              <w:rPr>
                <w:rFonts w:ascii="Arial" w:hAnsi="Arial"/>
                <w:sz w:val="14"/>
              </w:rPr>
              <w:t>34</w:t>
            </w:r>
          </w:p>
        </w:tc>
        <w:tc>
          <w:tcPr>
            <w:tcW w:w="121"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TableContents"/>
              <w:spacing w:before="0" w:after="283"/>
              <w:jc w:val="right"/>
              <w:rPr>
                <w:rFonts w:ascii="Arial" w:hAnsi="Arial"/>
                <w:sz w:val="14"/>
              </w:rPr>
            </w:pPr>
            <w:r>
              <w:rPr>
                <w:rFonts w:ascii="Arial" w:hAnsi="Arial"/>
                <w:sz w:val="14"/>
              </w:rPr>
              <w:t>(41</w:t>
            </w:r>
          </w:p>
        </w:tc>
        <w:tc>
          <w:tcPr>
            <w:tcW w:w="90"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(7</w:t>
            </w:r>
          </w:p>
        </w:tc>
        <w:tc>
          <w:tcPr>
            <w:tcW w:w="66"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240"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502" w:type="dxa"/>
            <w:tcBorders/>
            <w:shd w:fill="FFFFFF" w:val="clear"/>
            <w:vAlign w:val="bottom"/>
          </w:tcPr>
          <w:p>
            <w:pPr>
              <w:pStyle w:val="TableContents"/>
              <w:spacing w:before="0" w:after="283"/>
              <w:jc w:val="right"/>
              <w:rPr>
                <w:rFonts w:ascii="Arial" w:hAnsi="Arial"/>
                <w:sz w:val="14"/>
              </w:rPr>
            </w:pPr>
            <w:r>
              <w:rPr>
                <w:rFonts w:ascii="Arial" w:hAnsi="Arial"/>
                <w:sz w:val="14"/>
              </w:rPr>
              <w:t>41</w:t>
            </w:r>
          </w:p>
        </w:tc>
        <w:tc>
          <w:tcPr>
            <w:tcW w:w="134"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674" w:type="dxa"/>
            <w:tcBorders/>
            <w:shd w:fill="FFFFFF" w:val="clear"/>
            <w:vAlign w:val="bottom"/>
          </w:tcPr>
          <w:p>
            <w:pPr>
              <w:pStyle w:val="TableContents"/>
              <w:spacing w:before="0" w:after="283"/>
              <w:jc w:val="right"/>
              <w:rPr/>
            </w:pPr>
            <w:r>
              <w:rPr/>
              <w:t>—</w:t>
            </w:r>
          </w:p>
        </w:tc>
        <w:tc>
          <w:tcPr>
            <w:tcW w:w="72"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TableContents"/>
              <w:spacing w:before="0" w:after="283"/>
              <w:jc w:val="right"/>
              <w:rPr>
                <w:rFonts w:ascii="Arial" w:hAnsi="Arial"/>
                <w:sz w:val="14"/>
              </w:rPr>
            </w:pPr>
            <w:r>
              <w:rPr>
                <w:rFonts w:ascii="Arial" w:hAnsi="Arial"/>
                <w:sz w:val="14"/>
              </w:rPr>
              <w:t>41</w:t>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6" w:type="dxa"/>
            <w:tcBorders/>
            <w:shd w:fill="FFFFFF" w:val="clear"/>
            <w:vAlign w:val="center"/>
          </w:tcPr>
          <w:p>
            <w:pPr>
              <w:pStyle w:val="TableContents"/>
              <w:spacing w:before="0" w:after="283"/>
              <w:rPr/>
            </w:pPr>
            <w:r>
              <w:rPr/>
              <w:t> </w:t>
            </w:r>
          </w:p>
        </w:tc>
        <w:tc>
          <w:tcPr>
            <w:tcW w:w="513" w:type="dxa"/>
            <w:tcBorders/>
            <w:shd w:fill="FFFFFF" w:val="clear"/>
            <w:vAlign w:val="bottom"/>
          </w:tcPr>
          <w:p>
            <w:pPr>
              <w:pStyle w:val="TableContents"/>
              <w:spacing w:before="0" w:after="283"/>
              <w:jc w:val="right"/>
              <w:rPr/>
            </w:pPr>
            <w:r>
              <w:rPr/>
              <w:t>—</w:t>
            </w:r>
          </w:p>
        </w:tc>
        <w:tc>
          <w:tcPr>
            <w:tcW w:w="13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4"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TableContents"/>
              <w:spacing w:before="0" w:after="283"/>
              <w:jc w:val="right"/>
              <w:rPr/>
            </w:pPr>
            <w:r>
              <w:rPr/>
              <w:t>—</w:t>
            </w:r>
          </w:p>
        </w:tc>
        <w:tc>
          <w:tcPr>
            <w:tcW w:w="7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TableContents"/>
              <w:spacing w:before="0" w:after="283"/>
              <w:jc w:val="right"/>
              <w:rPr/>
            </w:pPr>
            <w:r>
              <w:rPr/>
              <w:t>—</w:t>
            </w:r>
          </w:p>
        </w:tc>
        <w:tc>
          <w:tcPr>
            <w:tcW w:w="81" w:type="dxa"/>
            <w:tcBorders/>
            <w:shd w:fill="FFFFFF" w:val="clear"/>
            <w:vAlign w:val="center"/>
          </w:tcPr>
          <w:p>
            <w:pPr>
              <w:pStyle w:val="TableContents"/>
              <w:spacing w:before="0" w:after="283"/>
              <w:rPr/>
            </w:pPr>
            <w:r>
              <w:rPr/>
              <w:t> </w:t>
            </w:r>
          </w:p>
        </w:tc>
      </w:tr>
      <w:tr>
        <w:trPr/>
        <w:tc>
          <w:tcPr>
            <w:tcW w:w="939" w:type="dxa"/>
            <w:tcBorders/>
            <w:shd w:fill="E5FFFF" w:val="clear"/>
            <w:vAlign w:val="bottom"/>
          </w:tcPr>
          <w:p>
            <w:pPr>
              <w:pStyle w:val="TableContents"/>
              <w:spacing w:before="0" w:after="283"/>
              <w:jc w:val="left"/>
              <w:rPr>
                <w:rFonts w:ascii="Arial" w:hAnsi="Arial"/>
                <w:sz w:val="14"/>
              </w:rPr>
            </w:pPr>
            <w:r>
              <w:rPr>
                <w:rFonts w:ascii="Arial" w:hAnsi="Arial"/>
                <w:sz w:val="14"/>
              </w:rPr>
              <w:t>Other(2)</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7</w:t>
            </w:r>
          </w:p>
        </w:tc>
        <w:tc>
          <w:tcPr>
            <w:tcW w:w="121"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71" w:type="dxa"/>
            <w:tcBorders/>
            <w:shd w:fill="E5FFFF" w:val="clear"/>
            <w:vAlign w:val="center"/>
          </w:tcPr>
          <w:p>
            <w:pPr>
              <w:pStyle w:val="TableContents"/>
              <w:spacing w:before="0" w:after="283"/>
              <w:rPr/>
            </w:pPr>
            <w:r>
              <w:rPr/>
              <w:t> </w:t>
            </w:r>
          </w:p>
        </w:tc>
        <w:tc>
          <w:tcPr>
            <w:tcW w:w="659" w:type="dxa"/>
            <w:tcBorders/>
            <w:shd w:fill="E5FFFF" w:val="clear"/>
            <w:vAlign w:val="bottom"/>
          </w:tcPr>
          <w:p>
            <w:pPr>
              <w:pStyle w:val="TableContents"/>
              <w:spacing w:before="0" w:after="283"/>
              <w:jc w:val="right"/>
              <w:rPr/>
            </w:pPr>
            <w:r>
              <w:rPr/>
              <w:t>—</w:t>
            </w:r>
          </w:p>
        </w:tc>
        <w:tc>
          <w:tcPr>
            <w:tcW w:w="90"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7</w:t>
            </w:r>
          </w:p>
        </w:tc>
        <w:tc>
          <w:tcPr>
            <w:tcW w:w="6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93" w:type="dxa"/>
            <w:tcBorders/>
            <w:shd w:fill="E5FFFF" w:val="clear"/>
            <w:vAlign w:val="center"/>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Arial" w:hAnsi="Arial"/>
                <w:sz w:val="14"/>
              </w:rPr>
            </w:pPr>
            <w:r>
              <w:rPr>
                <w:rFonts w:ascii="Arial" w:hAnsi="Arial"/>
                <w:sz w:val="14"/>
              </w:rPr>
              <w:t>14</w:t>
            </w:r>
          </w:p>
        </w:tc>
        <w:tc>
          <w:tcPr>
            <w:tcW w:w="134"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75" w:type="dxa"/>
            <w:tcBorders/>
            <w:shd w:fill="E5FFFF" w:val="clear"/>
            <w:vAlign w:val="center"/>
          </w:tcPr>
          <w:p>
            <w:pPr>
              <w:pStyle w:val="TableContents"/>
              <w:spacing w:before="0" w:after="283"/>
              <w:rPr/>
            </w:pPr>
            <w:r>
              <w:rPr/>
              <w:t> </w:t>
            </w:r>
          </w:p>
        </w:tc>
        <w:tc>
          <w:tcPr>
            <w:tcW w:w="674" w:type="dxa"/>
            <w:tcBorders/>
            <w:shd w:fill="E5FFFF" w:val="clear"/>
            <w:vAlign w:val="bottom"/>
          </w:tcPr>
          <w:p>
            <w:pPr>
              <w:pStyle w:val="TableContents"/>
              <w:spacing w:before="0" w:after="283"/>
              <w:jc w:val="right"/>
              <w:rPr>
                <w:rFonts w:ascii="Arial" w:hAnsi="Arial"/>
                <w:sz w:val="14"/>
              </w:rPr>
            </w:pPr>
            <w:r>
              <w:rPr>
                <w:rFonts w:ascii="Arial" w:hAnsi="Arial"/>
                <w:sz w:val="14"/>
              </w:rPr>
              <w:t>(3</w:t>
            </w:r>
          </w:p>
        </w:tc>
        <w:tc>
          <w:tcPr>
            <w:tcW w:w="72"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247"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11</w:t>
            </w:r>
          </w:p>
        </w:tc>
        <w:tc>
          <w:tcPr>
            <w:tcW w:w="6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6" w:type="dxa"/>
            <w:tcBorders/>
            <w:shd w:fill="E5FFFF" w:val="clear"/>
            <w:vAlign w:val="center"/>
          </w:tcPr>
          <w:p>
            <w:pPr>
              <w:pStyle w:val="TableContents"/>
              <w:spacing w:before="0" w:after="283"/>
              <w:rPr/>
            </w:pPr>
            <w:r>
              <w:rPr/>
              <w:t> </w:t>
            </w:r>
          </w:p>
        </w:tc>
        <w:tc>
          <w:tcPr>
            <w:tcW w:w="513" w:type="dxa"/>
            <w:tcBorders/>
            <w:shd w:fill="E5FFFF" w:val="clear"/>
            <w:vAlign w:val="bottom"/>
          </w:tcPr>
          <w:p>
            <w:pPr>
              <w:pStyle w:val="TableContents"/>
              <w:spacing w:before="0" w:after="283"/>
              <w:jc w:val="right"/>
              <w:rPr/>
            </w:pPr>
            <w:r>
              <w:rPr/>
              <w:t>—</w:t>
            </w:r>
          </w:p>
        </w:tc>
        <w:tc>
          <w:tcPr>
            <w:tcW w:w="130"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74" w:type="dxa"/>
            <w:tcBorders/>
            <w:shd w:fill="E5FFFF" w:val="clear"/>
            <w:vAlign w:val="center"/>
          </w:tcPr>
          <w:p>
            <w:pPr>
              <w:pStyle w:val="TableContents"/>
              <w:spacing w:before="0" w:after="283"/>
              <w:rPr/>
            </w:pPr>
            <w:r>
              <w:rPr/>
              <w:t> </w:t>
            </w:r>
          </w:p>
        </w:tc>
        <w:tc>
          <w:tcPr>
            <w:tcW w:w="669" w:type="dxa"/>
            <w:tcBorders/>
            <w:shd w:fill="E5FFFF" w:val="clear"/>
            <w:vAlign w:val="bottom"/>
          </w:tcPr>
          <w:p>
            <w:pPr>
              <w:pStyle w:val="TableContents"/>
              <w:spacing w:before="0" w:after="283"/>
              <w:jc w:val="right"/>
              <w:rPr>
                <w:rFonts w:ascii="Arial" w:hAnsi="Arial"/>
                <w:sz w:val="14"/>
              </w:rPr>
            </w:pPr>
            <w:r>
              <w:rPr>
                <w:rFonts w:ascii="Arial" w:hAnsi="Arial"/>
                <w:sz w:val="14"/>
              </w:rPr>
              <w:t>47</w:t>
            </w:r>
          </w:p>
        </w:tc>
        <w:tc>
          <w:tcPr>
            <w:tcW w:w="7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center"/>
          </w:tcPr>
          <w:p>
            <w:pPr>
              <w:pStyle w:val="TableContents"/>
              <w:spacing w:before="0" w:after="283"/>
              <w:rPr/>
            </w:pPr>
            <w:r>
              <w:rPr/>
              <w:t> </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47</w:t>
            </w:r>
          </w:p>
        </w:tc>
        <w:tc>
          <w:tcPr>
            <w:tcW w:w="81" w:type="dxa"/>
            <w:tcBorders/>
            <w:shd w:fill="E5FFFF" w:val="clear"/>
            <w:vAlign w:val="center"/>
          </w:tcPr>
          <w:p>
            <w:pPr>
              <w:pStyle w:val="TableContents"/>
              <w:spacing w:before="0" w:after="283"/>
              <w:rPr/>
            </w:pPr>
            <w:r>
              <w:rPr/>
              <w:t> </w:t>
            </w:r>
          </w:p>
        </w:tc>
      </w:tr>
      <w:tr>
        <w:trPr/>
        <w:tc>
          <w:tcPr>
            <w:tcW w:w="93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HorizontalLine"/>
              <w:pBdr>
                <w:bottom w:val="single" w:sz="6" w:space="0" w:color="000000"/>
              </w:pBdr>
              <w:spacing w:before="0" w:after="283"/>
              <w:rPr/>
            </w:pPr>
            <w:r>
              <w:rPr/>
            </w:r>
          </w:p>
        </w:tc>
        <w:tc>
          <w:tcPr>
            <w:tcW w:w="121"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HorizontalLine"/>
              <w:pBdr>
                <w:bottom w:val="single" w:sz="6" w:space="0" w:color="000000"/>
              </w:pBdr>
              <w:spacing w:before="0" w:after="283"/>
              <w:rPr/>
            </w:pPr>
            <w:r>
              <w:rPr/>
            </w:r>
          </w:p>
        </w:tc>
        <w:tc>
          <w:tcPr>
            <w:tcW w:w="9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HorizontalLine"/>
              <w:pBdr>
                <w:bottom w:val="single" w:sz="6" w:space="0" w:color="000000"/>
              </w:pBdr>
              <w:spacing w:before="0" w:after="283"/>
              <w:rPr/>
            </w:pPr>
            <w:r>
              <w:rPr/>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502" w:type="dxa"/>
            <w:tcBorders/>
            <w:shd w:fill="FFFFFF" w:val="clear"/>
            <w:vAlign w:val="bottom"/>
          </w:tcPr>
          <w:p>
            <w:pPr>
              <w:pStyle w:val="HorizontalLine"/>
              <w:pBdr>
                <w:bottom w:val="single" w:sz="6"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674" w:type="dxa"/>
            <w:tcBorders/>
            <w:shd w:fill="FFFFFF" w:val="clear"/>
            <w:vAlign w:val="bottom"/>
          </w:tcPr>
          <w:p>
            <w:pPr>
              <w:pStyle w:val="HorizontalLine"/>
              <w:pBdr>
                <w:bottom w:val="single" w:sz="6" w:space="0" w:color="000000"/>
              </w:pBdr>
              <w:spacing w:before="0" w:after="283"/>
              <w:rPr/>
            </w:pPr>
            <w:r>
              <w:rPr/>
            </w:r>
          </w:p>
        </w:tc>
        <w:tc>
          <w:tcPr>
            <w:tcW w:w="72"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HorizontalLine"/>
              <w:pBdr>
                <w:bottom w:val="single" w:sz="6" w:space="0" w:color="000000"/>
              </w:pBdr>
              <w:spacing w:before="0" w:after="283"/>
              <w:rPr/>
            </w:pPr>
            <w:r>
              <w:rPr/>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6" w:type="dxa"/>
            <w:tcBorders/>
            <w:shd w:fill="FFFFFF" w:val="clear"/>
            <w:vAlign w:val="center"/>
          </w:tcPr>
          <w:p>
            <w:pPr>
              <w:pStyle w:val="TableContents"/>
              <w:spacing w:before="0" w:after="283"/>
              <w:rPr/>
            </w:pPr>
            <w:r>
              <w:rPr/>
              <w:t> </w:t>
            </w:r>
          </w:p>
        </w:tc>
        <w:tc>
          <w:tcPr>
            <w:tcW w:w="513" w:type="dxa"/>
            <w:tcBorders/>
            <w:shd w:fill="FFFFFF" w:val="clear"/>
            <w:vAlign w:val="bottom"/>
          </w:tcPr>
          <w:p>
            <w:pPr>
              <w:pStyle w:val="HorizontalLine"/>
              <w:pBdr>
                <w:bottom w:val="single" w:sz="6" w:space="0" w:color="000000"/>
              </w:pBdr>
              <w:spacing w:before="0" w:after="283"/>
              <w:rPr/>
            </w:pPr>
            <w:r>
              <w:rPr/>
            </w:r>
          </w:p>
        </w:tc>
        <w:tc>
          <w:tcPr>
            <w:tcW w:w="13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4"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HorizontalLine"/>
              <w:pBdr>
                <w:bottom w:val="single" w:sz="6" w:space="0" w:color="000000"/>
              </w:pBdr>
              <w:spacing w:before="0" w:after="283"/>
              <w:rPr/>
            </w:pPr>
            <w:r>
              <w:rPr/>
            </w:r>
          </w:p>
        </w:tc>
        <w:tc>
          <w:tcPr>
            <w:tcW w:w="7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HorizontalLine"/>
              <w:pBdr>
                <w:bottom w:val="single" w:sz="6" w:space="0" w:color="000000"/>
              </w:pBdr>
              <w:spacing w:before="0" w:after="283"/>
              <w:rPr/>
            </w:pPr>
            <w:r>
              <w:rPr/>
            </w:r>
          </w:p>
        </w:tc>
        <w:tc>
          <w:tcPr>
            <w:tcW w:w="81" w:type="dxa"/>
            <w:tcBorders/>
            <w:shd w:fill="FFFFFF" w:val="clear"/>
            <w:vAlign w:val="center"/>
          </w:tcPr>
          <w:p>
            <w:pPr>
              <w:pStyle w:val="TableContents"/>
              <w:spacing w:before="0" w:after="283"/>
              <w:rPr/>
            </w:pPr>
            <w:r>
              <w:rPr/>
              <w:t> </w:t>
            </w:r>
          </w:p>
        </w:tc>
      </w:tr>
      <w:tr>
        <w:trPr/>
        <w:tc>
          <w:tcPr>
            <w:tcW w:w="939" w:type="dxa"/>
            <w:tcBorders/>
            <w:shd w:fill="E5FFFF" w:val="clear"/>
            <w:vAlign w:val="bottom"/>
          </w:tcPr>
          <w:p>
            <w:pPr>
              <w:pStyle w:val="TableContents"/>
              <w:spacing w:before="0" w:after="283"/>
              <w:jc w:val="left"/>
              <w:rPr>
                <w:rFonts w:ascii="Arial" w:hAnsi="Arial"/>
                <w:sz w:val="14"/>
              </w:rPr>
            </w:pPr>
            <w:r>
              <w:rPr>
                <w:rFonts w:ascii="Arial" w:hAnsi="Arial"/>
                <w:sz w:val="14"/>
              </w:rPr>
              <w:t>End of year</w:t>
            </w:r>
          </w:p>
        </w:tc>
        <w:tc>
          <w:tcPr>
            <w:tcW w:w="240" w:type="dxa"/>
            <w:tcBorders/>
            <w:shd w:fill="E5FFFF" w:val="clear"/>
            <w:vAlign w:val="bottom"/>
          </w:tcPr>
          <w:p>
            <w:pPr>
              <w:pStyle w:val="TableContents"/>
              <w:spacing w:before="0" w:after="283"/>
              <w:jc w:val="right"/>
              <w:rPr/>
            </w:pPr>
            <w:r>
              <w:rPr/>
              <w:t>    </w:t>
            </w:r>
          </w:p>
        </w:tc>
        <w:tc>
          <w:tcPr>
            <w:tcW w:w="17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34" w:type="dxa"/>
            <w:tcBorders/>
            <w:shd w:fill="E5FFFF" w:val="clear"/>
            <w:vAlign w:val="bottom"/>
          </w:tcPr>
          <w:p>
            <w:pPr>
              <w:pStyle w:val="TableContents"/>
              <w:spacing w:before="0" w:after="283"/>
              <w:jc w:val="right"/>
              <w:rPr>
                <w:rFonts w:ascii="Arial" w:hAnsi="Arial"/>
                <w:sz w:val="14"/>
              </w:rPr>
            </w:pPr>
            <w:r>
              <w:rPr>
                <w:rFonts w:ascii="Arial" w:hAnsi="Arial"/>
                <w:sz w:val="14"/>
              </w:rPr>
              <w:t>302</w:t>
            </w:r>
          </w:p>
        </w:tc>
        <w:tc>
          <w:tcPr>
            <w:tcW w:w="121"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71"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59" w:type="dxa"/>
            <w:tcBorders/>
            <w:shd w:fill="E5FFFF" w:val="clear"/>
            <w:vAlign w:val="bottom"/>
          </w:tcPr>
          <w:p>
            <w:pPr>
              <w:pStyle w:val="TableContents"/>
              <w:spacing w:before="0" w:after="283"/>
              <w:jc w:val="right"/>
              <w:rPr>
                <w:rFonts w:ascii="Arial" w:hAnsi="Arial"/>
                <w:sz w:val="14"/>
              </w:rPr>
            </w:pPr>
            <w:r>
              <w:rPr>
                <w:rFonts w:ascii="Arial" w:hAnsi="Arial"/>
                <w:sz w:val="14"/>
              </w:rPr>
              <w:t>955</w:t>
            </w:r>
          </w:p>
        </w:tc>
        <w:tc>
          <w:tcPr>
            <w:tcW w:w="90"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1,257</w:t>
            </w:r>
          </w:p>
        </w:tc>
        <w:tc>
          <w:tcPr>
            <w:tcW w:w="6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93"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02" w:type="dxa"/>
            <w:tcBorders/>
            <w:shd w:fill="E5FFFF" w:val="clear"/>
            <w:vAlign w:val="bottom"/>
          </w:tcPr>
          <w:p>
            <w:pPr>
              <w:pStyle w:val="TableContents"/>
              <w:spacing w:before="0" w:after="283"/>
              <w:jc w:val="right"/>
              <w:rPr>
                <w:rFonts w:ascii="Arial" w:hAnsi="Arial"/>
                <w:sz w:val="14"/>
              </w:rPr>
            </w:pPr>
            <w:r>
              <w:rPr>
                <w:rFonts w:ascii="Arial" w:hAnsi="Arial"/>
                <w:sz w:val="14"/>
              </w:rPr>
              <w:t>377</w:t>
            </w:r>
          </w:p>
        </w:tc>
        <w:tc>
          <w:tcPr>
            <w:tcW w:w="134"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75"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74" w:type="dxa"/>
            <w:tcBorders/>
            <w:shd w:fill="E5FFFF" w:val="clear"/>
            <w:vAlign w:val="bottom"/>
          </w:tcPr>
          <w:p>
            <w:pPr>
              <w:pStyle w:val="TableContents"/>
              <w:spacing w:before="0" w:after="283"/>
              <w:jc w:val="right"/>
              <w:rPr>
                <w:rFonts w:ascii="Arial" w:hAnsi="Arial"/>
                <w:sz w:val="14"/>
              </w:rPr>
            </w:pPr>
            <w:r>
              <w:rPr>
                <w:rFonts w:ascii="Arial" w:hAnsi="Arial"/>
                <w:sz w:val="14"/>
              </w:rPr>
              <w:t>1,096</w:t>
            </w:r>
          </w:p>
        </w:tc>
        <w:tc>
          <w:tcPr>
            <w:tcW w:w="72" w:type="dxa"/>
            <w:tcBorders/>
            <w:shd w:fill="E5FFFF" w:val="clear"/>
            <w:vAlign w:val="center"/>
          </w:tcPr>
          <w:p>
            <w:pPr>
              <w:pStyle w:val="TableContents"/>
              <w:spacing w:before="0" w:after="283"/>
              <w:rPr/>
            </w:pPr>
            <w:r>
              <w:rPr/>
              <w:t> </w:t>
            </w:r>
          </w:p>
        </w:tc>
        <w:tc>
          <w:tcPr>
            <w:tcW w:w="247"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1,473</w:t>
            </w:r>
          </w:p>
        </w:tc>
        <w:tc>
          <w:tcPr>
            <w:tcW w:w="66"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86"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513" w:type="dxa"/>
            <w:tcBorders/>
            <w:shd w:fill="E5FFFF" w:val="clear"/>
            <w:vAlign w:val="bottom"/>
          </w:tcPr>
          <w:p>
            <w:pPr>
              <w:pStyle w:val="TableContents"/>
              <w:spacing w:before="0" w:after="283"/>
              <w:jc w:val="right"/>
              <w:rPr>
                <w:rFonts w:ascii="Arial" w:hAnsi="Arial"/>
                <w:sz w:val="14"/>
              </w:rPr>
            </w:pPr>
            <w:r>
              <w:rPr>
                <w:rFonts w:ascii="Arial" w:hAnsi="Arial"/>
                <w:sz w:val="14"/>
              </w:rPr>
              <w:t>336</w:t>
            </w:r>
          </w:p>
        </w:tc>
        <w:tc>
          <w:tcPr>
            <w:tcW w:w="130"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74"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669" w:type="dxa"/>
            <w:tcBorders/>
            <w:shd w:fill="E5FFFF" w:val="clear"/>
            <w:vAlign w:val="bottom"/>
          </w:tcPr>
          <w:p>
            <w:pPr>
              <w:pStyle w:val="TableContents"/>
              <w:spacing w:before="0" w:after="283"/>
              <w:jc w:val="right"/>
              <w:rPr>
                <w:rFonts w:ascii="Arial" w:hAnsi="Arial"/>
                <w:sz w:val="14"/>
              </w:rPr>
            </w:pPr>
            <w:r>
              <w:rPr>
                <w:rFonts w:ascii="Arial" w:hAnsi="Arial"/>
                <w:sz w:val="14"/>
              </w:rPr>
              <w:t>1,226</w:t>
            </w:r>
          </w:p>
        </w:tc>
        <w:tc>
          <w:tcPr>
            <w:tcW w:w="78" w:type="dxa"/>
            <w:tcBorders/>
            <w:shd w:fill="E5FFFF" w:val="clear"/>
            <w:vAlign w:val="center"/>
          </w:tcPr>
          <w:p>
            <w:pPr>
              <w:pStyle w:val="TableContents"/>
              <w:spacing w:before="0" w:after="283"/>
              <w:rPr/>
            </w:pPr>
            <w:r>
              <w:rPr/>
              <w:t> </w:t>
            </w:r>
          </w:p>
        </w:tc>
        <w:tc>
          <w:tcPr>
            <w:tcW w:w="246" w:type="dxa"/>
            <w:tcBorders/>
            <w:shd w:fill="E5FFFF" w:val="clear"/>
            <w:vAlign w:val="bottom"/>
          </w:tcPr>
          <w:p>
            <w:pPr>
              <w:pStyle w:val="TableContents"/>
              <w:spacing w:before="0" w:after="283"/>
              <w:jc w:val="right"/>
              <w:rPr/>
            </w:pPr>
            <w:r>
              <w:rPr/>
              <w:t>    </w:t>
            </w:r>
          </w:p>
        </w:tc>
        <w:tc>
          <w:tcPr>
            <w:tcW w:w="160" w:type="dxa"/>
            <w:tcBorders/>
            <w:shd w:fill="E5FFFF" w:val="clear"/>
            <w:vAlign w:val="bottom"/>
          </w:tcPr>
          <w:p>
            <w:pPr>
              <w:pStyle w:val="TableContents"/>
              <w:spacing w:before="0" w:after="283"/>
              <w:jc w:val="right"/>
              <w:rPr>
                <w:rFonts w:ascii="Arial" w:hAnsi="Arial"/>
                <w:sz w:val="14"/>
              </w:rPr>
            </w:pPr>
            <w:r>
              <w:rPr>
                <w:rFonts w:ascii="Arial" w:hAnsi="Arial"/>
                <w:sz w:val="14"/>
              </w:rPr>
              <w:t>$</w:t>
            </w:r>
          </w:p>
        </w:tc>
        <w:tc>
          <w:tcPr>
            <w:tcW w:w="375" w:type="dxa"/>
            <w:tcBorders/>
            <w:shd w:fill="E5FFFF" w:val="clear"/>
            <w:vAlign w:val="bottom"/>
          </w:tcPr>
          <w:p>
            <w:pPr>
              <w:pStyle w:val="TableContents"/>
              <w:spacing w:before="0" w:after="283"/>
              <w:jc w:val="right"/>
              <w:rPr>
                <w:rFonts w:ascii="Arial" w:hAnsi="Arial"/>
                <w:sz w:val="14"/>
              </w:rPr>
            </w:pPr>
            <w:r>
              <w:rPr>
                <w:rFonts w:ascii="Arial" w:hAnsi="Arial"/>
                <w:sz w:val="14"/>
              </w:rPr>
              <w:t>1,562</w:t>
            </w:r>
          </w:p>
        </w:tc>
        <w:tc>
          <w:tcPr>
            <w:tcW w:w="81" w:type="dxa"/>
            <w:tcBorders/>
            <w:shd w:fill="E5FFFF" w:val="clear"/>
            <w:vAlign w:val="center"/>
          </w:tcPr>
          <w:p>
            <w:pPr>
              <w:pStyle w:val="TableContents"/>
              <w:spacing w:before="0" w:after="283"/>
              <w:rPr/>
            </w:pPr>
            <w:r>
              <w:rPr/>
              <w:t> </w:t>
            </w:r>
          </w:p>
        </w:tc>
      </w:tr>
      <w:tr>
        <w:trPr/>
        <w:tc>
          <w:tcPr>
            <w:tcW w:w="939"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bottom"/>
          </w:tcPr>
          <w:p>
            <w:pPr>
              <w:pStyle w:val="HorizontalLine"/>
              <w:pBdr>
                <w:bottom w:val="single" w:sz="18" w:space="0" w:color="000000"/>
              </w:pBdr>
              <w:spacing w:before="0" w:after="283"/>
              <w:rPr/>
            </w:pPr>
            <w:r>
              <w:rPr/>
            </w:r>
          </w:p>
        </w:tc>
        <w:tc>
          <w:tcPr>
            <w:tcW w:w="121"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bottom"/>
          </w:tcPr>
          <w:p>
            <w:pPr>
              <w:pStyle w:val="HorizontalLine"/>
              <w:pBdr>
                <w:bottom w:val="single" w:sz="18" w:space="0" w:color="000000"/>
              </w:pBdr>
              <w:spacing w:before="0" w:after="283"/>
              <w:rPr/>
            </w:pPr>
            <w:r>
              <w:rPr/>
            </w:r>
          </w:p>
        </w:tc>
        <w:tc>
          <w:tcPr>
            <w:tcW w:w="9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HorizontalLine"/>
              <w:pBdr>
                <w:bottom w:val="single" w:sz="18" w:space="0" w:color="000000"/>
              </w:pBdr>
              <w:spacing w:before="0" w:after="283"/>
              <w:rPr/>
            </w:pPr>
            <w:r>
              <w:rPr/>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93" w:type="dxa"/>
            <w:tcBorders/>
            <w:shd w:fill="FFFFFF" w:val="clear"/>
            <w:vAlign w:val="center"/>
          </w:tcPr>
          <w:p>
            <w:pPr>
              <w:pStyle w:val="TableContents"/>
              <w:spacing w:before="0" w:after="283"/>
              <w:rPr/>
            </w:pPr>
            <w:r>
              <w:rPr/>
              <w:t> </w:t>
            </w:r>
          </w:p>
        </w:tc>
        <w:tc>
          <w:tcPr>
            <w:tcW w:w="502" w:type="dxa"/>
            <w:tcBorders/>
            <w:shd w:fill="FFFFFF" w:val="clear"/>
            <w:vAlign w:val="bottom"/>
          </w:tcPr>
          <w:p>
            <w:pPr>
              <w:pStyle w:val="HorizontalLine"/>
              <w:pBdr>
                <w:bottom w:val="single" w:sz="18"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75" w:type="dxa"/>
            <w:tcBorders/>
            <w:shd w:fill="FFFFFF" w:val="clear"/>
            <w:vAlign w:val="center"/>
          </w:tcPr>
          <w:p>
            <w:pPr>
              <w:pStyle w:val="TableContents"/>
              <w:spacing w:before="0" w:after="283"/>
              <w:rPr/>
            </w:pPr>
            <w:r>
              <w:rPr/>
              <w:t> </w:t>
            </w:r>
          </w:p>
        </w:tc>
        <w:tc>
          <w:tcPr>
            <w:tcW w:w="674" w:type="dxa"/>
            <w:tcBorders/>
            <w:shd w:fill="FFFFFF" w:val="clear"/>
            <w:vAlign w:val="bottom"/>
          </w:tcPr>
          <w:p>
            <w:pPr>
              <w:pStyle w:val="HorizontalLine"/>
              <w:pBdr>
                <w:bottom w:val="single" w:sz="18" w:space="0" w:color="000000"/>
              </w:pBdr>
              <w:spacing w:before="0" w:after="283"/>
              <w:rPr/>
            </w:pPr>
            <w:r>
              <w:rPr/>
            </w:r>
          </w:p>
        </w:tc>
        <w:tc>
          <w:tcPr>
            <w:tcW w:w="72" w:type="dxa"/>
            <w:tcBorders/>
            <w:shd w:fill="FFFFFF" w:val="clear"/>
            <w:vAlign w:val="center"/>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HorizontalLine"/>
              <w:pBdr>
                <w:bottom w:val="single" w:sz="18" w:space="0" w:color="000000"/>
              </w:pBdr>
              <w:spacing w:before="0" w:after="283"/>
              <w:rPr/>
            </w:pPr>
            <w:r>
              <w:rPr/>
            </w:r>
          </w:p>
        </w:tc>
        <w:tc>
          <w:tcPr>
            <w:tcW w:w="66"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86" w:type="dxa"/>
            <w:tcBorders/>
            <w:shd w:fill="FFFFFF" w:val="clear"/>
            <w:vAlign w:val="center"/>
          </w:tcPr>
          <w:p>
            <w:pPr>
              <w:pStyle w:val="TableContents"/>
              <w:spacing w:before="0" w:after="283"/>
              <w:rPr/>
            </w:pPr>
            <w:r>
              <w:rPr/>
              <w:t> </w:t>
            </w:r>
          </w:p>
        </w:tc>
        <w:tc>
          <w:tcPr>
            <w:tcW w:w="513" w:type="dxa"/>
            <w:tcBorders/>
            <w:shd w:fill="FFFFFF" w:val="clear"/>
            <w:vAlign w:val="bottom"/>
          </w:tcPr>
          <w:p>
            <w:pPr>
              <w:pStyle w:val="HorizontalLine"/>
              <w:pBdr>
                <w:bottom w:val="single" w:sz="18" w:space="0" w:color="000000"/>
              </w:pBdr>
              <w:spacing w:before="0" w:after="283"/>
              <w:rPr/>
            </w:pPr>
            <w:r>
              <w:rPr/>
            </w:r>
          </w:p>
        </w:tc>
        <w:tc>
          <w:tcPr>
            <w:tcW w:w="130"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74" w:type="dxa"/>
            <w:tcBorders/>
            <w:shd w:fill="FFFFFF" w:val="clear"/>
            <w:vAlign w:val="center"/>
          </w:tcPr>
          <w:p>
            <w:pPr>
              <w:pStyle w:val="TableContents"/>
              <w:spacing w:before="0" w:after="283"/>
              <w:rPr/>
            </w:pPr>
            <w:r>
              <w:rPr/>
              <w:t> </w:t>
            </w:r>
          </w:p>
        </w:tc>
        <w:tc>
          <w:tcPr>
            <w:tcW w:w="669" w:type="dxa"/>
            <w:tcBorders/>
            <w:shd w:fill="FFFFFF" w:val="clear"/>
            <w:vAlign w:val="bottom"/>
          </w:tcPr>
          <w:p>
            <w:pPr>
              <w:pStyle w:val="HorizontalLine"/>
              <w:pBdr>
                <w:bottom w:val="single" w:sz="18" w:space="0" w:color="000000"/>
              </w:pBdr>
              <w:spacing w:before="0" w:after="283"/>
              <w:rPr/>
            </w:pPr>
            <w:r>
              <w:rPr/>
            </w:r>
          </w:p>
        </w:tc>
        <w:tc>
          <w:tcPr>
            <w:tcW w:w="78" w:type="dxa"/>
            <w:tcBorders/>
            <w:shd w:fill="FFFFFF" w:val="clear"/>
            <w:vAlign w:val="center"/>
          </w:tcPr>
          <w:p>
            <w:pPr>
              <w:pStyle w:val="TableContents"/>
              <w:spacing w:before="0" w:after="283"/>
              <w:rPr/>
            </w:pPr>
            <w:r>
              <w:rPr/>
              <w:t> </w:t>
            </w:r>
          </w:p>
        </w:tc>
        <w:tc>
          <w:tcPr>
            <w:tcW w:w="246" w:type="dxa"/>
            <w:tcBorders/>
            <w:shd w:fill="FFFFFF" w:val="clear"/>
            <w:vAlign w:val="bottom"/>
          </w:tcPr>
          <w:p>
            <w:pPr>
              <w:pStyle w:val="TableContents"/>
              <w:spacing w:before="0" w:after="283"/>
              <w:jc w:val="right"/>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bottom"/>
          </w:tcPr>
          <w:p>
            <w:pPr>
              <w:pStyle w:val="HorizontalLine"/>
              <w:pBdr>
                <w:bottom w:val="single" w:sz="18" w:space="0" w:color="000000"/>
              </w:pBdr>
              <w:spacing w:before="0" w:after="283"/>
              <w:rPr/>
            </w:pPr>
            <w:r>
              <w:rPr/>
            </w:r>
          </w:p>
        </w:tc>
        <w:tc>
          <w:tcPr>
            <w:tcW w:w="81" w:type="dxa"/>
            <w:tcBorders/>
            <w:shd w:fill="FFFFFF" w:val="clear"/>
            <w:vAlign w:val="center"/>
          </w:tcPr>
          <w:p>
            <w:pPr>
              <w:pStyle w:val="TableContents"/>
              <w:spacing w:before="0" w:after="283"/>
              <w:rPr/>
            </w:pPr>
            <w:r>
              <w:rPr/>
              <w:t> </w:t>
            </w:r>
          </w:p>
        </w:tc>
      </w:tr>
      <w:tr>
        <w:trPr/>
        <w:tc>
          <w:tcPr>
            <w:tcW w:w="93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534"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rPr/>
            </w:pPr>
            <w:r>
              <w:rPr/>
              <w:t> </w:t>
            </w:r>
          </w:p>
        </w:tc>
        <w:tc>
          <w:tcPr>
            <w:tcW w:w="659"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rPr/>
            </w:pPr>
            <w:r>
              <w:rPr/>
              <w:t> </w:t>
            </w:r>
          </w:p>
        </w:tc>
        <w:tc>
          <w:tcPr>
            <w:tcW w:w="502"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rPr/>
            </w:pPr>
            <w:r>
              <w:rPr/>
              <w:t> </w:t>
            </w:r>
          </w:p>
        </w:tc>
        <w:tc>
          <w:tcPr>
            <w:tcW w:w="674"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86" w:type="dxa"/>
            <w:tcBorders/>
            <w:shd w:fill="FFFFFF" w:val="clear"/>
            <w:vAlign w:val="center"/>
          </w:tcPr>
          <w:p>
            <w:pPr>
              <w:pStyle w:val="TableContents"/>
              <w:spacing w:before="0" w:after="283"/>
              <w:rPr/>
            </w:pPr>
            <w:r>
              <w:rPr/>
              <w:t> </w:t>
            </w:r>
          </w:p>
        </w:tc>
        <w:tc>
          <w:tcPr>
            <w:tcW w:w="513"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rPr/>
            </w:pPr>
            <w:r>
              <w:rPr/>
              <w:t> </w:t>
            </w:r>
          </w:p>
        </w:tc>
        <w:tc>
          <w:tcPr>
            <w:tcW w:w="669"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375"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5000" w:type="pct"/>
        <w:jc w:val="left"/>
        <w:tblInd w:w="0" w:type="dxa"/>
        <w:tblCellMar>
          <w:top w:w="0" w:type="dxa"/>
          <w:left w:w="0" w:type="dxa"/>
          <w:bottom w:w="0" w:type="dxa"/>
          <w:right w:w="0" w:type="dxa"/>
        </w:tblCellMar>
      </w:tblPr>
      <w:tblGrid>
        <w:gridCol w:w="240"/>
        <w:gridCol w:w="60"/>
        <w:gridCol w:w="9905"/>
      </w:tblGrid>
      <w:tr>
        <w:trPr/>
        <w:tc>
          <w:tcPr>
            <w:tcW w:w="240" w:type="dxa"/>
            <w:tcBorders/>
            <w:shd w:fill="FFFFFF" w:val="clear"/>
          </w:tcPr>
          <w:p>
            <w:pPr>
              <w:pStyle w:val="TableContents"/>
              <w:spacing w:before="0" w:after="283"/>
              <w:jc w:val="left"/>
              <w:rPr>
                <w:rFonts w:ascii="Arial" w:hAnsi="Arial"/>
              </w:rPr>
            </w:pPr>
            <w:r>
              <w:rPr>
                <w:rFonts w:ascii="Arial" w:hAnsi="Arial"/>
              </w:rPr>
              <w:t>(1)</w:t>
            </w:r>
          </w:p>
        </w:tc>
        <w:tc>
          <w:tcPr>
            <w:tcW w:w="60" w:type="dxa"/>
            <w:tcBorders/>
            <w:shd w:fill="FFFFFF" w:val="clear"/>
          </w:tcPr>
          <w:p>
            <w:pPr>
              <w:pStyle w:val="TableContents"/>
              <w:spacing w:before="0" w:after="283"/>
              <w:jc w:val="left"/>
              <w:rPr/>
            </w:pPr>
            <w:r>
              <w:rPr/>
              <w:t> </w:t>
            </w:r>
          </w:p>
        </w:tc>
        <w:tc>
          <w:tcPr>
            <w:tcW w:w="9905" w:type="dxa"/>
            <w:tcBorders/>
            <w:shd w:fill="FFFFFF" w:val="clear"/>
          </w:tcPr>
          <w:p>
            <w:pPr>
              <w:pStyle w:val="TableContents"/>
              <w:spacing w:before="0" w:after="283"/>
              <w:jc w:val="left"/>
              <w:rPr>
                <w:rFonts w:ascii="Arial" w:hAnsi="Arial"/>
              </w:rPr>
            </w:pPr>
            <w:r>
              <w:rPr>
                <w:rFonts w:ascii="Arial" w:hAnsi="Arial"/>
              </w:rPr>
              <w:t>In 2006, $34 million reflects gains from settlements with two Bendix insurance carriers and $41 million represents the write-down of the NARCO insurance receivable to reflect the reduction in the estimated cost of future claims. In 2005, consists of gains from insurance settlements of $172 million principally related to a structured insurance settlement with a carrier which converted a policy into a future, fixed, non-contingent payment stream, and charges of $131 million for write-offs of certain amounts due from insurance carriers.</w:t>
            </w:r>
          </w:p>
        </w:tc>
      </w:tr>
      <w:tr>
        <w:trPr/>
        <w:tc>
          <w:tcPr>
            <w:tcW w:w="240" w:type="dxa"/>
            <w:tcBorders/>
            <w:shd w:fill="FFFFFF" w:val="clear"/>
          </w:tcPr>
          <w:p>
            <w:pPr>
              <w:pStyle w:val="TableContents"/>
              <w:spacing w:before="0" w:after="283"/>
              <w:jc w:val="left"/>
              <w:rPr/>
            </w:pPr>
            <w:r>
              <w:rPr/>
              <w:t> </w:t>
            </w:r>
          </w:p>
        </w:tc>
        <w:tc>
          <w:tcPr>
            <w:tcW w:w="60" w:type="dxa"/>
            <w:tcBorders/>
            <w:shd w:fill="FFFFFF" w:val="clear"/>
          </w:tcPr>
          <w:p>
            <w:pPr>
              <w:pStyle w:val="TableContents"/>
              <w:spacing w:before="0" w:after="283"/>
              <w:jc w:val="left"/>
              <w:rPr/>
            </w:pPr>
            <w:r>
              <w:rPr/>
              <w:t> </w:t>
            </w:r>
          </w:p>
        </w:tc>
        <w:tc>
          <w:tcPr>
            <w:tcW w:w="9905" w:type="dxa"/>
            <w:tcBorders/>
            <w:shd w:fill="FFFFFF" w:val="clear"/>
          </w:tcPr>
          <w:p>
            <w:pPr>
              <w:pStyle w:val="TableContents"/>
              <w:spacing w:before="0" w:after="283"/>
              <w:jc w:val="left"/>
              <w:rPr/>
            </w:pPr>
            <w:r>
              <w:rPr/>
              <w:t> </w:t>
            </w:r>
          </w:p>
        </w:tc>
      </w:tr>
      <w:tr>
        <w:trPr/>
        <w:tc>
          <w:tcPr>
            <w:tcW w:w="240" w:type="dxa"/>
            <w:tcBorders/>
            <w:shd w:fill="FFFFFF" w:val="clear"/>
          </w:tcPr>
          <w:p>
            <w:pPr>
              <w:pStyle w:val="TableContents"/>
              <w:spacing w:before="0" w:after="283"/>
              <w:jc w:val="left"/>
              <w:rPr>
                <w:rFonts w:ascii="Arial" w:hAnsi="Arial"/>
              </w:rPr>
            </w:pPr>
            <w:r>
              <w:rPr>
                <w:rFonts w:ascii="Arial" w:hAnsi="Arial"/>
              </w:rPr>
              <w:t>(2)</w:t>
            </w:r>
          </w:p>
        </w:tc>
        <w:tc>
          <w:tcPr>
            <w:tcW w:w="60" w:type="dxa"/>
            <w:tcBorders/>
            <w:shd w:fill="FFFFFF" w:val="clear"/>
          </w:tcPr>
          <w:p>
            <w:pPr>
              <w:pStyle w:val="TableContents"/>
              <w:spacing w:before="0" w:after="283"/>
              <w:jc w:val="left"/>
              <w:rPr/>
            </w:pPr>
            <w:r>
              <w:rPr/>
              <w:t> </w:t>
            </w:r>
          </w:p>
        </w:tc>
        <w:tc>
          <w:tcPr>
            <w:tcW w:w="9905" w:type="dxa"/>
            <w:tcBorders/>
            <w:shd w:fill="FFFFFF" w:val="clear"/>
          </w:tcPr>
          <w:p>
            <w:pPr>
              <w:pStyle w:val="TableContents"/>
              <w:spacing w:before="0" w:after="283"/>
              <w:jc w:val="left"/>
              <w:rPr>
                <w:rFonts w:ascii="Arial" w:hAnsi="Arial"/>
              </w:rPr>
            </w:pPr>
            <w:r>
              <w:rPr>
                <w:rFonts w:ascii="Arial" w:hAnsi="Arial"/>
              </w:rPr>
              <w:t>In 2004, $47 million related to additional probable insurance recoveries identified in the second quarter of 2004 based on our ongoing evaluation of the enforceability of our rights under the various insurance policies.</w:t>
            </w:r>
          </w:p>
        </w:tc>
      </w:tr>
    </w:tbl>
    <w:p>
      <w:pPr>
        <w:pStyle w:val="TextBody"/>
        <w:jc w:val="left"/>
        <w:rPr/>
      </w:pPr>
      <w:r>
        <w:rPr/>
        <w:t>      </w:t>
      </w:r>
      <w:r>
        <w:rPr>
          <w:rFonts w:ascii="Arial" w:hAnsi="Arial"/>
        </w:rPr>
        <w:t>NARCO and Bendix asbestos related balances are included in the following balance sheet accounts:</w:t>
      </w:r>
    </w:p>
    <w:tbl>
      <w:tblPr>
        <w:tblW w:w="5000" w:type="pct"/>
        <w:jc w:val="left"/>
        <w:tblInd w:w="0" w:type="dxa"/>
        <w:tblCellMar>
          <w:top w:w="0" w:type="dxa"/>
          <w:left w:w="0" w:type="dxa"/>
          <w:bottom w:w="0" w:type="dxa"/>
          <w:right w:w="0" w:type="dxa"/>
        </w:tblCellMar>
      </w:tblPr>
      <w:tblGrid>
        <w:gridCol w:w="457"/>
        <w:gridCol w:w="6859"/>
        <w:gridCol w:w="306"/>
        <w:gridCol w:w="197"/>
        <w:gridCol w:w="789"/>
        <w:gridCol w:w="76"/>
        <w:gridCol w:w="458"/>
        <w:gridCol w:w="197"/>
        <w:gridCol w:w="789"/>
        <w:gridCol w:w="77"/>
      </w:tblGrid>
      <w:tr>
        <w:trPr/>
        <w:tc>
          <w:tcPr>
            <w:tcW w:w="457" w:type="dxa"/>
            <w:tcBorders/>
            <w:shd w:fill="FFFFFF" w:val="clear"/>
            <w:vAlign w:val="center"/>
          </w:tcPr>
          <w:p>
            <w:pPr>
              <w:pStyle w:val="TableContents"/>
              <w:spacing w:before="0" w:after="283"/>
              <w:rPr/>
            </w:pPr>
            <w:r>
              <w:rPr/>
              <w:t> </w:t>
            </w:r>
          </w:p>
        </w:tc>
        <w:tc>
          <w:tcPr>
            <w:tcW w:w="6859" w:type="dxa"/>
            <w:tcBorders/>
            <w:shd w:fill="FFFFFF" w:val="clear"/>
            <w:vAlign w:val="center"/>
          </w:tcPr>
          <w:p>
            <w:pPr>
              <w:pStyle w:val="TableContents"/>
              <w:spacing w:before="0" w:after="283"/>
              <w:rPr/>
            </w:pPr>
            <w:r>
              <w:rPr/>
              <w:t> </w:t>
            </w:r>
          </w:p>
        </w:tc>
        <w:tc>
          <w:tcPr>
            <w:tcW w:w="306" w:type="dxa"/>
            <w:tcBorders/>
            <w:shd w:fill="FFFFFF" w:val="clear"/>
            <w:vAlign w:val="center"/>
          </w:tcPr>
          <w:p>
            <w:pPr>
              <w:pStyle w:val="TableContents"/>
              <w:spacing w:before="0" w:after="283"/>
              <w:rPr/>
            </w:pPr>
            <w:r>
              <w:rPr/>
              <w:t> </w:t>
            </w:r>
          </w:p>
        </w:tc>
        <w:tc>
          <w:tcPr>
            <w:tcW w:w="2583"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457" w:type="dxa"/>
            <w:tcBorders/>
            <w:shd w:fill="FFFFFF" w:val="clear"/>
            <w:vAlign w:val="center"/>
          </w:tcPr>
          <w:p>
            <w:pPr>
              <w:pStyle w:val="TableContents"/>
              <w:spacing w:before="0" w:after="283"/>
              <w:rPr/>
            </w:pPr>
            <w:r>
              <w:rPr/>
              <w:t> </w:t>
            </w:r>
          </w:p>
        </w:tc>
        <w:tc>
          <w:tcPr>
            <w:tcW w:w="6859" w:type="dxa"/>
            <w:tcBorders/>
            <w:shd w:fill="FFFFFF" w:val="clear"/>
            <w:vAlign w:val="center"/>
          </w:tcPr>
          <w:p>
            <w:pPr>
              <w:pStyle w:val="TableContents"/>
              <w:spacing w:before="0" w:after="283"/>
              <w:rPr/>
            </w:pPr>
            <w:r>
              <w:rPr/>
              <w:t> </w:t>
            </w:r>
          </w:p>
        </w:tc>
        <w:tc>
          <w:tcPr>
            <w:tcW w:w="306" w:type="dxa"/>
            <w:tcBorders/>
            <w:shd w:fill="FFFFFF" w:val="clear"/>
            <w:vAlign w:val="center"/>
          </w:tcPr>
          <w:p>
            <w:pPr>
              <w:pStyle w:val="TableContents"/>
              <w:spacing w:before="0" w:after="283"/>
              <w:rPr/>
            </w:pPr>
            <w:r>
              <w:rPr/>
              <w:t> </w:t>
            </w:r>
          </w:p>
        </w:tc>
        <w:tc>
          <w:tcPr>
            <w:tcW w:w="106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58" w:type="dxa"/>
            <w:tcBorders/>
            <w:shd w:fill="FFFFFF" w:val="clear"/>
            <w:vAlign w:val="center"/>
          </w:tcPr>
          <w:p>
            <w:pPr>
              <w:pStyle w:val="TableContents"/>
              <w:spacing w:before="0" w:after="283"/>
              <w:rPr/>
            </w:pPr>
            <w:r>
              <w:rPr/>
              <w:t> </w:t>
            </w:r>
          </w:p>
        </w:tc>
        <w:tc>
          <w:tcPr>
            <w:tcW w:w="1063"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457" w:type="dxa"/>
            <w:tcBorders/>
            <w:shd w:fill="E5FFFF" w:val="clear"/>
            <w:vAlign w:val="bottom"/>
          </w:tcPr>
          <w:p>
            <w:pPr>
              <w:pStyle w:val="TableContents"/>
              <w:spacing w:before="0" w:after="283"/>
              <w:jc w:val="left"/>
              <w:rPr/>
            </w:pPr>
            <w:r>
              <w:rPr/>
              <w:t>      </w:t>
            </w:r>
          </w:p>
        </w:tc>
        <w:tc>
          <w:tcPr>
            <w:tcW w:w="6859" w:type="dxa"/>
            <w:tcBorders/>
            <w:shd w:fill="E5FFFF" w:val="clear"/>
            <w:vAlign w:val="bottom"/>
          </w:tcPr>
          <w:p>
            <w:pPr>
              <w:pStyle w:val="TableContents"/>
              <w:spacing w:before="0" w:after="283"/>
              <w:jc w:val="left"/>
              <w:rPr>
                <w:rFonts w:ascii="Arial" w:hAnsi="Arial"/>
              </w:rPr>
            </w:pPr>
            <w:r>
              <w:rPr>
                <w:rFonts w:ascii="Arial" w:hAnsi="Arial"/>
              </w:rPr>
              <w:t>Other current assets</w:t>
            </w:r>
          </w:p>
        </w:tc>
        <w:tc>
          <w:tcPr>
            <w:tcW w:w="306"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789" w:type="dxa"/>
            <w:tcBorders/>
            <w:shd w:fill="E5FFFF" w:val="clear"/>
            <w:vAlign w:val="bottom"/>
          </w:tcPr>
          <w:p>
            <w:pPr>
              <w:pStyle w:val="TableContents"/>
              <w:spacing w:before="0" w:after="283"/>
              <w:jc w:val="right"/>
              <w:rPr>
                <w:rFonts w:ascii="Arial" w:hAnsi="Arial"/>
              </w:rPr>
            </w:pPr>
            <w:r>
              <w:rPr>
                <w:rFonts w:ascii="Arial" w:hAnsi="Arial"/>
              </w:rPr>
              <w:t>157</w:t>
            </w:r>
          </w:p>
        </w:tc>
        <w:tc>
          <w:tcPr>
            <w:tcW w:w="76" w:type="dxa"/>
            <w:tcBorders/>
            <w:shd w:fill="E5FFFF" w:val="clear"/>
            <w:vAlign w:val="center"/>
          </w:tcPr>
          <w:p>
            <w:pPr>
              <w:pStyle w:val="TableContents"/>
              <w:spacing w:before="0" w:after="283"/>
              <w:rPr/>
            </w:pPr>
            <w:r>
              <w:rPr/>
              <w:t> </w:t>
            </w:r>
          </w:p>
        </w:tc>
        <w:tc>
          <w:tcPr>
            <w:tcW w:w="458"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789" w:type="dxa"/>
            <w:tcBorders/>
            <w:shd w:fill="E5FFFF" w:val="clear"/>
            <w:vAlign w:val="bottom"/>
          </w:tcPr>
          <w:p>
            <w:pPr>
              <w:pStyle w:val="TableContents"/>
              <w:spacing w:before="0" w:after="283"/>
              <w:jc w:val="right"/>
              <w:rPr>
                <w:rFonts w:ascii="Arial" w:hAnsi="Arial"/>
              </w:rPr>
            </w:pPr>
            <w:r>
              <w:rPr>
                <w:rFonts w:ascii="Arial" w:hAnsi="Arial"/>
              </w:rPr>
              <w:t>171</w:t>
            </w:r>
          </w:p>
        </w:tc>
        <w:tc>
          <w:tcPr>
            <w:tcW w:w="77" w:type="dxa"/>
            <w:tcBorders/>
            <w:shd w:fill="E5FFFF" w:val="clear"/>
            <w:vAlign w:val="center"/>
          </w:tcPr>
          <w:p>
            <w:pPr>
              <w:pStyle w:val="TableContents"/>
              <w:spacing w:before="0" w:after="283"/>
              <w:rPr/>
            </w:pPr>
            <w:r>
              <w:rPr/>
              <w:t> </w:t>
            </w:r>
          </w:p>
        </w:tc>
      </w:tr>
      <w:tr>
        <w:trPr/>
        <w:tc>
          <w:tcPr>
            <w:tcW w:w="457" w:type="dxa"/>
            <w:tcBorders/>
            <w:shd w:fill="FFFFFF" w:val="clear"/>
            <w:vAlign w:val="bottom"/>
          </w:tcPr>
          <w:p>
            <w:pPr>
              <w:pStyle w:val="TableContents"/>
              <w:spacing w:before="0" w:after="283"/>
              <w:jc w:val="left"/>
              <w:rPr/>
            </w:pPr>
            <w:r>
              <w:rPr/>
              <w:t>      </w:t>
            </w:r>
          </w:p>
        </w:tc>
        <w:tc>
          <w:tcPr>
            <w:tcW w:w="6859" w:type="dxa"/>
            <w:tcBorders/>
            <w:shd w:fill="FFFFFF" w:val="clear"/>
            <w:vAlign w:val="bottom"/>
          </w:tcPr>
          <w:p>
            <w:pPr>
              <w:pStyle w:val="TableContents"/>
              <w:spacing w:before="0" w:after="283"/>
              <w:jc w:val="left"/>
              <w:rPr>
                <w:rFonts w:ascii="Arial" w:hAnsi="Arial"/>
              </w:rPr>
            </w:pPr>
            <w:r>
              <w:rPr>
                <w:rFonts w:ascii="Arial" w:hAnsi="Arial"/>
              </w:rPr>
              <w:t>Insurance recoveries for asbestos related liabilities</w:t>
            </w:r>
          </w:p>
        </w:tc>
        <w:tc>
          <w:tcPr>
            <w:tcW w:w="306"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Arial" w:hAnsi="Arial"/>
              </w:rPr>
            </w:pPr>
            <w:r>
              <w:rPr>
                <w:rFonts w:ascii="Arial" w:hAnsi="Arial"/>
              </w:rPr>
              <w:t>1,100</w:t>
            </w:r>
          </w:p>
        </w:tc>
        <w:tc>
          <w:tcPr>
            <w:tcW w:w="76" w:type="dxa"/>
            <w:tcBorders/>
            <w:shd w:fill="FFFFFF" w:val="clear"/>
            <w:vAlign w:val="center"/>
          </w:tcPr>
          <w:p>
            <w:pPr>
              <w:pStyle w:val="TableContents"/>
              <w:spacing w:before="0" w:after="283"/>
              <w:rPr/>
            </w:pPr>
            <w:r>
              <w:rPr/>
              <w:t> </w:t>
            </w:r>
          </w:p>
        </w:tc>
        <w:tc>
          <w:tcPr>
            <w:tcW w:w="458"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bottom"/>
          </w:tcPr>
          <w:p>
            <w:pPr>
              <w:pStyle w:val="TableContents"/>
              <w:spacing w:before="0" w:after="283"/>
              <w:jc w:val="right"/>
              <w:rPr>
                <w:rFonts w:ascii="Arial" w:hAnsi="Arial"/>
              </w:rPr>
            </w:pPr>
            <w:r>
              <w:rPr>
                <w:rFonts w:ascii="Arial" w:hAnsi="Arial"/>
              </w:rPr>
              <w:t>1,302</w:t>
            </w:r>
          </w:p>
        </w:tc>
        <w:tc>
          <w:tcPr>
            <w:tcW w:w="77" w:type="dxa"/>
            <w:tcBorders/>
            <w:shd w:fill="FFFFFF" w:val="clear"/>
            <w:vAlign w:val="center"/>
          </w:tcPr>
          <w:p>
            <w:pPr>
              <w:pStyle w:val="TableContents"/>
              <w:spacing w:before="0" w:after="283"/>
              <w:rPr/>
            </w:pPr>
            <w:r>
              <w:rPr/>
              <w:t> </w:t>
            </w:r>
          </w:p>
        </w:tc>
      </w:tr>
      <w:tr>
        <w:trPr/>
        <w:tc>
          <w:tcPr>
            <w:tcW w:w="457" w:type="dxa"/>
            <w:tcBorders/>
            <w:shd w:fill="E5FFFF" w:val="clear"/>
            <w:vAlign w:val="center"/>
          </w:tcPr>
          <w:p>
            <w:pPr>
              <w:pStyle w:val="TableContents"/>
              <w:spacing w:before="0" w:after="283"/>
              <w:rPr/>
            </w:pPr>
            <w:r>
              <w:rPr/>
              <w:t> </w:t>
            </w:r>
          </w:p>
        </w:tc>
        <w:tc>
          <w:tcPr>
            <w:tcW w:w="6859" w:type="dxa"/>
            <w:tcBorders/>
            <w:shd w:fill="E5FFFF" w:val="clear"/>
            <w:vAlign w:val="center"/>
          </w:tcPr>
          <w:p>
            <w:pPr>
              <w:pStyle w:val="TableContents"/>
              <w:spacing w:before="0" w:after="283"/>
              <w:rPr/>
            </w:pPr>
            <w:r>
              <w:rPr/>
              <w:t> </w:t>
            </w:r>
          </w:p>
        </w:tc>
        <w:tc>
          <w:tcPr>
            <w:tcW w:w="306"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789" w:type="dxa"/>
            <w:tcBorders/>
            <w:shd w:fill="E5FFFF" w:val="clear"/>
            <w:vAlign w:val="bottom"/>
          </w:tcPr>
          <w:p>
            <w:pPr>
              <w:pStyle w:val="HorizontalLine"/>
              <w:pBdr>
                <w:bottom w:val="single" w:sz="6" w:space="0" w:color="000000"/>
              </w:pBdr>
              <w:spacing w:before="0" w:after="283"/>
              <w:rPr/>
            </w:pPr>
            <w:r>
              <w:rPr/>
            </w:r>
          </w:p>
        </w:tc>
        <w:tc>
          <w:tcPr>
            <w:tcW w:w="76" w:type="dxa"/>
            <w:tcBorders/>
            <w:shd w:fill="E5FFFF" w:val="clear"/>
            <w:vAlign w:val="center"/>
          </w:tcPr>
          <w:p>
            <w:pPr>
              <w:pStyle w:val="TableContents"/>
              <w:spacing w:before="0" w:after="283"/>
              <w:rPr/>
            </w:pPr>
            <w:r>
              <w:rPr/>
              <w:t> </w:t>
            </w:r>
          </w:p>
        </w:tc>
        <w:tc>
          <w:tcPr>
            <w:tcW w:w="458"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789" w:type="dxa"/>
            <w:tcBorders/>
            <w:shd w:fill="E5FFFF" w:val="clear"/>
            <w:vAlign w:val="bottom"/>
          </w:tcPr>
          <w:p>
            <w:pPr>
              <w:pStyle w:val="HorizontalLine"/>
              <w:pBdr>
                <w:bottom w:val="single" w:sz="6" w:space="0" w:color="000000"/>
              </w:pBdr>
              <w:spacing w:before="0" w:after="283"/>
              <w:rPr/>
            </w:pPr>
            <w:r>
              <w:rPr/>
            </w:r>
          </w:p>
        </w:tc>
        <w:tc>
          <w:tcPr>
            <w:tcW w:w="77" w:type="dxa"/>
            <w:tcBorders/>
            <w:shd w:fill="E5FFFF" w:val="clear"/>
            <w:vAlign w:val="center"/>
          </w:tcPr>
          <w:p>
            <w:pPr>
              <w:pStyle w:val="TableContents"/>
              <w:spacing w:before="0" w:after="283"/>
              <w:rPr/>
            </w:pPr>
            <w:r>
              <w:rPr/>
              <w:t> </w:t>
            </w:r>
          </w:p>
        </w:tc>
      </w:tr>
      <w:tr>
        <w:trPr/>
        <w:tc>
          <w:tcPr>
            <w:tcW w:w="457" w:type="dxa"/>
            <w:tcBorders/>
            <w:shd w:fill="FFFFFF" w:val="clear"/>
            <w:vAlign w:val="bottom"/>
          </w:tcPr>
          <w:p>
            <w:pPr>
              <w:pStyle w:val="TableContents"/>
              <w:spacing w:before="0" w:after="283"/>
              <w:jc w:val="left"/>
              <w:rPr/>
            </w:pPr>
            <w:r>
              <w:rPr/>
              <w:t>      </w:t>
            </w:r>
          </w:p>
        </w:tc>
        <w:tc>
          <w:tcPr>
            <w:tcW w:w="6859" w:type="dxa"/>
            <w:tcBorders/>
            <w:shd w:fill="FFFFFF" w:val="clear"/>
            <w:vAlign w:val="bottom"/>
          </w:tcPr>
          <w:p>
            <w:pPr>
              <w:pStyle w:val="TableContents"/>
              <w:spacing w:before="0" w:after="283"/>
              <w:rPr>
                <w:sz w:val="4"/>
                <w:szCs w:val="4"/>
              </w:rPr>
            </w:pPr>
            <w:r>
              <w:rPr>
                <w:sz w:val="4"/>
                <w:szCs w:val="4"/>
              </w:rPr>
            </w:r>
          </w:p>
        </w:tc>
        <w:tc>
          <w:tcPr>
            <w:tcW w:w="306"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789" w:type="dxa"/>
            <w:tcBorders/>
            <w:shd w:fill="FFFFFF" w:val="clear"/>
            <w:vAlign w:val="bottom"/>
          </w:tcPr>
          <w:p>
            <w:pPr>
              <w:pStyle w:val="TableContents"/>
              <w:spacing w:before="0" w:after="283"/>
              <w:jc w:val="right"/>
              <w:rPr>
                <w:rFonts w:ascii="Arial" w:hAnsi="Arial"/>
              </w:rPr>
            </w:pPr>
            <w:r>
              <w:rPr>
                <w:rFonts w:ascii="Arial" w:hAnsi="Arial"/>
              </w:rPr>
              <w:t>1,257</w:t>
            </w:r>
          </w:p>
        </w:tc>
        <w:tc>
          <w:tcPr>
            <w:tcW w:w="76" w:type="dxa"/>
            <w:tcBorders/>
            <w:shd w:fill="FFFFFF" w:val="clear"/>
            <w:vAlign w:val="center"/>
          </w:tcPr>
          <w:p>
            <w:pPr>
              <w:pStyle w:val="TableContents"/>
              <w:spacing w:before="0" w:after="283"/>
              <w:rPr/>
            </w:pPr>
            <w:r>
              <w:rPr/>
              <w:t> </w:t>
            </w:r>
          </w:p>
        </w:tc>
        <w:tc>
          <w:tcPr>
            <w:tcW w:w="458"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789" w:type="dxa"/>
            <w:tcBorders/>
            <w:shd w:fill="FFFFFF" w:val="clear"/>
            <w:vAlign w:val="bottom"/>
          </w:tcPr>
          <w:p>
            <w:pPr>
              <w:pStyle w:val="TableContents"/>
              <w:spacing w:before="0" w:after="283"/>
              <w:jc w:val="right"/>
              <w:rPr>
                <w:rFonts w:ascii="Arial" w:hAnsi="Arial"/>
              </w:rPr>
            </w:pPr>
            <w:r>
              <w:rPr>
                <w:rFonts w:ascii="Arial" w:hAnsi="Arial"/>
              </w:rPr>
              <w:t>1,473</w:t>
            </w:r>
          </w:p>
        </w:tc>
        <w:tc>
          <w:tcPr>
            <w:tcW w:w="77" w:type="dxa"/>
            <w:tcBorders/>
            <w:shd w:fill="FFFFFF" w:val="clear"/>
            <w:vAlign w:val="center"/>
          </w:tcPr>
          <w:p>
            <w:pPr>
              <w:pStyle w:val="TableContents"/>
              <w:spacing w:before="0" w:after="283"/>
              <w:rPr/>
            </w:pPr>
            <w:r>
              <w:rPr/>
              <w:t> </w:t>
            </w:r>
          </w:p>
        </w:tc>
      </w:tr>
      <w:tr>
        <w:trPr/>
        <w:tc>
          <w:tcPr>
            <w:tcW w:w="457" w:type="dxa"/>
            <w:tcBorders/>
            <w:shd w:fill="E5FFFF" w:val="clear"/>
            <w:vAlign w:val="center"/>
          </w:tcPr>
          <w:p>
            <w:pPr>
              <w:pStyle w:val="TableContents"/>
              <w:spacing w:before="0" w:after="283"/>
              <w:rPr/>
            </w:pPr>
            <w:r>
              <w:rPr/>
              <w:t> </w:t>
            </w:r>
          </w:p>
        </w:tc>
        <w:tc>
          <w:tcPr>
            <w:tcW w:w="6859" w:type="dxa"/>
            <w:tcBorders/>
            <w:shd w:fill="E5FFFF" w:val="clear"/>
            <w:vAlign w:val="center"/>
          </w:tcPr>
          <w:p>
            <w:pPr>
              <w:pStyle w:val="TableContents"/>
              <w:spacing w:before="0" w:after="283"/>
              <w:rPr/>
            </w:pPr>
            <w:r>
              <w:rPr/>
              <w:t> </w:t>
            </w:r>
          </w:p>
        </w:tc>
        <w:tc>
          <w:tcPr>
            <w:tcW w:w="306"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789" w:type="dxa"/>
            <w:tcBorders/>
            <w:shd w:fill="E5FFFF" w:val="clear"/>
            <w:vAlign w:val="bottom"/>
          </w:tcPr>
          <w:p>
            <w:pPr>
              <w:pStyle w:val="HorizontalLine"/>
              <w:pBdr>
                <w:bottom w:val="single" w:sz="18" w:space="0" w:color="000000"/>
              </w:pBdr>
              <w:spacing w:before="0" w:after="283"/>
              <w:rPr/>
            </w:pPr>
            <w:r>
              <w:rPr/>
            </w:r>
          </w:p>
        </w:tc>
        <w:tc>
          <w:tcPr>
            <w:tcW w:w="76" w:type="dxa"/>
            <w:tcBorders/>
            <w:shd w:fill="E5FFFF" w:val="clear"/>
            <w:vAlign w:val="center"/>
          </w:tcPr>
          <w:p>
            <w:pPr>
              <w:pStyle w:val="TableContents"/>
              <w:spacing w:before="0" w:after="283"/>
              <w:rPr/>
            </w:pPr>
            <w:r>
              <w:rPr/>
              <w:t> </w:t>
            </w:r>
          </w:p>
        </w:tc>
        <w:tc>
          <w:tcPr>
            <w:tcW w:w="458"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789" w:type="dxa"/>
            <w:tcBorders/>
            <w:shd w:fill="E5FFFF" w:val="clear"/>
            <w:vAlign w:val="bottom"/>
          </w:tcPr>
          <w:p>
            <w:pPr>
              <w:pStyle w:val="HorizontalLine"/>
              <w:pBdr>
                <w:bottom w:val="single" w:sz="18" w:space="0" w:color="000000"/>
              </w:pBdr>
              <w:spacing w:before="0" w:after="283"/>
              <w:rPr/>
            </w:pPr>
            <w:r>
              <w:rPr/>
            </w:r>
          </w:p>
        </w:tc>
        <w:tc>
          <w:tcPr>
            <w:tcW w:w="77" w:type="dxa"/>
            <w:tcBorders/>
            <w:shd w:fill="E5FFFF" w:val="clear"/>
            <w:vAlign w:val="center"/>
          </w:tcPr>
          <w:p>
            <w:pPr>
              <w:pStyle w:val="TableContents"/>
              <w:spacing w:before="0" w:after="283"/>
              <w:rPr/>
            </w:pPr>
            <w:r>
              <w:rPr/>
              <w:t> </w:t>
            </w:r>
          </w:p>
        </w:tc>
      </w:tr>
      <w:tr>
        <w:trPr/>
        <w:tc>
          <w:tcPr>
            <w:tcW w:w="457" w:type="dxa"/>
            <w:tcBorders/>
            <w:shd w:fill="FFFFFF" w:val="clear"/>
            <w:vAlign w:val="bottom"/>
          </w:tcPr>
          <w:p>
            <w:pPr>
              <w:pStyle w:val="TableContents"/>
              <w:spacing w:before="0" w:after="283"/>
              <w:jc w:val="left"/>
              <w:rPr/>
            </w:pPr>
            <w:r>
              <w:rPr/>
              <w:t>      </w:t>
            </w:r>
          </w:p>
        </w:tc>
        <w:tc>
          <w:tcPr>
            <w:tcW w:w="6859" w:type="dxa"/>
            <w:tcBorders/>
            <w:shd w:fill="FFFFFF" w:val="clear"/>
            <w:vAlign w:val="bottom"/>
          </w:tcPr>
          <w:p>
            <w:pPr>
              <w:pStyle w:val="TableContents"/>
              <w:spacing w:before="0" w:after="283"/>
              <w:jc w:val="left"/>
              <w:rPr>
                <w:rFonts w:ascii="Arial" w:hAnsi="Arial"/>
              </w:rPr>
            </w:pPr>
            <w:r>
              <w:rPr>
                <w:rFonts w:ascii="Arial" w:hAnsi="Arial"/>
              </w:rPr>
              <w:t>Accrued liabilities</w:t>
            </w:r>
          </w:p>
        </w:tc>
        <w:tc>
          <w:tcPr>
            <w:tcW w:w="306"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789" w:type="dxa"/>
            <w:tcBorders/>
            <w:shd w:fill="FFFFFF" w:val="clear"/>
            <w:vAlign w:val="bottom"/>
          </w:tcPr>
          <w:p>
            <w:pPr>
              <w:pStyle w:val="TableContents"/>
              <w:spacing w:before="0" w:after="283"/>
              <w:jc w:val="right"/>
              <w:rPr>
                <w:rFonts w:ascii="Arial" w:hAnsi="Arial"/>
              </w:rPr>
            </w:pPr>
            <w:r>
              <w:rPr>
                <w:rFonts w:ascii="Arial" w:hAnsi="Arial"/>
              </w:rPr>
              <w:t>557</w:t>
            </w:r>
          </w:p>
        </w:tc>
        <w:tc>
          <w:tcPr>
            <w:tcW w:w="76" w:type="dxa"/>
            <w:tcBorders/>
            <w:shd w:fill="FFFFFF" w:val="clear"/>
            <w:vAlign w:val="center"/>
          </w:tcPr>
          <w:p>
            <w:pPr>
              <w:pStyle w:val="TableContents"/>
              <w:spacing w:before="0" w:after="283"/>
              <w:rPr/>
            </w:pPr>
            <w:r>
              <w:rPr/>
              <w:t> </w:t>
            </w:r>
          </w:p>
        </w:tc>
        <w:tc>
          <w:tcPr>
            <w:tcW w:w="458" w:type="dxa"/>
            <w:tcBorders/>
            <w:shd w:fill="FFFFFF" w:val="clear"/>
            <w:vAlign w:val="bottom"/>
          </w:tcPr>
          <w:p>
            <w:pPr>
              <w:pStyle w:val="TableContents"/>
              <w:spacing w:before="0" w:after="283"/>
              <w:jc w:val="right"/>
              <w:rPr/>
            </w:pPr>
            <w:r>
              <w:rPr/>
              <w:t>      </w:t>
            </w:r>
          </w:p>
        </w:tc>
        <w:tc>
          <w:tcPr>
            <w:tcW w:w="197" w:type="dxa"/>
            <w:tcBorders/>
            <w:shd w:fill="FFFFFF" w:val="clear"/>
            <w:vAlign w:val="bottom"/>
          </w:tcPr>
          <w:p>
            <w:pPr>
              <w:pStyle w:val="TableContents"/>
              <w:spacing w:before="0" w:after="283"/>
              <w:jc w:val="right"/>
              <w:rPr>
                <w:rFonts w:ascii="Arial" w:hAnsi="Arial"/>
              </w:rPr>
            </w:pPr>
            <w:r>
              <w:rPr>
                <w:rFonts w:ascii="Arial" w:hAnsi="Arial"/>
              </w:rPr>
              <w:t>$</w:t>
            </w:r>
          </w:p>
        </w:tc>
        <w:tc>
          <w:tcPr>
            <w:tcW w:w="789" w:type="dxa"/>
            <w:tcBorders/>
            <w:shd w:fill="FFFFFF" w:val="clear"/>
            <w:vAlign w:val="bottom"/>
          </w:tcPr>
          <w:p>
            <w:pPr>
              <w:pStyle w:val="TableContents"/>
              <w:spacing w:before="0" w:after="283"/>
              <w:jc w:val="right"/>
              <w:rPr>
                <w:rFonts w:ascii="Arial" w:hAnsi="Arial"/>
              </w:rPr>
            </w:pPr>
            <w:r>
              <w:rPr>
                <w:rFonts w:ascii="Arial" w:hAnsi="Arial"/>
              </w:rPr>
              <w:t>520</w:t>
            </w:r>
          </w:p>
        </w:tc>
        <w:tc>
          <w:tcPr>
            <w:tcW w:w="77" w:type="dxa"/>
            <w:tcBorders/>
            <w:shd w:fill="FFFFFF" w:val="clear"/>
            <w:vAlign w:val="center"/>
          </w:tcPr>
          <w:p>
            <w:pPr>
              <w:pStyle w:val="TableContents"/>
              <w:spacing w:before="0" w:after="283"/>
              <w:rPr/>
            </w:pPr>
            <w:r>
              <w:rPr/>
              <w:t> </w:t>
            </w:r>
          </w:p>
        </w:tc>
      </w:tr>
      <w:tr>
        <w:trPr/>
        <w:tc>
          <w:tcPr>
            <w:tcW w:w="457" w:type="dxa"/>
            <w:tcBorders/>
            <w:shd w:fill="E5FFFF" w:val="clear"/>
            <w:vAlign w:val="bottom"/>
          </w:tcPr>
          <w:p>
            <w:pPr>
              <w:pStyle w:val="TableContents"/>
              <w:spacing w:before="0" w:after="283"/>
              <w:jc w:val="left"/>
              <w:rPr/>
            </w:pPr>
            <w:r>
              <w:rPr/>
              <w:t>      </w:t>
            </w:r>
          </w:p>
        </w:tc>
        <w:tc>
          <w:tcPr>
            <w:tcW w:w="6859" w:type="dxa"/>
            <w:tcBorders/>
            <w:shd w:fill="E5FFFF" w:val="clear"/>
            <w:vAlign w:val="bottom"/>
          </w:tcPr>
          <w:p>
            <w:pPr>
              <w:pStyle w:val="TableContents"/>
              <w:spacing w:before="0" w:after="283"/>
              <w:jc w:val="left"/>
              <w:rPr>
                <w:rFonts w:ascii="Arial" w:hAnsi="Arial"/>
              </w:rPr>
            </w:pPr>
            <w:r>
              <w:rPr>
                <w:rFonts w:ascii="Arial" w:hAnsi="Arial"/>
              </w:rPr>
              <w:t>Asbestos related liabilities</w:t>
            </w:r>
          </w:p>
        </w:tc>
        <w:tc>
          <w:tcPr>
            <w:tcW w:w="306"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789" w:type="dxa"/>
            <w:tcBorders/>
            <w:shd w:fill="E5FFFF" w:val="clear"/>
            <w:vAlign w:val="bottom"/>
          </w:tcPr>
          <w:p>
            <w:pPr>
              <w:pStyle w:val="TableContents"/>
              <w:spacing w:before="0" w:after="283"/>
              <w:jc w:val="right"/>
              <w:rPr>
                <w:rFonts w:ascii="Arial" w:hAnsi="Arial"/>
              </w:rPr>
            </w:pPr>
            <w:r>
              <w:rPr>
                <w:rFonts w:ascii="Arial" w:hAnsi="Arial"/>
              </w:rPr>
              <w:t>1,262</w:t>
            </w:r>
          </w:p>
        </w:tc>
        <w:tc>
          <w:tcPr>
            <w:tcW w:w="76" w:type="dxa"/>
            <w:tcBorders/>
            <w:shd w:fill="E5FFFF" w:val="clear"/>
            <w:vAlign w:val="center"/>
          </w:tcPr>
          <w:p>
            <w:pPr>
              <w:pStyle w:val="TableContents"/>
              <w:spacing w:before="0" w:after="283"/>
              <w:rPr/>
            </w:pPr>
            <w:r>
              <w:rPr/>
              <w:t> </w:t>
            </w:r>
          </w:p>
        </w:tc>
        <w:tc>
          <w:tcPr>
            <w:tcW w:w="458" w:type="dxa"/>
            <w:tcBorders/>
            <w:shd w:fill="E5FFFF" w:val="clear"/>
            <w:vAlign w:val="bottom"/>
          </w:tcPr>
          <w:p>
            <w:pPr>
              <w:pStyle w:val="TableContents"/>
              <w:spacing w:before="0" w:after="283"/>
              <w:jc w:val="right"/>
              <w:rPr/>
            </w:pPr>
            <w:r>
              <w:rPr/>
              <w:t>      </w:t>
            </w:r>
          </w:p>
        </w:tc>
        <w:tc>
          <w:tcPr>
            <w:tcW w:w="197" w:type="dxa"/>
            <w:tcBorders/>
            <w:shd w:fill="E5FFFF" w:val="clear"/>
            <w:vAlign w:val="center"/>
          </w:tcPr>
          <w:p>
            <w:pPr>
              <w:pStyle w:val="TableContents"/>
              <w:spacing w:before="0" w:after="283"/>
              <w:rPr/>
            </w:pPr>
            <w:r>
              <w:rPr/>
              <w:t> </w:t>
            </w:r>
          </w:p>
        </w:tc>
        <w:tc>
          <w:tcPr>
            <w:tcW w:w="789" w:type="dxa"/>
            <w:tcBorders/>
            <w:shd w:fill="E5FFFF" w:val="clear"/>
            <w:vAlign w:val="bottom"/>
          </w:tcPr>
          <w:p>
            <w:pPr>
              <w:pStyle w:val="TableContents"/>
              <w:spacing w:before="0" w:after="283"/>
              <w:jc w:val="right"/>
              <w:rPr>
                <w:rFonts w:ascii="Arial" w:hAnsi="Arial"/>
              </w:rPr>
            </w:pPr>
            <w:r>
              <w:rPr>
                <w:rFonts w:ascii="Arial" w:hAnsi="Arial"/>
              </w:rPr>
              <w:t>1,549</w:t>
            </w:r>
          </w:p>
        </w:tc>
        <w:tc>
          <w:tcPr>
            <w:tcW w:w="77" w:type="dxa"/>
            <w:tcBorders/>
            <w:shd w:fill="E5FFFF" w:val="clear"/>
            <w:vAlign w:val="center"/>
          </w:tcPr>
          <w:p>
            <w:pPr>
              <w:pStyle w:val="TableContents"/>
              <w:spacing w:before="0" w:after="283"/>
              <w:rPr/>
            </w:pPr>
            <w:r>
              <w:rPr/>
              <w:t> </w:t>
            </w:r>
          </w:p>
        </w:tc>
      </w:tr>
      <w:tr>
        <w:trPr/>
        <w:tc>
          <w:tcPr>
            <w:tcW w:w="457" w:type="dxa"/>
            <w:tcBorders/>
            <w:shd w:fill="FFFFFF" w:val="clear"/>
            <w:vAlign w:val="center"/>
          </w:tcPr>
          <w:p>
            <w:pPr>
              <w:pStyle w:val="TableContents"/>
              <w:spacing w:before="0" w:after="283"/>
              <w:rPr/>
            </w:pPr>
            <w:r>
              <w:rPr/>
              <w:t> </w:t>
            </w:r>
          </w:p>
        </w:tc>
        <w:tc>
          <w:tcPr>
            <w:tcW w:w="6859" w:type="dxa"/>
            <w:tcBorders/>
            <w:shd w:fill="FFFFFF" w:val="clear"/>
            <w:vAlign w:val="center"/>
          </w:tcPr>
          <w:p>
            <w:pPr>
              <w:pStyle w:val="TableContents"/>
              <w:spacing w:before="0" w:after="283"/>
              <w:rPr/>
            </w:pPr>
            <w:r>
              <w:rPr/>
              <w:t> </w:t>
            </w:r>
          </w:p>
        </w:tc>
        <w:tc>
          <w:tcPr>
            <w:tcW w:w="306"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bottom"/>
          </w:tcPr>
          <w:p>
            <w:pPr>
              <w:pStyle w:val="HorizontalLine"/>
              <w:pBdr>
                <w:bottom w:val="single" w:sz="6" w:space="0" w:color="000000"/>
              </w:pBdr>
              <w:spacing w:before="0" w:after="283"/>
              <w:rPr/>
            </w:pPr>
            <w:r>
              <w:rPr/>
            </w:r>
          </w:p>
        </w:tc>
        <w:tc>
          <w:tcPr>
            <w:tcW w:w="76" w:type="dxa"/>
            <w:tcBorders/>
            <w:shd w:fill="FFFFFF" w:val="clear"/>
            <w:vAlign w:val="center"/>
          </w:tcPr>
          <w:p>
            <w:pPr>
              <w:pStyle w:val="TableContents"/>
              <w:spacing w:before="0" w:after="283"/>
              <w:rPr/>
            </w:pPr>
            <w:r>
              <w:rPr/>
              <w:t> </w:t>
            </w:r>
          </w:p>
        </w:tc>
        <w:tc>
          <w:tcPr>
            <w:tcW w:w="458"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bottom"/>
          </w:tcPr>
          <w:p>
            <w:pPr>
              <w:pStyle w:val="HorizontalLine"/>
              <w:pBdr>
                <w:bottom w:val="single" w:sz="6" w:space="0" w:color="000000"/>
              </w:pBdr>
              <w:spacing w:before="0" w:after="283"/>
              <w:rPr/>
            </w:pPr>
            <w:r>
              <w:rPr/>
            </w:r>
          </w:p>
        </w:tc>
        <w:tc>
          <w:tcPr>
            <w:tcW w:w="77" w:type="dxa"/>
            <w:tcBorders/>
            <w:shd w:fill="FFFFFF" w:val="clear"/>
            <w:vAlign w:val="center"/>
          </w:tcPr>
          <w:p>
            <w:pPr>
              <w:pStyle w:val="TableContents"/>
              <w:spacing w:before="0" w:after="283"/>
              <w:rPr/>
            </w:pPr>
            <w:r>
              <w:rPr/>
              <w:t> </w:t>
            </w:r>
          </w:p>
        </w:tc>
      </w:tr>
      <w:tr>
        <w:trPr/>
        <w:tc>
          <w:tcPr>
            <w:tcW w:w="457" w:type="dxa"/>
            <w:tcBorders/>
            <w:shd w:fill="E5FFFF" w:val="clear"/>
            <w:vAlign w:val="bottom"/>
          </w:tcPr>
          <w:p>
            <w:pPr>
              <w:pStyle w:val="TableContents"/>
              <w:spacing w:before="0" w:after="283"/>
              <w:jc w:val="left"/>
              <w:rPr/>
            </w:pPr>
            <w:r>
              <w:rPr/>
              <w:t>      </w:t>
            </w:r>
          </w:p>
        </w:tc>
        <w:tc>
          <w:tcPr>
            <w:tcW w:w="6859" w:type="dxa"/>
            <w:tcBorders/>
            <w:shd w:fill="E5FFFF" w:val="clear"/>
            <w:vAlign w:val="bottom"/>
          </w:tcPr>
          <w:p>
            <w:pPr>
              <w:pStyle w:val="TableContents"/>
              <w:spacing w:before="0" w:after="283"/>
              <w:rPr>
                <w:sz w:val="4"/>
                <w:szCs w:val="4"/>
              </w:rPr>
            </w:pPr>
            <w:r>
              <w:rPr>
                <w:sz w:val="4"/>
                <w:szCs w:val="4"/>
              </w:rPr>
            </w:r>
          </w:p>
        </w:tc>
        <w:tc>
          <w:tcPr>
            <w:tcW w:w="306"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789" w:type="dxa"/>
            <w:tcBorders/>
            <w:shd w:fill="E5FFFF" w:val="clear"/>
            <w:vAlign w:val="bottom"/>
          </w:tcPr>
          <w:p>
            <w:pPr>
              <w:pStyle w:val="TableContents"/>
              <w:spacing w:before="0" w:after="283"/>
              <w:jc w:val="right"/>
              <w:rPr>
                <w:rFonts w:ascii="Arial" w:hAnsi="Arial"/>
              </w:rPr>
            </w:pPr>
            <w:r>
              <w:rPr>
                <w:rFonts w:ascii="Arial" w:hAnsi="Arial"/>
              </w:rPr>
              <w:t>1,819</w:t>
            </w:r>
          </w:p>
        </w:tc>
        <w:tc>
          <w:tcPr>
            <w:tcW w:w="76" w:type="dxa"/>
            <w:tcBorders/>
            <w:shd w:fill="E5FFFF" w:val="clear"/>
            <w:vAlign w:val="center"/>
          </w:tcPr>
          <w:p>
            <w:pPr>
              <w:pStyle w:val="TableContents"/>
              <w:spacing w:before="0" w:after="283"/>
              <w:rPr/>
            </w:pPr>
            <w:r>
              <w:rPr/>
              <w:t> </w:t>
            </w:r>
          </w:p>
        </w:tc>
        <w:tc>
          <w:tcPr>
            <w:tcW w:w="458" w:type="dxa"/>
            <w:tcBorders/>
            <w:shd w:fill="E5FFFF" w:val="clear"/>
            <w:vAlign w:val="bottom"/>
          </w:tcPr>
          <w:p>
            <w:pPr>
              <w:pStyle w:val="TableContents"/>
              <w:spacing w:before="0" w:after="283"/>
              <w:jc w:val="right"/>
              <w:rPr/>
            </w:pPr>
            <w:r>
              <w:rPr/>
              <w:t>      </w:t>
            </w:r>
          </w:p>
        </w:tc>
        <w:tc>
          <w:tcPr>
            <w:tcW w:w="197" w:type="dxa"/>
            <w:tcBorders/>
            <w:shd w:fill="E5FFFF" w:val="clear"/>
            <w:vAlign w:val="bottom"/>
          </w:tcPr>
          <w:p>
            <w:pPr>
              <w:pStyle w:val="TableContents"/>
              <w:spacing w:before="0" w:after="283"/>
              <w:jc w:val="right"/>
              <w:rPr>
                <w:rFonts w:ascii="Arial" w:hAnsi="Arial"/>
              </w:rPr>
            </w:pPr>
            <w:r>
              <w:rPr>
                <w:rFonts w:ascii="Arial" w:hAnsi="Arial"/>
              </w:rPr>
              <w:t>$</w:t>
            </w:r>
          </w:p>
        </w:tc>
        <w:tc>
          <w:tcPr>
            <w:tcW w:w="789" w:type="dxa"/>
            <w:tcBorders/>
            <w:shd w:fill="E5FFFF" w:val="clear"/>
            <w:vAlign w:val="bottom"/>
          </w:tcPr>
          <w:p>
            <w:pPr>
              <w:pStyle w:val="TableContents"/>
              <w:spacing w:before="0" w:after="283"/>
              <w:jc w:val="right"/>
              <w:rPr>
                <w:rFonts w:ascii="Arial" w:hAnsi="Arial"/>
              </w:rPr>
            </w:pPr>
            <w:r>
              <w:rPr>
                <w:rFonts w:ascii="Arial" w:hAnsi="Arial"/>
              </w:rPr>
              <w:t>2,069</w:t>
            </w:r>
          </w:p>
        </w:tc>
        <w:tc>
          <w:tcPr>
            <w:tcW w:w="77" w:type="dxa"/>
            <w:tcBorders/>
            <w:shd w:fill="E5FFFF" w:val="clear"/>
            <w:vAlign w:val="center"/>
          </w:tcPr>
          <w:p>
            <w:pPr>
              <w:pStyle w:val="TableContents"/>
              <w:spacing w:before="0" w:after="283"/>
              <w:rPr/>
            </w:pPr>
            <w:r>
              <w:rPr/>
              <w:t> </w:t>
            </w:r>
          </w:p>
        </w:tc>
      </w:tr>
      <w:tr>
        <w:trPr/>
        <w:tc>
          <w:tcPr>
            <w:tcW w:w="457" w:type="dxa"/>
            <w:tcBorders/>
            <w:shd w:fill="FFFFFF" w:val="clear"/>
            <w:vAlign w:val="center"/>
          </w:tcPr>
          <w:p>
            <w:pPr>
              <w:pStyle w:val="TableContents"/>
              <w:spacing w:before="0" w:after="283"/>
              <w:rPr/>
            </w:pPr>
            <w:r>
              <w:rPr/>
              <w:t> </w:t>
            </w:r>
          </w:p>
        </w:tc>
        <w:tc>
          <w:tcPr>
            <w:tcW w:w="6859" w:type="dxa"/>
            <w:tcBorders/>
            <w:shd w:fill="FFFFFF" w:val="clear"/>
            <w:vAlign w:val="center"/>
          </w:tcPr>
          <w:p>
            <w:pPr>
              <w:pStyle w:val="TableContents"/>
              <w:spacing w:before="0" w:after="283"/>
              <w:rPr/>
            </w:pPr>
            <w:r>
              <w:rPr/>
              <w:t> </w:t>
            </w:r>
          </w:p>
        </w:tc>
        <w:tc>
          <w:tcPr>
            <w:tcW w:w="306"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bottom"/>
          </w:tcPr>
          <w:p>
            <w:pPr>
              <w:pStyle w:val="HorizontalLine"/>
              <w:pBdr>
                <w:bottom w:val="single" w:sz="18" w:space="0" w:color="000000"/>
              </w:pBdr>
              <w:spacing w:before="0" w:after="283"/>
              <w:rPr/>
            </w:pPr>
            <w:r>
              <w:rPr/>
            </w:r>
          </w:p>
        </w:tc>
        <w:tc>
          <w:tcPr>
            <w:tcW w:w="76" w:type="dxa"/>
            <w:tcBorders/>
            <w:shd w:fill="FFFFFF" w:val="clear"/>
            <w:vAlign w:val="center"/>
          </w:tcPr>
          <w:p>
            <w:pPr>
              <w:pStyle w:val="TableContents"/>
              <w:spacing w:before="0" w:after="283"/>
              <w:rPr/>
            </w:pPr>
            <w:r>
              <w:rPr/>
              <w:t> </w:t>
            </w:r>
          </w:p>
        </w:tc>
        <w:tc>
          <w:tcPr>
            <w:tcW w:w="458" w:type="dxa"/>
            <w:tcBorders/>
            <w:shd w:fill="FFFFFF" w:val="clear"/>
            <w:vAlign w:val="bottom"/>
          </w:tcPr>
          <w:p>
            <w:pPr>
              <w:pStyle w:val="TableContents"/>
              <w:spacing w:before="0" w:after="283"/>
              <w:jc w:val="right"/>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bottom"/>
          </w:tcPr>
          <w:p>
            <w:pPr>
              <w:pStyle w:val="HorizontalLine"/>
              <w:pBdr>
                <w:bottom w:val="single" w:sz="18" w:space="0" w:color="000000"/>
              </w:pBdr>
              <w:spacing w:before="0" w:after="283"/>
              <w:rPr/>
            </w:pPr>
            <w:r>
              <w:rPr/>
            </w:r>
          </w:p>
        </w:tc>
        <w:tc>
          <w:tcPr>
            <w:tcW w:w="77" w:type="dxa"/>
            <w:tcBorders/>
            <w:shd w:fill="FFFFFF" w:val="clear"/>
            <w:vAlign w:val="center"/>
          </w:tcPr>
          <w:p>
            <w:pPr>
              <w:pStyle w:val="TableContents"/>
              <w:spacing w:before="0" w:after="283"/>
              <w:rPr/>
            </w:pPr>
            <w:r>
              <w:rPr/>
              <w:t> </w:t>
            </w:r>
          </w:p>
        </w:tc>
      </w:tr>
      <w:tr>
        <w:trPr/>
        <w:tc>
          <w:tcPr>
            <w:tcW w:w="457" w:type="dxa"/>
            <w:tcBorders/>
            <w:shd w:fill="FFFFFF" w:val="clear"/>
            <w:vAlign w:val="bottom"/>
          </w:tcPr>
          <w:p>
            <w:pPr>
              <w:pStyle w:val="TableContents"/>
              <w:spacing w:before="0" w:after="283"/>
              <w:jc w:val="left"/>
              <w:rPr/>
            </w:pPr>
            <w:r>
              <w:rPr/>
              <w:t>      </w:t>
            </w:r>
          </w:p>
        </w:tc>
        <w:tc>
          <w:tcPr>
            <w:tcW w:w="6859" w:type="dxa"/>
            <w:tcBorders/>
            <w:shd w:fill="FFFFFF" w:val="clear"/>
            <w:vAlign w:val="bottom"/>
          </w:tcPr>
          <w:p>
            <w:pPr>
              <w:pStyle w:val="TableContents"/>
              <w:spacing w:before="0" w:after="283"/>
              <w:rPr>
                <w:sz w:val="4"/>
                <w:szCs w:val="4"/>
              </w:rPr>
            </w:pPr>
            <w:r>
              <w:rPr>
                <w:sz w:val="4"/>
                <w:szCs w:val="4"/>
              </w:rPr>
            </w:r>
          </w:p>
        </w:tc>
        <w:tc>
          <w:tcPr>
            <w:tcW w:w="306"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c>
          <w:tcPr>
            <w:tcW w:w="458"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rPr/>
            </w:pPr>
            <w:r>
              <w:rPr/>
              <w:t> </w:t>
            </w:r>
          </w:p>
        </w:tc>
        <w:tc>
          <w:tcPr>
            <w:tcW w:w="789"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r>
    </w:tbl>
    <w:p>
      <w:pPr>
        <w:pStyle w:val="TextBody"/>
        <w:jc w:val="left"/>
        <w:rPr>
          <w:rFonts w:ascii="Arial" w:hAnsi="Arial"/>
          <w:b/>
        </w:rPr>
      </w:pPr>
      <w:r>
        <w:rPr>
          <w:rFonts w:ascii="Arial" w:hAnsi="Arial"/>
          <w:b/>
        </w:rPr>
        <w:t>Other Matters</w:t>
      </w:r>
    </w:p>
    <w:p>
      <w:pPr>
        <w:pStyle w:val="TextBody"/>
        <w:jc w:val="left"/>
        <w:rPr/>
      </w:pPr>
      <w:r>
        <w:rPr/>
        <w:t>      </w:t>
      </w:r>
      <w:r>
        <w:rPr>
          <w:rFonts w:ascii="Arial" w:hAnsi="Arial"/>
          <w:b/>
          <w:i/>
        </w:rPr>
        <w:t>Baton Rouge, LA—</w:t>
      </w:r>
      <w:r>
        <w:rPr>
          <w:rFonts w:ascii="Arial" w:hAnsi="Arial"/>
        </w:rPr>
        <w:t>As previously reported, three incidents occurred during 2003 at Honeywell's Baton Rouge, Louisiana chemical plant, including a release of chlorine, a release of antimony pentachloride (which resulted in an employee fatality), and an employee exposure to hydrofluoric acid. The United States Environmental Protection Agency and the United States Department of Justice have conducted investigations of these incidents, including a federal grand jury convened to investigate the employee fatality. As a result of that investigation, we have signed a plea agreement with the U.S. Attorney under which Honeywell will plead guilty to a misdemeanor charge and pay $12 million in combined restitution and fines. The plea agreement has been filed, but the plea and the sentence still are subject to Court acceptance, which we expect to receive. Honeywell has been served with several civil lawsuits regarding these incidents, for which we believe we have adequate insurance coverage to the extent that there is any liability. We are also engaged in discussions with the Louisiana Department</w:t>
      </w:r>
    </w:p>
    <w:p>
      <w:pPr>
        <w:pStyle w:val="TextBody"/>
        <w:jc w:val="center"/>
        <w:rPr>
          <w:rFonts w:ascii="Arial" w:hAnsi="Arial"/>
        </w:rPr>
      </w:pPr>
      <w:r>
        <w:rPr>
          <w:rFonts w:ascii="Arial" w:hAnsi="Arial"/>
        </w:rPr>
        <w:t>83</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of Environmental Quality (LADEQ) to resolve alleged civil environmental violations at our Baton Rouge and Geismar, Louisiana facilities that, in part, overlap with the subject of the federal investigation.</w:t>
      </w:r>
    </w:p>
    <w:p>
      <w:pPr>
        <w:pStyle w:val="TextBody"/>
        <w:jc w:val="left"/>
        <w:rPr/>
      </w:pPr>
      <w:r>
        <w:rPr/>
        <w:t>      </w:t>
      </w:r>
      <w:r>
        <w:rPr>
          <w:rFonts w:ascii="Arial" w:hAnsi="Arial"/>
          <w:b/>
          <w:i/>
        </w:rPr>
        <w:t>Brunswick, GA—</w:t>
      </w:r>
      <w:r>
        <w:rPr>
          <w:rFonts w:ascii="Arial" w:hAnsi="Arial"/>
        </w:rPr>
        <w:t>Honeywell has reached settlements with Glynn County, Georgia and with a group of private individuals who own or owned properties near the Allied Chemical (a predecessor company) chlor-alkali plant, in Brunswick, Georgia in various related cases. The plaintiffs had alleged that mercury and PCB discharges from the plant devalued their property, and caused them loss of use and enjoyment of that property. They were seeking compensatory, injunctive and punitive damages. The settlement with Glynn County was for $25 million and that amount has been paid. The settlement with the private property owners was also for $25 million and the money has been placed into the plaintiffs' attorney trust account pending confirmation that none of the private landowners have opted out of the settlement and allocation of the proceeds among the parties by a special master appointed by the court. Honeywell and the private landowners will ask the court to confirm the settlement as final in a hearing set for April 6, 2007.</w:t>
      </w:r>
    </w:p>
    <w:p>
      <w:pPr>
        <w:pStyle w:val="TextBody"/>
        <w:jc w:val="left"/>
        <w:rPr/>
      </w:pPr>
      <w:r>
        <w:rPr/>
        <w:t>      </w:t>
      </w:r>
      <w:r>
        <w:rPr>
          <w:rFonts w:ascii="Arial" w:hAnsi="Arial"/>
          <w:b/>
          <w:i/>
        </w:rPr>
        <w:t>Allen, et, al. v. Honeywell Retirement Earnings Plan—</w:t>
      </w:r>
      <w:r>
        <w:rPr>
          <w:rFonts w:ascii="Arial" w:hAnsi="Arial"/>
        </w:rPr>
        <w:t>This represents a class action lawsuit in which plaintiffs seek unspecified damages relating to allegations that, among other things, Honeywell impermissibly reduced the pension benefits of employees of Garrett Corporation (a predecessor entity) when the plan was amended in 1983 and failed to calculate certain benefits in accordance with the terms of the plan. In the third quarter of 2005, the U.S. District Court for the District of Arizona ruled in favor of the plaintiffs on these claims and in favor of Honeywell on virtually all other claims. We strongly disagree with, and intend to appeal, the Court's adverse ruling. A class was certified by the Court in September 2006. In light of the merits of our arguments on appeal and our substantial affirmative defenses which have not yet been considered by the Court, we continue to expect to prevail in this matter. Accordingly, we do not believe that a liability is probable of occurrence and reasonably estimable and have not recorded a provision for this matter in our financial statements. Given the uncertainty inherent in litigation and the wide range of potential remedies, it is not possible to estimate the range of possible loss that might result from an adverse resolution of this matter. Although we expect to prevail in this matter, an adverse outcome could have a material adverse effect on our results of operations or operating cash flows in the periods recognized or paid. We do not believe that an adverse outcome in this matter would have a material adverse effect on our consolidated financial position.</w:t>
      </w:r>
    </w:p>
    <w:p>
      <w:pPr>
        <w:pStyle w:val="TextBody"/>
        <w:jc w:val="left"/>
        <w:rPr/>
      </w:pPr>
      <w:r>
        <w:rPr/>
        <w:t>      </w:t>
      </w:r>
      <w:r>
        <w:rPr>
          <w:rFonts w:ascii="Arial" w:hAnsi="Arial"/>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and health and safety matters. We recognize a liability for any contingency that is probable of occurrence and reasonably estimable. We continually assess the likelihood of adverse judgments of outcomes in these matters, as well as potential ranges of probable losses (taking into consideration any insurance recoveries), based on a careful analysis of each matter with the assistance of outside legal counsel and, if applicable, other experts.</w:t>
      </w:r>
    </w:p>
    <w:p>
      <w:pPr>
        <w:pStyle w:val="TextBody"/>
        <w:jc w:val="left"/>
        <w:rPr/>
      </w:pPr>
      <w:r>
        <w:rPr/>
        <w:t>      </w:t>
      </w:r>
      <w:r>
        <w:rPr>
          <w:rFonts w:ascii="Arial" w:hAnsi="Arial"/>
        </w:rPr>
        <w:t>Given the uncertainty inherent in litigation, we do not believe it is possible to develop estimates of the range of reasonably possible loss in excess of current accruals for these matters.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pStyle w:val="TextBody"/>
        <w:jc w:val="center"/>
        <w:rPr>
          <w:rFonts w:ascii="Arial" w:hAnsi="Arial"/>
        </w:rPr>
      </w:pPr>
      <w:r>
        <w:rPr>
          <w:rFonts w:ascii="Arial" w:hAnsi="Arial"/>
        </w:rPr>
        <w:t>84</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b/>
          <w:i/>
        </w:rPr>
        <w:t>Warranties and Guarantees—</w:t>
      </w:r>
      <w:r>
        <w:rPr>
          <w:rFonts w:ascii="Arial" w:hAnsi="Arial"/>
        </w:rPr>
        <w:t>We have issued or are a party to the following direct and indirect guarantees at December 31, 2006:</w:t>
      </w:r>
    </w:p>
    <w:tbl>
      <w:tblPr>
        <w:tblW w:w="5000" w:type="pct"/>
        <w:jc w:val="left"/>
        <w:tblInd w:w="0" w:type="dxa"/>
        <w:tblCellMar>
          <w:top w:w="0" w:type="dxa"/>
          <w:left w:w="0" w:type="dxa"/>
          <w:bottom w:w="0" w:type="dxa"/>
          <w:right w:w="0" w:type="dxa"/>
        </w:tblCellMar>
      </w:tblPr>
      <w:tblGrid>
        <w:gridCol w:w="641"/>
        <w:gridCol w:w="6640"/>
        <w:gridCol w:w="856"/>
        <w:gridCol w:w="634"/>
        <w:gridCol w:w="1188"/>
        <w:gridCol w:w="246"/>
      </w:tblGrid>
      <w:tr>
        <w:trPr/>
        <w:tc>
          <w:tcPr>
            <w:tcW w:w="641" w:type="dxa"/>
            <w:tcBorders/>
            <w:shd w:fill="FFFFFF" w:val="clear"/>
            <w:vAlign w:val="bottom"/>
          </w:tcPr>
          <w:p>
            <w:pPr>
              <w:pStyle w:val="TableContents"/>
              <w:spacing w:before="0" w:after="283"/>
              <w:jc w:val="center"/>
              <w:rPr/>
            </w:pPr>
            <w:r>
              <w:rPr/>
              <w:t>      </w:t>
            </w:r>
          </w:p>
        </w:tc>
        <w:tc>
          <w:tcPr>
            <w:tcW w:w="6640" w:type="dxa"/>
            <w:tcBorders/>
            <w:shd w:fill="FFFFFF" w:val="clear"/>
            <w:vAlign w:val="bottom"/>
          </w:tcPr>
          <w:p>
            <w:pPr>
              <w:pStyle w:val="TableContents"/>
              <w:spacing w:before="0" w:after="283"/>
              <w:rPr>
                <w:sz w:val="4"/>
                <w:szCs w:val="4"/>
              </w:rPr>
            </w:pPr>
            <w:r>
              <w:rPr>
                <w:sz w:val="4"/>
                <w:szCs w:val="4"/>
              </w:rPr>
            </w:r>
          </w:p>
        </w:tc>
        <w:tc>
          <w:tcPr>
            <w:tcW w:w="856" w:type="dxa"/>
            <w:tcBorders/>
            <w:shd w:fill="FFFFFF" w:val="clear"/>
            <w:vAlign w:val="center"/>
          </w:tcPr>
          <w:p>
            <w:pPr>
              <w:pStyle w:val="TableContents"/>
              <w:spacing w:before="0" w:after="283"/>
              <w:rPr/>
            </w:pPr>
            <w:r>
              <w:rPr/>
              <w:t> </w:t>
            </w:r>
          </w:p>
        </w:tc>
        <w:tc>
          <w:tcPr>
            <w:tcW w:w="2068" w:type="dxa"/>
            <w:gridSpan w:val="3"/>
            <w:tcBorders/>
            <w:shd w:fill="FFFFFF" w:val="clear"/>
            <w:vAlign w:val="bottom"/>
          </w:tcPr>
          <w:p>
            <w:pPr>
              <w:pStyle w:val="TableContents"/>
              <w:spacing w:before="0" w:after="0"/>
              <w:jc w:val="center"/>
              <w:rPr>
                <w:rFonts w:ascii="Arial" w:hAnsi="Arial"/>
                <w:b/>
              </w:rPr>
            </w:pPr>
            <w:r>
              <w:rPr>
                <w:rFonts w:ascii="Arial" w:hAnsi="Arial"/>
                <w:b/>
              </w:rPr>
              <w:t>Maximum</w:t>
              <w:br/>
              <w:t>Potential</w:t>
              <w:br/>
              <w:t>Future</w:t>
              <w:br/>
              <w:t>Payments</w:t>
            </w:r>
          </w:p>
          <w:p>
            <w:pPr>
              <w:pStyle w:val="HorizontalLine"/>
              <w:pBdr>
                <w:bottom w:val="single" w:sz="6" w:space="0" w:color="000000"/>
              </w:pBdr>
              <w:spacing w:before="0" w:after="283"/>
              <w:rPr/>
            </w:pPr>
            <w:r>
              <w:rPr/>
            </w:r>
          </w:p>
        </w:tc>
      </w:tr>
      <w:tr>
        <w:trPr/>
        <w:tc>
          <w:tcPr>
            <w:tcW w:w="641" w:type="dxa"/>
            <w:tcBorders/>
            <w:shd w:fill="E5FFFF" w:val="clear"/>
            <w:vAlign w:val="bottom"/>
          </w:tcPr>
          <w:p>
            <w:pPr>
              <w:pStyle w:val="TableContents"/>
              <w:spacing w:before="0" w:after="283"/>
              <w:jc w:val="left"/>
              <w:rPr/>
            </w:pPr>
            <w:r>
              <w:rPr/>
              <w:t>      </w:t>
            </w:r>
          </w:p>
        </w:tc>
        <w:tc>
          <w:tcPr>
            <w:tcW w:w="6640" w:type="dxa"/>
            <w:tcBorders/>
            <w:shd w:fill="E5FFFF" w:val="clear"/>
            <w:vAlign w:val="bottom"/>
          </w:tcPr>
          <w:p>
            <w:pPr>
              <w:pStyle w:val="TableContents"/>
              <w:spacing w:before="0" w:after="283"/>
              <w:jc w:val="left"/>
              <w:rPr>
                <w:rFonts w:ascii="Arial" w:hAnsi="Arial"/>
              </w:rPr>
            </w:pPr>
            <w:r>
              <w:rPr>
                <w:rFonts w:ascii="Arial" w:hAnsi="Arial"/>
              </w:rPr>
              <w:t>Operating lease residual values</w:t>
            </w:r>
          </w:p>
        </w:tc>
        <w:tc>
          <w:tcPr>
            <w:tcW w:w="856" w:type="dxa"/>
            <w:tcBorders/>
            <w:shd w:fill="E5FFFF" w:val="clear"/>
            <w:vAlign w:val="bottom"/>
          </w:tcPr>
          <w:p>
            <w:pPr>
              <w:pStyle w:val="TableContents"/>
              <w:spacing w:before="0" w:after="283"/>
              <w:jc w:val="right"/>
              <w:rPr/>
            </w:pPr>
            <w:r>
              <w:rPr/>
              <w:t>        </w:t>
            </w:r>
          </w:p>
        </w:tc>
        <w:tc>
          <w:tcPr>
            <w:tcW w:w="634" w:type="dxa"/>
            <w:tcBorders/>
            <w:shd w:fill="E5FFFF" w:val="clear"/>
            <w:vAlign w:val="bottom"/>
          </w:tcPr>
          <w:p>
            <w:pPr>
              <w:pStyle w:val="TableContents"/>
              <w:spacing w:before="0" w:after="283"/>
              <w:jc w:val="right"/>
              <w:rPr>
                <w:rFonts w:ascii="Arial" w:hAnsi="Arial"/>
              </w:rPr>
            </w:pPr>
            <w:r>
              <w:rPr>
                <w:rFonts w:ascii="Arial" w:hAnsi="Arial"/>
              </w:rPr>
              <w:t>$</w:t>
            </w:r>
          </w:p>
        </w:tc>
        <w:tc>
          <w:tcPr>
            <w:tcW w:w="1188" w:type="dxa"/>
            <w:tcBorders/>
            <w:shd w:fill="E5FFFF" w:val="clear"/>
            <w:vAlign w:val="bottom"/>
          </w:tcPr>
          <w:p>
            <w:pPr>
              <w:pStyle w:val="TableContents"/>
              <w:spacing w:before="0" w:after="283"/>
              <w:jc w:val="right"/>
              <w:rPr>
                <w:rFonts w:ascii="Arial" w:hAnsi="Arial"/>
              </w:rPr>
            </w:pPr>
            <w:r>
              <w:rPr>
                <w:rFonts w:ascii="Arial" w:hAnsi="Arial"/>
              </w:rPr>
              <w:t>38</w:t>
            </w:r>
          </w:p>
        </w:tc>
        <w:tc>
          <w:tcPr>
            <w:tcW w:w="246" w:type="dxa"/>
            <w:tcBorders/>
            <w:shd w:fill="E5FFFF" w:val="clear"/>
            <w:vAlign w:val="center"/>
          </w:tcPr>
          <w:p>
            <w:pPr>
              <w:pStyle w:val="TableContents"/>
              <w:spacing w:before="0" w:after="283"/>
              <w:rPr/>
            </w:pPr>
            <w:r>
              <w:rPr/>
              <w:t> </w:t>
            </w:r>
          </w:p>
        </w:tc>
      </w:tr>
      <w:tr>
        <w:trPr/>
        <w:tc>
          <w:tcPr>
            <w:tcW w:w="641" w:type="dxa"/>
            <w:tcBorders/>
            <w:shd w:fill="FFFFFF" w:val="clear"/>
            <w:vAlign w:val="bottom"/>
          </w:tcPr>
          <w:p>
            <w:pPr>
              <w:pStyle w:val="TableContents"/>
              <w:spacing w:before="0" w:after="283"/>
              <w:jc w:val="left"/>
              <w:rPr/>
            </w:pPr>
            <w:r>
              <w:rPr/>
              <w:t>      </w:t>
            </w:r>
          </w:p>
        </w:tc>
        <w:tc>
          <w:tcPr>
            <w:tcW w:w="6640" w:type="dxa"/>
            <w:tcBorders/>
            <w:shd w:fill="FFFFFF" w:val="clear"/>
            <w:vAlign w:val="bottom"/>
          </w:tcPr>
          <w:p>
            <w:pPr>
              <w:pStyle w:val="TableContents"/>
              <w:spacing w:before="0" w:after="283"/>
              <w:jc w:val="left"/>
              <w:rPr>
                <w:rFonts w:ascii="Arial" w:hAnsi="Arial"/>
              </w:rPr>
            </w:pPr>
            <w:r>
              <w:rPr>
                <w:rFonts w:ascii="Arial" w:hAnsi="Arial"/>
              </w:rPr>
              <w:t>Other third parties' financing</w:t>
            </w:r>
          </w:p>
        </w:tc>
        <w:tc>
          <w:tcPr>
            <w:tcW w:w="856" w:type="dxa"/>
            <w:tcBorders/>
            <w:shd w:fill="FFFFFF" w:val="clear"/>
            <w:vAlign w:val="bottom"/>
          </w:tcPr>
          <w:p>
            <w:pPr>
              <w:pStyle w:val="TableContents"/>
              <w:spacing w:before="0" w:after="283"/>
              <w:jc w:val="right"/>
              <w:rPr/>
            </w:pPr>
            <w:r>
              <w:rPr/>
              <w:t>        </w:t>
            </w:r>
          </w:p>
        </w:tc>
        <w:tc>
          <w:tcPr>
            <w:tcW w:w="634" w:type="dxa"/>
            <w:tcBorders/>
            <w:shd w:fill="FFFFFF" w:val="clear"/>
            <w:vAlign w:val="center"/>
          </w:tcPr>
          <w:p>
            <w:pPr>
              <w:pStyle w:val="TableContents"/>
              <w:spacing w:before="0" w:after="283"/>
              <w:rPr/>
            </w:pPr>
            <w:r>
              <w:rPr/>
              <w:t> </w:t>
            </w:r>
          </w:p>
        </w:tc>
        <w:tc>
          <w:tcPr>
            <w:tcW w:w="1188" w:type="dxa"/>
            <w:tcBorders/>
            <w:shd w:fill="FFFFFF" w:val="clear"/>
            <w:vAlign w:val="bottom"/>
          </w:tcPr>
          <w:p>
            <w:pPr>
              <w:pStyle w:val="TableContents"/>
              <w:spacing w:before="0" w:after="283"/>
              <w:jc w:val="right"/>
              <w:rPr>
                <w:rFonts w:ascii="Arial" w:hAnsi="Arial"/>
              </w:rPr>
            </w:pPr>
            <w:r>
              <w:rPr>
                <w:rFonts w:ascii="Arial" w:hAnsi="Arial"/>
              </w:rPr>
              <w:t>6</w:t>
            </w:r>
          </w:p>
        </w:tc>
        <w:tc>
          <w:tcPr>
            <w:tcW w:w="246" w:type="dxa"/>
            <w:tcBorders/>
            <w:shd w:fill="FFFFFF" w:val="clear"/>
            <w:vAlign w:val="center"/>
          </w:tcPr>
          <w:p>
            <w:pPr>
              <w:pStyle w:val="TableContents"/>
              <w:spacing w:before="0" w:after="283"/>
              <w:rPr/>
            </w:pPr>
            <w:r>
              <w:rPr/>
              <w:t> </w:t>
            </w:r>
          </w:p>
        </w:tc>
      </w:tr>
      <w:tr>
        <w:trPr/>
        <w:tc>
          <w:tcPr>
            <w:tcW w:w="641" w:type="dxa"/>
            <w:tcBorders/>
            <w:shd w:fill="E5FFFF" w:val="clear"/>
            <w:vAlign w:val="bottom"/>
          </w:tcPr>
          <w:p>
            <w:pPr>
              <w:pStyle w:val="TableContents"/>
              <w:spacing w:before="0" w:after="283"/>
              <w:jc w:val="left"/>
              <w:rPr/>
            </w:pPr>
            <w:r>
              <w:rPr/>
              <w:t>      </w:t>
            </w:r>
          </w:p>
        </w:tc>
        <w:tc>
          <w:tcPr>
            <w:tcW w:w="6640" w:type="dxa"/>
            <w:tcBorders/>
            <w:shd w:fill="E5FFFF" w:val="clear"/>
            <w:vAlign w:val="bottom"/>
          </w:tcPr>
          <w:p>
            <w:pPr>
              <w:pStyle w:val="TableContents"/>
              <w:spacing w:before="0" w:after="283"/>
              <w:jc w:val="left"/>
              <w:rPr>
                <w:rFonts w:ascii="Arial" w:hAnsi="Arial"/>
              </w:rPr>
            </w:pPr>
            <w:r>
              <w:rPr>
                <w:rFonts w:ascii="Arial" w:hAnsi="Arial"/>
              </w:rPr>
              <w:t>Unconsolidated affiliates' financing</w:t>
            </w:r>
          </w:p>
        </w:tc>
        <w:tc>
          <w:tcPr>
            <w:tcW w:w="856" w:type="dxa"/>
            <w:tcBorders/>
            <w:shd w:fill="E5FFFF" w:val="clear"/>
            <w:vAlign w:val="bottom"/>
          </w:tcPr>
          <w:p>
            <w:pPr>
              <w:pStyle w:val="TableContents"/>
              <w:spacing w:before="0" w:after="283"/>
              <w:jc w:val="right"/>
              <w:rPr/>
            </w:pPr>
            <w:r>
              <w:rPr/>
              <w:t>        </w:t>
            </w:r>
          </w:p>
        </w:tc>
        <w:tc>
          <w:tcPr>
            <w:tcW w:w="634" w:type="dxa"/>
            <w:tcBorders/>
            <w:shd w:fill="E5FFFF" w:val="clear"/>
            <w:vAlign w:val="center"/>
          </w:tcPr>
          <w:p>
            <w:pPr>
              <w:pStyle w:val="TableContents"/>
              <w:spacing w:before="0" w:after="283"/>
              <w:rPr/>
            </w:pPr>
            <w:r>
              <w:rPr/>
              <w:t> </w:t>
            </w:r>
          </w:p>
        </w:tc>
        <w:tc>
          <w:tcPr>
            <w:tcW w:w="1188" w:type="dxa"/>
            <w:tcBorders/>
            <w:shd w:fill="E5FFFF" w:val="clear"/>
            <w:vAlign w:val="bottom"/>
          </w:tcPr>
          <w:p>
            <w:pPr>
              <w:pStyle w:val="TableContents"/>
              <w:spacing w:before="0" w:after="283"/>
              <w:jc w:val="right"/>
              <w:rPr>
                <w:rFonts w:ascii="Arial" w:hAnsi="Arial"/>
              </w:rPr>
            </w:pPr>
            <w:r>
              <w:rPr>
                <w:rFonts w:ascii="Arial" w:hAnsi="Arial"/>
              </w:rPr>
              <w:t>9</w:t>
            </w:r>
          </w:p>
        </w:tc>
        <w:tc>
          <w:tcPr>
            <w:tcW w:w="246" w:type="dxa"/>
            <w:tcBorders/>
            <w:shd w:fill="E5FFFF" w:val="clear"/>
            <w:vAlign w:val="center"/>
          </w:tcPr>
          <w:p>
            <w:pPr>
              <w:pStyle w:val="TableContents"/>
              <w:spacing w:before="0" w:after="283"/>
              <w:rPr/>
            </w:pPr>
            <w:r>
              <w:rPr/>
              <w:t> </w:t>
            </w:r>
          </w:p>
        </w:tc>
      </w:tr>
      <w:tr>
        <w:trPr/>
        <w:tc>
          <w:tcPr>
            <w:tcW w:w="641" w:type="dxa"/>
            <w:tcBorders/>
            <w:shd w:fill="FFFFFF" w:val="clear"/>
            <w:vAlign w:val="bottom"/>
          </w:tcPr>
          <w:p>
            <w:pPr>
              <w:pStyle w:val="TableContents"/>
              <w:spacing w:before="0" w:after="283"/>
              <w:jc w:val="left"/>
              <w:rPr/>
            </w:pPr>
            <w:r>
              <w:rPr/>
              <w:t>      </w:t>
            </w:r>
          </w:p>
        </w:tc>
        <w:tc>
          <w:tcPr>
            <w:tcW w:w="6640" w:type="dxa"/>
            <w:tcBorders/>
            <w:shd w:fill="FFFFFF" w:val="clear"/>
            <w:vAlign w:val="bottom"/>
          </w:tcPr>
          <w:p>
            <w:pPr>
              <w:pStyle w:val="TableContents"/>
              <w:spacing w:before="0" w:after="283"/>
              <w:jc w:val="left"/>
              <w:rPr>
                <w:rFonts w:ascii="Arial" w:hAnsi="Arial"/>
              </w:rPr>
            </w:pPr>
            <w:r>
              <w:rPr>
                <w:rFonts w:ascii="Arial" w:hAnsi="Arial"/>
              </w:rPr>
              <w:t>Customer financing</w:t>
            </w:r>
          </w:p>
        </w:tc>
        <w:tc>
          <w:tcPr>
            <w:tcW w:w="856" w:type="dxa"/>
            <w:tcBorders/>
            <w:shd w:fill="FFFFFF" w:val="clear"/>
            <w:vAlign w:val="bottom"/>
          </w:tcPr>
          <w:p>
            <w:pPr>
              <w:pStyle w:val="TableContents"/>
              <w:spacing w:before="0" w:after="283"/>
              <w:jc w:val="right"/>
              <w:rPr/>
            </w:pPr>
            <w:r>
              <w:rPr/>
              <w:t>        </w:t>
            </w:r>
          </w:p>
        </w:tc>
        <w:tc>
          <w:tcPr>
            <w:tcW w:w="634" w:type="dxa"/>
            <w:tcBorders/>
            <w:shd w:fill="FFFFFF" w:val="clear"/>
            <w:vAlign w:val="center"/>
          </w:tcPr>
          <w:p>
            <w:pPr>
              <w:pStyle w:val="TableContents"/>
              <w:spacing w:before="0" w:after="283"/>
              <w:rPr/>
            </w:pPr>
            <w:r>
              <w:rPr/>
              <w:t> </w:t>
            </w:r>
          </w:p>
        </w:tc>
        <w:tc>
          <w:tcPr>
            <w:tcW w:w="1188" w:type="dxa"/>
            <w:tcBorders/>
            <w:shd w:fill="FFFFFF" w:val="clear"/>
            <w:vAlign w:val="bottom"/>
          </w:tcPr>
          <w:p>
            <w:pPr>
              <w:pStyle w:val="TableContents"/>
              <w:spacing w:before="0" w:after="283"/>
              <w:jc w:val="right"/>
              <w:rPr>
                <w:rFonts w:ascii="Arial" w:hAnsi="Arial"/>
              </w:rPr>
            </w:pPr>
            <w:r>
              <w:rPr>
                <w:rFonts w:ascii="Arial" w:hAnsi="Arial"/>
              </w:rPr>
              <w:t>22</w:t>
            </w:r>
          </w:p>
        </w:tc>
        <w:tc>
          <w:tcPr>
            <w:tcW w:w="246" w:type="dxa"/>
            <w:tcBorders/>
            <w:shd w:fill="FFFFFF" w:val="clear"/>
            <w:vAlign w:val="center"/>
          </w:tcPr>
          <w:p>
            <w:pPr>
              <w:pStyle w:val="TableContents"/>
              <w:spacing w:before="0" w:after="283"/>
              <w:rPr/>
            </w:pPr>
            <w:r>
              <w:rPr/>
              <w:t> </w:t>
            </w:r>
          </w:p>
        </w:tc>
      </w:tr>
      <w:tr>
        <w:trPr/>
        <w:tc>
          <w:tcPr>
            <w:tcW w:w="641" w:type="dxa"/>
            <w:tcBorders/>
            <w:shd w:fill="E5FFFF" w:val="clear"/>
            <w:vAlign w:val="center"/>
          </w:tcPr>
          <w:p>
            <w:pPr>
              <w:pStyle w:val="TableContents"/>
              <w:spacing w:before="0" w:after="283"/>
              <w:rPr/>
            </w:pPr>
            <w:r>
              <w:rPr/>
              <w:t> </w:t>
            </w:r>
          </w:p>
        </w:tc>
        <w:tc>
          <w:tcPr>
            <w:tcW w:w="6640" w:type="dxa"/>
            <w:tcBorders/>
            <w:shd w:fill="E5FFFF" w:val="clear"/>
            <w:vAlign w:val="center"/>
          </w:tcPr>
          <w:p>
            <w:pPr>
              <w:pStyle w:val="TableContents"/>
              <w:spacing w:before="0" w:after="283"/>
              <w:rPr/>
            </w:pPr>
            <w:r>
              <w:rPr/>
              <w:t> </w:t>
            </w:r>
          </w:p>
        </w:tc>
        <w:tc>
          <w:tcPr>
            <w:tcW w:w="856" w:type="dxa"/>
            <w:tcBorders/>
            <w:shd w:fill="E5FFFF" w:val="clear"/>
            <w:vAlign w:val="bottom"/>
          </w:tcPr>
          <w:p>
            <w:pPr>
              <w:pStyle w:val="TableContents"/>
              <w:spacing w:before="0" w:after="283"/>
              <w:jc w:val="right"/>
              <w:rPr/>
            </w:pPr>
            <w:r>
              <w:rPr/>
              <w:t>        </w:t>
            </w:r>
          </w:p>
        </w:tc>
        <w:tc>
          <w:tcPr>
            <w:tcW w:w="634" w:type="dxa"/>
            <w:tcBorders/>
            <w:shd w:fill="E5FFFF" w:val="clear"/>
            <w:vAlign w:val="center"/>
          </w:tcPr>
          <w:p>
            <w:pPr>
              <w:pStyle w:val="TableContents"/>
              <w:spacing w:before="0" w:after="283"/>
              <w:rPr/>
            </w:pPr>
            <w:r>
              <w:rPr/>
              <w:t> </w:t>
            </w:r>
          </w:p>
        </w:tc>
        <w:tc>
          <w:tcPr>
            <w:tcW w:w="1188" w:type="dxa"/>
            <w:tcBorders/>
            <w:shd w:fill="E5FFFF" w:val="clear"/>
            <w:vAlign w:val="bottom"/>
          </w:tcPr>
          <w:p>
            <w:pPr>
              <w:pStyle w:val="HorizontalLine"/>
              <w:pBdr>
                <w:bottom w:val="single" w:sz="6" w:space="0" w:color="000000"/>
              </w:pBdr>
              <w:spacing w:before="0" w:after="283"/>
              <w:rPr/>
            </w:pPr>
            <w:r>
              <w:rPr/>
            </w:r>
          </w:p>
        </w:tc>
        <w:tc>
          <w:tcPr>
            <w:tcW w:w="246" w:type="dxa"/>
            <w:tcBorders/>
            <w:shd w:fill="E5FFFF" w:val="clear"/>
            <w:vAlign w:val="center"/>
          </w:tcPr>
          <w:p>
            <w:pPr>
              <w:pStyle w:val="TableContents"/>
              <w:spacing w:before="0" w:after="283"/>
              <w:rPr/>
            </w:pPr>
            <w:r>
              <w:rPr/>
              <w:t> </w:t>
            </w:r>
          </w:p>
        </w:tc>
      </w:tr>
      <w:tr>
        <w:trPr/>
        <w:tc>
          <w:tcPr>
            <w:tcW w:w="641" w:type="dxa"/>
            <w:tcBorders/>
            <w:shd w:fill="FFFFFF" w:val="clear"/>
            <w:vAlign w:val="bottom"/>
          </w:tcPr>
          <w:p>
            <w:pPr>
              <w:pStyle w:val="TableContents"/>
              <w:spacing w:before="0" w:after="283"/>
              <w:jc w:val="left"/>
              <w:rPr/>
            </w:pPr>
            <w:r>
              <w:rPr/>
              <w:t>      </w:t>
            </w:r>
          </w:p>
        </w:tc>
        <w:tc>
          <w:tcPr>
            <w:tcW w:w="6640" w:type="dxa"/>
            <w:tcBorders/>
            <w:shd w:fill="FFFFFF" w:val="clear"/>
            <w:vAlign w:val="bottom"/>
          </w:tcPr>
          <w:p>
            <w:pPr>
              <w:pStyle w:val="TableContents"/>
              <w:spacing w:before="0" w:after="283"/>
              <w:rPr>
                <w:sz w:val="4"/>
                <w:szCs w:val="4"/>
              </w:rPr>
            </w:pPr>
            <w:r>
              <w:rPr>
                <w:sz w:val="4"/>
                <w:szCs w:val="4"/>
              </w:rPr>
            </w:r>
          </w:p>
        </w:tc>
        <w:tc>
          <w:tcPr>
            <w:tcW w:w="856" w:type="dxa"/>
            <w:tcBorders/>
            <w:shd w:fill="FFFFFF" w:val="clear"/>
            <w:vAlign w:val="bottom"/>
          </w:tcPr>
          <w:p>
            <w:pPr>
              <w:pStyle w:val="TableContents"/>
              <w:spacing w:before="0" w:after="283"/>
              <w:jc w:val="right"/>
              <w:rPr/>
            </w:pPr>
            <w:r>
              <w:rPr/>
              <w:t>        </w:t>
            </w:r>
          </w:p>
        </w:tc>
        <w:tc>
          <w:tcPr>
            <w:tcW w:w="634" w:type="dxa"/>
            <w:tcBorders/>
            <w:shd w:fill="FFFFFF" w:val="clear"/>
            <w:vAlign w:val="bottom"/>
          </w:tcPr>
          <w:p>
            <w:pPr>
              <w:pStyle w:val="TableContents"/>
              <w:spacing w:before="0" w:after="283"/>
              <w:jc w:val="right"/>
              <w:rPr>
                <w:rFonts w:ascii="Arial" w:hAnsi="Arial"/>
              </w:rPr>
            </w:pPr>
            <w:r>
              <w:rPr>
                <w:rFonts w:ascii="Arial" w:hAnsi="Arial"/>
              </w:rPr>
              <w:t>$</w:t>
            </w:r>
          </w:p>
        </w:tc>
        <w:tc>
          <w:tcPr>
            <w:tcW w:w="1188" w:type="dxa"/>
            <w:tcBorders/>
            <w:shd w:fill="FFFFFF" w:val="clear"/>
            <w:vAlign w:val="bottom"/>
          </w:tcPr>
          <w:p>
            <w:pPr>
              <w:pStyle w:val="TableContents"/>
              <w:spacing w:before="0" w:after="283"/>
              <w:jc w:val="right"/>
              <w:rPr>
                <w:rFonts w:ascii="Arial" w:hAnsi="Arial"/>
              </w:rPr>
            </w:pPr>
            <w:r>
              <w:rPr>
                <w:rFonts w:ascii="Arial" w:hAnsi="Arial"/>
              </w:rPr>
              <w:t>75</w:t>
            </w:r>
          </w:p>
        </w:tc>
        <w:tc>
          <w:tcPr>
            <w:tcW w:w="246" w:type="dxa"/>
            <w:tcBorders/>
            <w:shd w:fill="FFFFFF" w:val="clear"/>
            <w:vAlign w:val="center"/>
          </w:tcPr>
          <w:p>
            <w:pPr>
              <w:pStyle w:val="TableContents"/>
              <w:spacing w:before="0" w:after="283"/>
              <w:rPr/>
            </w:pPr>
            <w:r>
              <w:rPr/>
              <w:t> </w:t>
            </w:r>
          </w:p>
        </w:tc>
      </w:tr>
      <w:tr>
        <w:trPr/>
        <w:tc>
          <w:tcPr>
            <w:tcW w:w="641" w:type="dxa"/>
            <w:tcBorders/>
            <w:shd w:fill="E5FFFF" w:val="clear"/>
            <w:vAlign w:val="center"/>
          </w:tcPr>
          <w:p>
            <w:pPr>
              <w:pStyle w:val="TableContents"/>
              <w:spacing w:before="0" w:after="283"/>
              <w:rPr/>
            </w:pPr>
            <w:r>
              <w:rPr/>
              <w:t> </w:t>
            </w:r>
          </w:p>
        </w:tc>
        <w:tc>
          <w:tcPr>
            <w:tcW w:w="6640" w:type="dxa"/>
            <w:tcBorders/>
            <w:shd w:fill="E5FFFF" w:val="clear"/>
            <w:vAlign w:val="center"/>
          </w:tcPr>
          <w:p>
            <w:pPr>
              <w:pStyle w:val="TableContents"/>
              <w:spacing w:before="0" w:after="283"/>
              <w:rPr/>
            </w:pPr>
            <w:r>
              <w:rPr/>
              <w:t> </w:t>
            </w:r>
          </w:p>
        </w:tc>
        <w:tc>
          <w:tcPr>
            <w:tcW w:w="856" w:type="dxa"/>
            <w:tcBorders/>
            <w:shd w:fill="E5FFFF" w:val="clear"/>
            <w:vAlign w:val="bottom"/>
          </w:tcPr>
          <w:p>
            <w:pPr>
              <w:pStyle w:val="TableContents"/>
              <w:spacing w:before="0" w:after="283"/>
              <w:jc w:val="right"/>
              <w:rPr/>
            </w:pPr>
            <w:r>
              <w:rPr/>
              <w:t>        </w:t>
            </w:r>
          </w:p>
        </w:tc>
        <w:tc>
          <w:tcPr>
            <w:tcW w:w="634" w:type="dxa"/>
            <w:tcBorders/>
            <w:shd w:fill="E5FFFF" w:val="clear"/>
            <w:vAlign w:val="center"/>
          </w:tcPr>
          <w:p>
            <w:pPr>
              <w:pStyle w:val="TableContents"/>
              <w:spacing w:before="0" w:after="283"/>
              <w:rPr/>
            </w:pPr>
            <w:r>
              <w:rPr/>
              <w:t> </w:t>
            </w:r>
          </w:p>
        </w:tc>
        <w:tc>
          <w:tcPr>
            <w:tcW w:w="1188" w:type="dxa"/>
            <w:tcBorders/>
            <w:shd w:fill="E5FFFF" w:val="clear"/>
            <w:vAlign w:val="bottom"/>
          </w:tcPr>
          <w:p>
            <w:pPr>
              <w:pStyle w:val="HorizontalLine"/>
              <w:pBdr>
                <w:bottom w:val="single" w:sz="18" w:space="0" w:color="000000"/>
              </w:pBdr>
              <w:spacing w:before="0" w:after="283"/>
              <w:rPr/>
            </w:pPr>
            <w:r>
              <w:rPr/>
            </w:r>
          </w:p>
        </w:tc>
        <w:tc>
          <w:tcPr>
            <w:tcW w:w="246" w:type="dxa"/>
            <w:tcBorders/>
            <w:shd w:fill="E5FFFF" w:val="clear"/>
            <w:vAlign w:val="center"/>
          </w:tcPr>
          <w:p>
            <w:pPr>
              <w:pStyle w:val="TableContents"/>
              <w:spacing w:before="0" w:after="283"/>
              <w:rPr/>
            </w:pPr>
            <w:r>
              <w:rPr/>
              <w:t> </w:t>
            </w:r>
          </w:p>
        </w:tc>
      </w:tr>
      <w:tr>
        <w:trPr/>
        <w:tc>
          <w:tcPr>
            <w:tcW w:w="641" w:type="dxa"/>
            <w:tcBorders/>
            <w:shd w:fill="FFFFFF" w:val="clear"/>
            <w:vAlign w:val="bottom"/>
          </w:tcPr>
          <w:p>
            <w:pPr>
              <w:pStyle w:val="TableContents"/>
              <w:spacing w:before="0" w:after="283"/>
              <w:jc w:val="left"/>
              <w:rPr/>
            </w:pPr>
            <w:r>
              <w:rPr/>
              <w:t>      </w:t>
            </w:r>
          </w:p>
        </w:tc>
        <w:tc>
          <w:tcPr>
            <w:tcW w:w="6640" w:type="dxa"/>
            <w:tcBorders/>
            <w:shd w:fill="FFFFFF" w:val="clear"/>
            <w:vAlign w:val="bottom"/>
          </w:tcPr>
          <w:p>
            <w:pPr>
              <w:pStyle w:val="TableContents"/>
              <w:spacing w:before="0" w:after="283"/>
              <w:rPr>
                <w:sz w:val="4"/>
                <w:szCs w:val="4"/>
              </w:rPr>
            </w:pPr>
            <w:r>
              <w:rPr>
                <w:sz w:val="4"/>
                <w:szCs w:val="4"/>
              </w:rPr>
            </w:r>
          </w:p>
        </w:tc>
        <w:tc>
          <w:tcPr>
            <w:tcW w:w="856" w:type="dxa"/>
            <w:tcBorders/>
            <w:shd w:fill="FFFFFF" w:val="clear"/>
            <w:vAlign w:val="center"/>
          </w:tcPr>
          <w:p>
            <w:pPr>
              <w:pStyle w:val="TableContents"/>
              <w:spacing w:before="0" w:after="283"/>
              <w:rPr/>
            </w:pPr>
            <w:r>
              <w:rPr/>
              <w:t> </w:t>
            </w:r>
          </w:p>
        </w:tc>
        <w:tc>
          <w:tcPr>
            <w:tcW w:w="634" w:type="dxa"/>
            <w:tcBorders/>
            <w:shd w:fill="FFFFFF" w:val="clear"/>
            <w:vAlign w:val="center"/>
          </w:tcPr>
          <w:p>
            <w:pPr>
              <w:pStyle w:val="TableContents"/>
              <w:spacing w:before="0" w:after="283"/>
              <w:rPr/>
            </w:pPr>
            <w:r>
              <w:rPr/>
              <w:t> </w:t>
            </w:r>
          </w:p>
        </w:tc>
        <w:tc>
          <w:tcPr>
            <w:tcW w:w="1188"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We do not expect that these guarantees will have a material adverse effect on our consolidated results of operations, financial position or liquidity.</w:t>
      </w:r>
    </w:p>
    <w:p>
      <w:pPr>
        <w:pStyle w:val="TextBody"/>
        <w:jc w:val="left"/>
        <w:rPr/>
      </w:pPr>
      <w:r>
        <w:rPr/>
        <w:t>      </w:t>
      </w:r>
      <w:r>
        <w:rPr>
          <w:rFonts w:ascii="Arial" w:hAnsi="Arial"/>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pStyle w:val="TextBody"/>
        <w:jc w:val="left"/>
        <w:rPr/>
      </w:pPr>
      <w:r>
        <w:rPr/>
        <w:t>      </w:t>
      </w:r>
      <w:r>
        <w:rPr>
          <w:rFonts w:ascii="Arial" w:hAnsi="Arial"/>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 The following table summarizes information concerning our recorded obligations for product warranties and product performance guarantees:</w:t>
      </w:r>
    </w:p>
    <w:tbl>
      <w:tblPr>
        <w:tblW w:w="5000" w:type="pct"/>
        <w:jc w:val="left"/>
        <w:tblInd w:w="0" w:type="dxa"/>
        <w:tblCellMar>
          <w:top w:w="0" w:type="dxa"/>
          <w:left w:w="0" w:type="dxa"/>
          <w:bottom w:w="0" w:type="dxa"/>
          <w:right w:w="0" w:type="dxa"/>
        </w:tblCellMar>
      </w:tblPr>
      <w:tblGrid>
        <w:gridCol w:w="373"/>
        <w:gridCol w:w="6360"/>
        <w:gridCol w:w="249"/>
        <w:gridCol w:w="168"/>
        <w:gridCol w:w="543"/>
        <w:gridCol w:w="103"/>
        <w:gridCol w:w="390"/>
        <w:gridCol w:w="168"/>
        <w:gridCol w:w="543"/>
        <w:gridCol w:w="103"/>
        <w:gridCol w:w="391"/>
        <w:gridCol w:w="168"/>
        <w:gridCol w:w="543"/>
        <w:gridCol w:w="103"/>
      </w:tblGrid>
      <w:tr>
        <w:trPr/>
        <w:tc>
          <w:tcPr>
            <w:tcW w:w="373" w:type="dxa"/>
            <w:tcBorders/>
            <w:shd w:fill="FFFFFF" w:val="clear"/>
            <w:vAlign w:val="center"/>
          </w:tcPr>
          <w:p>
            <w:pPr>
              <w:pStyle w:val="TableContents"/>
              <w:spacing w:before="0" w:after="283"/>
              <w:rPr/>
            </w:pPr>
            <w:r>
              <w:rPr/>
              <w:t> </w:t>
            </w:r>
          </w:p>
        </w:tc>
        <w:tc>
          <w:tcPr>
            <w:tcW w:w="63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3223"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373" w:type="dxa"/>
            <w:tcBorders/>
            <w:shd w:fill="FFFFFF" w:val="clear"/>
            <w:vAlign w:val="center"/>
          </w:tcPr>
          <w:p>
            <w:pPr>
              <w:pStyle w:val="TableContents"/>
              <w:spacing w:before="0" w:after="283"/>
              <w:rPr/>
            </w:pPr>
            <w:r>
              <w:rPr/>
              <w:t> </w:t>
            </w:r>
          </w:p>
        </w:tc>
        <w:tc>
          <w:tcPr>
            <w:tcW w:w="63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81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90" w:type="dxa"/>
            <w:tcBorders/>
            <w:shd w:fill="FFFFFF" w:val="clear"/>
            <w:vAlign w:val="center"/>
          </w:tcPr>
          <w:p>
            <w:pPr>
              <w:pStyle w:val="TableContents"/>
              <w:spacing w:before="0" w:after="283"/>
              <w:rPr/>
            </w:pPr>
            <w:r>
              <w:rPr/>
              <w:t> </w:t>
            </w:r>
          </w:p>
        </w:tc>
        <w:tc>
          <w:tcPr>
            <w:tcW w:w="81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91" w:type="dxa"/>
            <w:tcBorders/>
            <w:shd w:fill="FFFFFF" w:val="clear"/>
            <w:vAlign w:val="center"/>
          </w:tcPr>
          <w:p>
            <w:pPr>
              <w:pStyle w:val="TableContents"/>
              <w:spacing w:before="0" w:after="283"/>
              <w:rPr/>
            </w:pPr>
            <w:r>
              <w:rPr/>
              <w:t> </w:t>
            </w:r>
          </w:p>
        </w:tc>
        <w:tc>
          <w:tcPr>
            <w:tcW w:w="814"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373" w:type="dxa"/>
            <w:tcBorders/>
            <w:shd w:fill="FFFFFF" w:val="clear"/>
            <w:vAlign w:val="bottom"/>
          </w:tcPr>
          <w:p>
            <w:pPr>
              <w:pStyle w:val="TableContents"/>
              <w:spacing w:before="0" w:after="283"/>
              <w:jc w:val="left"/>
              <w:rPr/>
            </w:pPr>
            <w:r>
              <w:rPr/>
              <w:t>      </w:t>
            </w:r>
          </w:p>
        </w:tc>
        <w:tc>
          <w:tcPr>
            <w:tcW w:w="6360" w:type="dxa"/>
            <w:tcBorders/>
            <w:shd w:fill="FFFFFF" w:val="clear"/>
            <w:vAlign w:val="bottom"/>
          </w:tcPr>
          <w:p>
            <w:pPr>
              <w:pStyle w:val="TableContents"/>
              <w:spacing w:before="0" w:after="283"/>
              <w:jc w:val="left"/>
              <w:rPr>
                <w:rFonts w:ascii="Arial" w:hAnsi="Arial"/>
              </w:rPr>
            </w:pPr>
            <w:r>
              <w:rPr>
                <w:rFonts w:ascii="Arial" w:hAnsi="Arial"/>
              </w:rPr>
              <w:t>Beginning of year</w:t>
            </w:r>
          </w:p>
        </w:tc>
        <w:tc>
          <w:tcPr>
            <w:tcW w:w="249"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right"/>
              <w:rPr>
                <w:rFonts w:ascii="Arial" w:hAnsi="Arial"/>
              </w:rPr>
            </w:pPr>
            <w:r>
              <w:rPr>
                <w:rFonts w:ascii="Arial" w:hAnsi="Arial"/>
              </w:rPr>
              <w:t>$</w:t>
            </w:r>
          </w:p>
        </w:tc>
        <w:tc>
          <w:tcPr>
            <w:tcW w:w="543" w:type="dxa"/>
            <w:tcBorders/>
            <w:shd w:fill="FFFFFF" w:val="clear"/>
            <w:vAlign w:val="bottom"/>
          </w:tcPr>
          <w:p>
            <w:pPr>
              <w:pStyle w:val="TableContents"/>
              <w:spacing w:before="0" w:after="283"/>
              <w:jc w:val="right"/>
              <w:rPr>
                <w:rFonts w:ascii="Arial" w:hAnsi="Arial"/>
              </w:rPr>
            </w:pPr>
            <w:r>
              <w:rPr>
                <w:rFonts w:ascii="Arial" w:hAnsi="Arial"/>
              </w:rPr>
              <w:t>347</w:t>
            </w:r>
          </w:p>
        </w:tc>
        <w:tc>
          <w:tcPr>
            <w:tcW w:w="103" w:type="dxa"/>
            <w:tcBorders/>
            <w:shd w:fill="FFFFFF" w:val="clear"/>
            <w:vAlign w:val="center"/>
          </w:tcPr>
          <w:p>
            <w:pPr>
              <w:pStyle w:val="TableContents"/>
              <w:spacing w:before="0" w:after="283"/>
              <w:rPr/>
            </w:pPr>
            <w:r>
              <w:rPr/>
              <w:t> </w:t>
            </w:r>
          </w:p>
        </w:tc>
        <w:tc>
          <w:tcPr>
            <w:tcW w:w="390"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right"/>
              <w:rPr>
                <w:rFonts w:ascii="Arial" w:hAnsi="Arial"/>
              </w:rPr>
            </w:pPr>
            <w:r>
              <w:rPr>
                <w:rFonts w:ascii="Arial" w:hAnsi="Arial"/>
              </w:rPr>
              <w:t>$</w:t>
            </w:r>
          </w:p>
        </w:tc>
        <w:tc>
          <w:tcPr>
            <w:tcW w:w="543" w:type="dxa"/>
            <w:tcBorders/>
            <w:shd w:fill="FFFFFF" w:val="clear"/>
            <w:vAlign w:val="bottom"/>
          </w:tcPr>
          <w:p>
            <w:pPr>
              <w:pStyle w:val="TableContents"/>
              <w:spacing w:before="0" w:after="283"/>
              <w:jc w:val="right"/>
              <w:rPr>
                <w:rFonts w:ascii="Arial" w:hAnsi="Arial"/>
              </w:rPr>
            </w:pPr>
            <w:r>
              <w:rPr>
                <w:rFonts w:ascii="Arial" w:hAnsi="Arial"/>
              </w:rPr>
              <w:t>299</w:t>
            </w:r>
          </w:p>
        </w:tc>
        <w:tc>
          <w:tcPr>
            <w:tcW w:w="103" w:type="dxa"/>
            <w:tcBorders/>
            <w:shd w:fill="FFFFFF" w:val="clear"/>
            <w:vAlign w:val="center"/>
          </w:tcPr>
          <w:p>
            <w:pPr>
              <w:pStyle w:val="TableContents"/>
              <w:spacing w:before="0" w:after="283"/>
              <w:rPr/>
            </w:pPr>
            <w:r>
              <w:rPr/>
              <w:t> </w:t>
            </w:r>
          </w:p>
        </w:tc>
        <w:tc>
          <w:tcPr>
            <w:tcW w:w="391" w:type="dxa"/>
            <w:tcBorders/>
            <w:shd w:fill="FFFFFF" w:val="clear"/>
            <w:vAlign w:val="bottom"/>
          </w:tcPr>
          <w:p>
            <w:pPr>
              <w:pStyle w:val="TableContents"/>
              <w:spacing w:before="0" w:after="283"/>
              <w:jc w:val="right"/>
              <w:rPr/>
            </w:pPr>
            <w:r>
              <w:rPr/>
              <w:t>      </w:t>
            </w:r>
          </w:p>
        </w:tc>
        <w:tc>
          <w:tcPr>
            <w:tcW w:w="168" w:type="dxa"/>
            <w:tcBorders/>
            <w:shd w:fill="FFFFFF" w:val="clear"/>
            <w:vAlign w:val="bottom"/>
          </w:tcPr>
          <w:p>
            <w:pPr>
              <w:pStyle w:val="TableContents"/>
              <w:spacing w:before="0" w:after="283"/>
              <w:jc w:val="right"/>
              <w:rPr>
                <w:rFonts w:ascii="Arial" w:hAnsi="Arial"/>
              </w:rPr>
            </w:pPr>
            <w:r>
              <w:rPr>
                <w:rFonts w:ascii="Arial" w:hAnsi="Arial"/>
              </w:rPr>
              <w:t>$</w:t>
            </w:r>
          </w:p>
        </w:tc>
        <w:tc>
          <w:tcPr>
            <w:tcW w:w="543" w:type="dxa"/>
            <w:tcBorders/>
            <w:shd w:fill="FFFFFF" w:val="clear"/>
            <w:vAlign w:val="bottom"/>
          </w:tcPr>
          <w:p>
            <w:pPr>
              <w:pStyle w:val="TableContents"/>
              <w:spacing w:before="0" w:after="283"/>
              <w:jc w:val="right"/>
              <w:rPr>
                <w:rFonts w:ascii="Arial" w:hAnsi="Arial"/>
              </w:rPr>
            </w:pPr>
            <w:r>
              <w:rPr>
                <w:rFonts w:ascii="Arial" w:hAnsi="Arial"/>
              </w:rPr>
              <w:t>275</w:t>
            </w:r>
          </w:p>
        </w:tc>
        <w:tc>
          <w:tcPr>
            <w:tcW w:w="103" w:type="dxa"/>
            <w:tcBorders/>
            <w:shd w:fill="FFFFFF" w:val="clear"/>
            <w:vAlign w:val="center"/>
          </w:tcPr>
          <w:p>
            <w:pPr>
              <w:pStyle w:val="TableContents"/>
              <w:spacing w:before="0" w:after="283"/>
              <w:rPr/>
            </w:pPr>
            <w:r>
              <w:rPr/>
              <w:t> </w:t>
            </w:r>
          </w:p>
        </w:tc>
      </w:tr>
      <w:tr>
        <w:trPr/>
        <w:tc>
          <w:tcPr>
            <w:tcW w:w="373" w:type="dxa"/>
            <w:tcBorders/>
            <w:shd w:fill="E5FFFF" w:val="clear"/>
            <w:vAlign w:val="bottom"/>
          </w:tcPr>
          <w:p>
            <w:pPr>
              <w:pStyle w:val="TableContents"/>
              <w:spacing w:before="0" w:after="283"/>
              <w:jc w:val="left"/>
              <w:rPr/>
            </w:pPr>
            <w:r>
              <w:rPr/>
              <w:t>      </w:t>
            </w:r>
          </w:p>
        </w:tc>
        <w:tc>
          <w:tcPr>
            <w:tcW w:w="6360" w:type="dxa"/>
            <w:tcBorders/>
            <w:shd w:fill="E5FFFF" w:val="clear"/>
            <w:vAlign w:val="bottom"/>
          </w:tcPr>
          <w:p>
            <w:pPr>
              <w:pStyle w:val="TableContents"/>
              <w:spacing w:before="0" w:after="283"/>
              <w:jc w:val="left"/>
              <w:rPr>
                <w:rFonts w:ascii="Arial" w:hAnsi="Arial"/>
              </w:rPr>
            </w:pPr>
            <w:r>
              <w:rPr>
                <w:rFonts w:ascii="Arial" w:hAnsi="Arial"/>
              </w:rPr>
              <w:t>Accruals for warranties/guarantees issued during the year</w:t>
            </w:r>
          </w:p>
        </w:tc>
        <w:tc>
          <w:tcPr>
            <w:tcW w:w="249" w:type="dxa"/>
            <w:tcBorders/>
            <w:shd w:fill="E5FFFF" w:val="clear"/>
            <w:vAlign w:val="bottom"/>
          </w:tcPr>
          <w:p>
            <w:pPr>
              <w:pStyle w:val="TableContents"/>
              <w:spacing w:before="0" w:after="283"/>
              <w:jc w:val="right"/>
              <w:rPr/>
            </w:pPr>
            <w:r>
              <w:rPr/>
              <w:t>    </w:t>
            </w:r>
          </w:p>
        </w:tc>
        <w:tc>
          <w:tcPr>
            <w:tcW w:w="168" w:type="dxa"/>
            <w:tcBorders/>
            <w:shd w:fill="E5FFFF" w:val="clear"/>
            <w:vAlign w:val="center"/>
          </w:tcPr>
          <w:p>
            <w:pPr>
              <w:pStyle w:val="TableContents"/>
              <w:spacing w:before="0" w:after="283"/>
              <w:rPr/>
            </w:pPr>
            <w:r>
              <w:rPr/>
              <w:t> </w:t>
            </w:r>
          </w:p>
        </w:tc>
        <w:tc>
          <w:tcPr>
            <w:tcW w:w="543" w:type="dxa"/>
            <w:tcBorders/>
            <w:shd w:fill="E5FFFF" w:val="clear"/>
            <w:vAlign w:val="bottom"/>
          </w:tcPr>
          <w:p>
            <w:pPr>
              <w:pStyle w:val="TableContents"/>
              <w:spacing w:before="0" w:after="283"/>
              <w:jc w:val="right"/>
              <w:rPr>
                <w:rFonts w:ascii="Arial" w:hAnsi="Arial"/>
              </w:rPr>
            </w:pPr>
            <w:r>
              <w:rPr>
                <w:rFonts w:ascii="Arial" w:hAnsi="Arial"/>
              </w:rPr>
              <w:t>268</w:t>
            </w:r>
          </w:p>
        </w:tc>
        <w:tc>
          <w:tcPr>
            <w:tcW w:w="103" w:type="dxa"/>
            <w:tcBorders/>
            <w:shd w:fill="E5FFFF" w:val="clear"/>
            <w:vAlign w:val="center"/>
          </w:tcPr>
          <w:p>
            <w:pPr>
              <w:pStyle w:val="TableContents"/>
              <w:spacing w:before="0" w:after="283"/>
              <w:rPr/>
            </w:pPr>
            <w:r>
              <w:rPr/>
              <w:t> </w:t>
            </w:r>
          </w:p>
        </w:tc>
        <w:tc>
          <w:tcPr>
            <w:tcW w:w="390" w:type="dxa"/>
            <w:tcBorders/>
            <w:shd w:fill="E5FFFF" w:val="clear"/>
            <w:vAlign w:val="bottom"/>
          </w:tcPr>
          <w:p>
            <w:pPr>
              <w:pStyle w:val="TableContents"/>
              <w:spacing w:before="0" w:after="283"/>
              <w:jc w:val="right"/>
              <w:rPr/>
            </w:pPr>
            <w:r>
              <w:rPr/>
              <w:t>      </w:t>
            </w:r>
          </w:p>
        </w:tc>
        <w:tc>
          <w:tcPr>
            <w:tcW w:w="168" w:type="dxa"/>
            <w:tcBorders/>
            <w:shd w:fill="E5FFFF" w:val="clear"/>
            <w:vAlign w:val="center"/>
          </w:tcPr>
          <w:p>
            <w:pPr>
              <w:pStyle w:val="TableContents"/>
              <w:spacing w:before="0" w:after="283"/>
              <w:rPr/>
            </w:pPr>
            <w:r>
              <w:rPr/>
              <w:t> </w:t>
            </w:r>
          </w:p>
        </w:tc>
        <w:tc>
          <w:tcPr>
            <w:tcW w:w="543" w:type="dxa"/>
            <w:tcBorders/>
            <w:shd w:fill="E5FFFF" w:val="clear"/>
            <w:vAlign w:val="bottom"/>
          </w:tcPr>
          <w:p>
            <w:pPr>
              <w:pStyle w:val="TableContents"/>
              <w:spacing w:before="0" w:after="283"/>
              <w:jc w:val="right"/>
              <w:rPr>
                <w:rFonts w:ascii="Arial" w:hAnsi="Arial"/>
              </w:rPr>
            </w:pPr>
            <w:r>
              <w:rPr>
                <w:rFonts w:ascii="Arial" w:hAnsi="Arial"/>
              </w:rPr>
              <w:t>203</w:t>
            </w:r>
          </w:p>
        </w:tc>
        <w:tc>
          <w:tcPr>
            <w:tcW w:w="103" w:type="dxa"/>
            <w:tcBorders/>
            <w:shd w:fill="E5FFFF" w:val="clear"/>
            <w:vAlign w:val="center"/>
          </w:tcPr>
          <w:p>
            <w:pPr>
              <w:pStyle w:val="TableContents"/>
              <w:spacing w:before="0" w:after="283"/>
              <w:rPr/>
            </w:pPr>
            <w:r>
              <w:rPr/>
              <w:t> </w:t>
            </w:r>
          </w:p>
        </w:tc>
        <w:tc>
          <w:tcPr>
            <w:tcW w:w="391" w:type="dxa"/>
            <w:tcBorders/>
            <w:shd w:fill="E5FFFF" w:val="clear"/>
            <w:vAlign w:val="bottom"/>
          </w:tcPr>
          <w:p>
            <w:pPr>
              <w:pStyle w:val="TableContents"/>
              <w:spacing w:before="0" w:after="283"/>
              <w:jc w:val="right"/>
              <w:rPr/>
            </w:pPr>
            <w:r>
              <w:rPr/>
              <w:t>      </w:t>
            </w:r>
          </w:p>
        </w:tc>
        <w:tc>
          <w:tcPr>
            <w:tcW w:w="168" w:type="dxa"/>
            <w:tcBorders/>
            <w:shd w:fill="E5FFFF" w:val="clear"/>
            <w:vAlign w:val="center"/>
          </w:tcPr>
          <w:p>
            <w:pPr>
              <w:pStyle w:val="TableContents"/>
              <w:spacing w:before="0" w:after="283"/>
              <w:rPr/>
            </w:pPr>
            <w:r>
              <w:rPr/>
              <w:t> </w:t>
            </w:r>
          </w:p>
        </w:tc>
        <w:tc>
          <w:tcPr>
            <w:tcW w:w="543" w:type="dxa"/>
            <w:tcBorders/>
            <w:shd w:fill="E5FFFF" w:val="clear"/>
            <w:vAlign w:val="bottom"/>
          </w:tcPr>
          <w:p>
            <w:pPr>
              <w:pStyle w:val="TableContents"/>
              <w:spacing w:before="0" w:after="283"/>
              <w:jc w:val="right"/>
              <w:rPr>
                <w:rFonts w:ascii="Arial" w:hAnsi="Arial"/>
              </w:rPr>
            </w:pPr>
            <w:r>
              <w:rPr>
                <w:rFonts w:ascii="Arial" w:hAnsi="Arial"/>
              </w:rPr>
              <w:t>236</w:t>
            </w:r>
          </w:p>
        </w:tc>
        <w:tc>
          <w:tcPr>
            <w:tcW w:w="103" w:type="dxa"/>
            <w:tcBorders/>
            <w:shd w:fill="E5FFFF" w:val="clear"/>
            <w:vAlign w:val="center"/>
          </w:tcPr>
          <w:p>
            <w:pPr>
              <w:pStyle w:val="TableContents"/>
              <w:spacing w:before="0" w:after="283"/>
              <w:rPr/>
            </w:pPr>
            <w:r>
              <w:rPr/>
              <w:t> </w:t>
            </w:r>
          </w:p>
        </w:tc>
      </w:tr>
      <w:tr>
        <w:trPr/>
        <w:tc>
          <w:tcPr>
            <w:tcW w:w="373" w:type="dxa"/>
            <w:tcBorders/>
            <w:shd w:fill="FFFFFF" w:val="clear"/>
            <w:vAlign w:val="bottom"/>
          </w:tcPr>
          <w:p>
            <w:pPr>
              <w:pStyle w:val="TableContents"/>
              <w:spacing w:before="0" w:after="283"/>
              <w:jc w:val="left"/>
              <w:rPr/>
            </w:pPr>
            <w:r>
              <w:rPr/>
              <w:t>      </w:t>
            </w:r>
          </w:p>
        </w:tc>
        <w:tc>
          <w:tcPr>
            <w:tcW w:w="6360" w:type="dxa"/>
            <w:tcBorders/>
            <w:shd w:fill="FFFFFF" w:val="clear"/>
            <w:vAlign w:val="bottom"/>
          </w:tcPr>
          <w:p>
            <w:pPr>
              <w:pStyle w:val="TableContents"/>
              <w:spacing w:before="0" w:after="283"/>
              <w:jc w:val="left"/>
              <w:rPr>
                <w:rFonts w:ascii="Arial" w:hAnsi="Arial"/>
              </w:rPr>
            </w:pPr>
            <w:r>
              <w:rPr>
                <w:rFonts w:ascii="Arial" w:hAnsi="Arial"/>
              </w:rPr>
              <w:t>Adjustment of pre-existing warranties/guarantees</w:t>
            </w:r>
          </w:p>
        </w:tc>
        <w:tc>
          <w:tcPr>
            <w:tcW w:w="249"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TableContents"/>
              <w:spacing w:before="0" w:after="283"/>
              <w:jc w:val="right"/>
              <w:rPr>
                <w:rFonts w:ascii="Arial" w:hAnsi="Arial"/>
              </w:rPr>
            </w:pPr>
            <w:r>
              <w:rPr>
                <w:rFonts w:ascii="Arial" w:hAnsi="Arial"/>
              </w:rPr>
              <w:t>(22</w:t>
            </w:r>
          </w:p>
        </w:tc>
        <w:tc>
          <w:tcPr>
            <w:tcW w:w="103" w:type="dxa"/>
            <w:tcBorders/>
            <w:shd w:fill="FFFFFF" w:val="clear"/>
            <w:vAlign w:val="bottom"/>
          </w:tcPr>
          <w:p>
            <w:pPr>
              <w:pStyle w:val="TableContents"/>
              <w:spacing w:before="0" w:after="283"/>
              <w:jc w:val="left"/>
              <w:rPr>
                <w:rFonts w:ascii="Arial" w:hAnsi="Arial"/>
              </w:rPr>
            </w:pPr>
            <w:r>
              <w:rPr>
                <w:rFonts w:ascii="Arial" w:hAnsi="Arial"/>
              </w:rPr>
              <w:t>)</w:t>
            </w:r>
          </w:p>
        </w:tc>
        <w:tc>
          <w:tcPr>
            <w:tcW w:w="390"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TableContents"/>
              <w:spacing w:before="0" w:after="283"/>
              <w:jc w:val="right"/>
              <w:rPr>
                <w:rFonts w:ascii="Arial" w:hAnsi="Arial"/>
              </w:rPr>
            </w:pPr>
            <w:r>
              <w:rPr>
                <w:rFonts w:ascii="Arial" w:hAnsi="Arial"/>
              </w:rPr>
              <w:t>17</w:t>
            </w:r>
          </w:p>
        </w:tc>
        <w:tc>
          <w:tcPr>
            <w:tcW w:w="103" w:type="dxa"/>
            <w:tcBorders/>
            <w:shd w:fill="FFFFFF" w:val="clear"/>
            <w:vAlign w:val="center"/>
          </w:tcPr>
          <w:p>
            <w:pPr>
              <w:pStyle w:val="TableContents"/>
              <w:spacing w:before="0" w:after="283"/>
              <w:rPr/>
            </w:pPr>
            <w:r>
              <w:rPr/>
              <w:t> </w:t>
            </w:r>
          </w:p>
        </w:tc>
        <w:tc>
          <w:tcPr>
            <w:tcW w:w="391"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TableContents"/>
              <w:spacing w:before="0" w:after="283"/>
              <w:jc w:val="right"/>
              <w:rPr>
                <w:rFonts w:ascii="Arial" w:hAnsi="Arial"/>
              </w:rPr>
            </w:pPr>
            <w:r>
              <w:rPr>
                <w:rFonts w:ascii="Arial" w:hAnsi="Arial"/>
              </w:rPr>
              <w:t>1</w:t>
            </w:r>
          </w:p>
        </w:tc>
        <w:tc>
          <w:tcPr>
            <w:tcW w:w="103" w:type="dxa"/>
            <w:tcBorders/>
            <w:shd w:fill="FFFFFF" w:val="clear"/>
            <w:vAlign w:val="center"/>
          </w:tcPr>
          <w:p>
            <w:pPr>
              <w:pStyle w:val="TableContents"/>
              <w:spacing w:before="0" w:after="283"/>
              <w:rPr/>
            </w:pPr>
            <w:r>
              <w:rPr/>
              <w:t> </w:t>
            </w:r>
          </w:p>
        </w:tc>
      </w:tr>
      <w:tr>
        <w:trPr/>
        <w:tc>
          <w:tcPr>
            <w:tcW w:w="373" w:type="dxa"/>
            <w:tcBorders/>
            <w:shd w:fill="E5FFFF" w:val="clear"/>
            <w:vAlign w:val="bottom"/>
          </w:tcPr>
          <w:p>
            <w:pPr>
              <w:pStyle w:val="TableContents"/>
              <w:spacing w:before="0" w:after="283"/>
              <w:jc w:val="left"/>
              <w:rPr/>
            </w:pPr>
            <w:r>
              <w:rPr/>
              <w:t>      </w:t>
            </w:r>
          </w:p>
        </w:tc>
        <w:tc>
          <w:tcPr>
            <w:tcW w:w="6360" w:type="dxa"/>
            <w:tcBorders/>
            <w:shd w:fill="E5FFFF" w:val="clear"/>
            <w:vAlign w:val="bottom"/>
          </w:tcPr>
          <w:p>
            <w:pPr>
              <w:pStyle w:val="TableContents"/>
              <w:spacing w:before="0" w:after="283"/>
              <w:jc w:val="left"/>
              <w:rPr>
                <w:rFonts w:ascii="Arial" w:hAnsi="Arial"/>
              </w:rPr>
            </w:pPr>
            <w:r>
              <w:rPr>
                <w:rFonts w:ascii="Arial" w:hAnsi="Arial"/>
              </w:rPr>
              <w:t>Settlement of warranty/guarantee claims</w:t>
            </w:r>
          </w:p>
        </w:tc>
        <w:tc>
          <w:tcPr>
            <w:tcW w:w="249" w:type="dxa"/>
            <w:tcBorders/>
            <w:shd w:fill="E5FFFF" w:val="clear"/>
            <w:vAlign w:val="bottom"/>
          </w:tcPr>
          <w:p>
            <w:pPr>
              <w:pStyle w:val="TableContents"/>
              <w:spacing w:before="0" w:after="283"/>
              <w:jc w:val="right"/>
              <w:rPr/>
            </w:pPr>
            <w:r>
              <w:rPr/>
              <w:t>    </w:t>
            </w:r>
          </w:p>
        </w:tc>
        <w:tc>
          <w:tcPr>
            <w:tcW w:w="168" w:type="dxa"/>
            <w:tcBorders/>
            <w:shd w:fill="E5FFFF" w:val="clear"/>
            <w:vAlign w:val="center"/>
          </w:tcPr>
          <w:p>
            <w:pPr>
              <w:pStyle w:val="TableContents"/>
              <w:spacing w:before="0" w:after="283"/>
              <w:rPr/>
            </w:pPr>
            <w:r>
              <w:rPr/>
              <w:t> </w:t>
            </w:r>
          </w:p>
        </w:tc>
        <w:tc>
          <w:tcPr>
            <w:tcW w:w="543" w:type="dxa"/>
            <w:tcBorders/>
            <w:shd w:fill="E5FFFF" w:val="clear"/>
            <w:vAlign w:val="bottom"/>
          </w:tcPr>
          <w:p>
            <w:pPr>
              <w:pStyle w:val="TableContents"/>
              <w:spacing w:before="0" w:after="283"/>
              <w:jc w:val="right"/>
              <w:rPr>
                <w:rFonts w:ascii="Arial" w:hAnsi="Arial"/>
              </w:rPr>
            </w:pPr>
            <w:r>
              <w:rPr>
                <w:rFonts w:ascii="Arial" w:hAnsi="Arial"/>
              </w:rPr>
              <w:t>(230</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390" w:type="dxa"/>
            <w:tcBorders/>
            <w:shd w:fill="E5FFFF" w:val="clear"/>
            <w:vAlign w:val="bottom"/>
          </w:tcPr>
          <w:p>
            <w:pPr>
              <w:pStyle w:val="TableContents"/>
              <w:spacing w:before="0" w:after="283"/>
              <w:jc w:val="right"/>
              <w:rPr/>
            </w:pPr>
            <w:r>
              <w:rPr/>
              <w:t>      </w:t>
            </w:r>
          </w:p>
        </w:tc>
        <w:tc>
          <w:tcPr>
            <w:tcW w:w="168" w:type="dxa"/>
            <w:tcBorders/>
            <w:shd w:fill="E5FFFF" w:val="clear"/>
            <w:vAlign w:val="center"/>
          </w:tcPr>
          <w:p>
            <w:pPr>
              <w:pStyle w:val="TableContents"/>
              <w:spacing w:before="0" w:after="283"/>
              <w:rPr/>
            </w:pPr>
            <w:r>
              <w:rPr/>
              <w:t> </w:t>
            </w:r>
          </w:p>
        </w:tc>
        <w:tc>
          <w:tcPr>
            <w:tcW w:w="543" w:type="dxa"/>
            <w:tcBorders/>
            <w:shd w:fill="E5FFFF" w:val="clear"/>
            <w:vAlign w:val="bottom"/>
          </w:tcPr>
          <w:p>
            <w:pPr>
              <w:pStyle w:val="TableContents"/>
              <w:spacing w:before="0" w:after="283"/>
              <w:jc w:val="right"/>
              <w:rPr>
                <w:rFonts w:ascii="Arial" w:hAnsi="Arial"/>
              </w:rPr>
            </w:pPr>
            <w:r>
              <w:rPr>
                <w:rFonts w:ascii="Arial" w:hAnsi="Arial"/>
              </w:rPr>
              <w:t>(172</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c>
          <w:tcPr>
            <w:tcW w:w="391" w:type="dxa"/>
            <w:tcBorders/>
            <w:shd w:fill="E5FFFF" w:val="clear"/>
            <w:vAlign w:val="bottom"/>
          </w:tcPr>
          <w:p>
            <w:pPr>
              <w:pStyle w:val="TableContents"/>
              <w:spacing w:before="0" w:after="283"/>
              <w:jc w:val="right"/>
              <w:rPr/>
            </w:pPr>
            <w:r>
              <w:rPr/>
              <w:t>      </w:t>
            </w:r>
          </w:p>
        </w:tc>
        <w:tc>
          <w:tcPr>
            <w:tcW w:w="168" w:type="dxa"/>
            <w:tcBorders/>
            <w:shd w:fill="E5FFFF" w:val="clear"/>
            <w:vAlign w:val="center"/>
          </w:tcPr>
          <w:p>
            <w:pPr>
              <w:pStyle w:val="TableContents"/>
              <w:spacing w:before="0" w:after="283"/>
              <w:rPr/>
            </w:pPr>
            <w:r>
              <w:rPr/>
              <w:t> </w:t>
            </w:r>
          </w:p>
        </w:tc>
        <w:tc>
          <w:tcPr>
            <w:tcW w:w="543" w:type="dxa"/>
            <w:tcBorders/>
            <w:shd w:fill="E5FFFF" w:val="clear"/>
            <w:vAlign w:val="bottom"/>
          </w:tcPr>
          <w:p>
            <w:pPr>
              <w:pStyle w:val="TableContents"/>
              <w:spacing w:before="0" w:after="283"/>
              <w:jc w:val="right"/>
              <w:rPr>
                <w:rFonts w:ascii="Arial" w:hAnsi="Arial"/>
              </w:rPr>
            </w:pPr>
            <w:r>
              <w:rPr>
                <w:rFonts w:ascii="Arial" w:hAnsi="Arial"/>
              </w:rPr>
              <w:t>(213</w:t>
            </w:r>
          </w:p>
        </w:tc>
        <w:tc>
          <w:tcPr>
            <w:tcW w:w="103"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73" w:type="dxa"/>
            <w:tcBorders/>
            <w:shd w:fill="FFFFFF" w:val="clear"/>
            <w:vAlign w:val="center"/>
          </w:tcPr>
          <w:p>
            <w:pPr>
              <w:pStyle w:val="TableContents"/>
              <w:spacing w:before="0" w:after="283"/>
              <w:rPr/>
            </w:pPr>
            <w:r>
              <w:rPr/>
              <w:t> </w:t>
            </w:r>
          </w:p>
        </w:tc>
        <w:tc>
          <w:tcPr>
            <w:tcW w:w="6360" w:type="dxa"/>
            <w:tcBorders/>
            <w:shd w:fill="FFFFFF" w:val="clear"/>
            <w:vAlign w:val="center"/>
          </w:tcPr>
          <w:p>
            <w:pPr>
              <w:pStyle w:val="TableContents"/>
              <w:spacing w:before="0" w:after="283"/>
              <w:rPr/>
            </w:pPr>
            <w:r>
              <w:rPr/>
              <w:t> </w:t>
            </w:r>
          </w:p>
        </w:tc>
        <w:tc>
          <w:tcPr>
            <w:tcW w:w="249"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HorizontalLine"/>
              <w:pBdr>
                <w:bottom w:val="single" w:sz="6" w:space="0" w:color="000000"/>
              </w:pBdr>
              <w:spacing w:before="0" w:after="283"/>
              <w:rPr/>
            </w:pPr>
            <w:r>
              <w:rPr/>
            </w:r>
          </w:p>
        </w:tc>
        <w:tc>
          <w:tcPr>
            <w:tcW w:w="103" w:type="dxa"/>
            <w:tcBorders/>
            <w:shd w:fill="FFFFFF" w:val="clear"/>
            <w:vAlign w:val="center"/>
          </w:tcPr>
          <w:p>
            <w:pPr>
              <w:pStyle w:val="TableContents"/>
              <w:spacing w:before="0" w:after="283"/>
              <w:rPr/>
            </w:pPr>
            <w:r>
              <w:rPr/>
              <w:t> </w:t>
            </w:r>
          </w:p>
        </w:tc>
        <w:tc>
          <w:tcPr>
            <w:tcW w:w="390"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HorizontalLine"/>
              <w:pBdr>
                <w:bottom w:val="single" w:sz="6" w:space="0" w:color="000000"/>
              </w:pBdr>
              <w:spacing w:before="0" w:after="283"/>
              <w:rPr/>
            </w:pPr>
            <w:r>
              <w:rPr/>
            </w:r>
          </w:p>
        </w:tc>
        <w:tc>
          <w:tcPr>
            <w:tcW w:w="103" w:type="dxa"/>
            <w:tcBorders/>
            <w:shd w:fill="FFFFFF" w:val="clear"/>
            <w:vAlign w:val="center"/>
          </w:tcPr>
          <w:p>
            <w:pPr>
              <w:pStyle w:val="TableContents"/>
              <w:spacing w:before="0" w:after="283"/>
              <w:rPr/>
            </w:pPr>
            <w:r>
              <w:rPr/>
              <w:t> </w:t>
            </w:r>
          </w:p>
        </w:tc>
        <w:tc>
          <w:tcPr>
            <w:tcW w:w="391"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HorizontalLine"/>
              <w:pBdr>
                <w:bottom w:val="single" w:sz="6" w:space="0" w:color="000000"/>
              </w:pBdr>
              <w:spacing w:before="0" w:after="283"/>
              <w:rPr/>
            </w:pPr>
            <w:r>
              <w:rPr/>
            </w:r>
          </w:p>
        </w:tc>
        <w:tc>
          <w:tcPr>
            <w:tcW w:w="103" w:type="dxa"/>
            <w:tcBorders/>
            <w:shd w:fill="FFFFFF" w:val="clear"/>
            <w:vAlign w:val="center"/>
          </w:tcPr>
          <w:p>
            <w:pPr>
              <w:pStyle w:val="TableContents"/>
              <w:spacing w:before="0" w:after="283"/>
              <w:rPr/>
            </w:pPr>
            <w:r>
              <w:rPr/>
              <w:t> </w:t>
            </w:r>
          </w:p>
        </w:tc>
      </w:tr>
      <w:tr>
        <w:trPr/>
        <w:tc>
          <w:tcPr>
            <w:tcW w:w="373" w:type="dxa"/>
            <w:tcBorders/>
            <w:shd w:fill="E5FFFF" w:val="clear"/>
            <w:vAlign w:val="bottom"/>
          </w:tcPr>
          <w:p>
            <w:pPr>
              <w:pStyle w:val="TableContents"/>
              <w:spacing w:before="0" w:after="283"/>
              <w:jc w:val="left"/>
              <w:rPr/>
            </w:pPr>
            <w:r>
              <w:rPr/>
              <w:t>      </w:t>
            </w:r>
          </w:p>
        </w:tc>
        <w:tc>
          <w:tcPr>
            <w:tcW w:w="6360" w:type="dxa"/>
            <w:tcBorders/>
            <w:shd w:fill="E5FFFF" w:val="clear"/>
            <w:vAlign w:val="bottom"/>
          </w:tcPr>
          <w:p>
            <w:pPr>
              <w:pStyle w:val="TableContents"/>
              <w:spacing w:before="0" w:after="283"/>
              <w:jc w:val="left"/>
              <w:rPr>
                <w:rFonts w:ascii="Arial" w:hAnsi="Arial"/>
              </w:rPr>
            </w:pPr>
            <w:r>
              <w:rPr>
                <w:rFonts w:ascii="Arial" w:hAnsi="Arial"/>
              </w:rPr>
              <w:t>End of year</w:t>
            </w:r>
          </w:p>
        </w:tc>
        <w:tc>
          <w:tcPr>
            <w:tcW w:w="249" w:type="dxa"/>
            <w:tcBorders/>
            <w:shd w:fill="E5FFFF" w:val="clear"/>
            <w:vAlign w:val="bottom"/>
          </w:tcPr>
          <w:p>
            <w:pPr>
              <w:pStyle w:val="TableContents"/>
              <w:spacing w:before="0" w:after="283"/>
              <w:jc w:val="right"/>
              <w:rPr/>
            </w:pPr>
            <w:r>
              <w:rPr/>
              <w:t>    </w:t>
            </w:r>
          </w:p>
        </w:tc>
        <w:tc>
          <w:tcPr>
            <w:tcW w:w="168" w:type="dxa"/>
            <w:tcBorders/>
            <w:shd w:fill="E5FFFF" w:val="clear"/>
            <w:vAlign w:val="bottom"/>
          </w:tcPr>
          <w:p>
            <w:pPr>
              <w:pStyle w:val="TableContents"/>
              <w:spacing w:before="0" w:after="283"/>
              <w:jc w:val="right"/>
              <w:rPr>
                <w:rFonts w:ascii="Arial" w:hAnsi="Arial"/>
              </w:rPr>
            </w:pPr>
            <w:r>
              <w:rPr>
                <w:rFonts w:ascii="Arial" w:hAnsi="Arial"/>
              </w:rPr>
              <w:t>$</w:t>
            </w:r>
          </w:p>
        </w:tc>
        <w:tc>
          <w:tcPr>
            <w:tcW w:w="543" w:type="dxa"/>
            <w:tcBorders/>
            <w:shd w:fill="E5FFFF" w:val="clear"/>
            <w:vAlign w:val="bottom"/>
          </w:tcPr>
          <w:p>
            <w:pPr>
              <w:pStyle w:val="TableContents"/>
              <w:spacing w:before="0" w:after="283"/>
              <w:jc w:val="right"/>
              <w:rPr>
                <w:rFonts w:ascii="Arial" w:hAnsi="Arial"/>
              </w:rPr>
            </w:pPr>
            <w:r>
              <w:rPr>
                <w:rFonts w:ascii="Arial" w:hAnsi="Arial"/>
              </w:rPr>
              <w:t>363</w:t>
            </w:r>
          </w:p>
        </w:tc>
        <w:tc>
          <w:tcPr>
            <w:tcW w:w="103" w:type="dxa"/>
            <w:tcBorders/>
            <w:shd w:fill="E5FFFF" w:val="clear"/>
            <w:vAlign w:val="center"/>
          </w:tcPr>
          <w:p>
            <w:pPr>
              <w:pStyle w:val="TableContents"/>
              <w:spacing w:before="0" w:after="283"/>
              <w:rPr/>
            </w:pPr>
            <w:r>
              <w:rPr/>
              <w:t> </w:t>
            </w:r>
          </w:p>
        </w:tc>
        <w:tc>
          <w:tcPr>
            <w:tcW w:w="390" w:type="dxa"/>
            <w:tcBorders/>
            <w:shd w:fill="E5FFFF" w:val="clear"/>
            <w:vAlign w:val="bottom"/>
          </w:tcPr>
          <w:p>
            <w:pPr>
              <w:pStyle w:val="TableContents"/>
              <w:spacing w:before="0" w:after="283"/>
              <w:jc w:val="right"/>
              <w:rPr/>
            </w:pPr>
            <w:r>
              <w:rPr/>
              <w:t>      </w:t>
            </w:r>
          </w:p>
        </w:tc>
        <w:tc>
          <w:tcPr>
            <w:tcW w:w="168" w:type="dxa"/>
            <w:tcBorders/>
            <w:shd w:fill="E5FFFF" w:val="clear"/>
            <w:vAlign w:val="bottom"/>
          </w:tcPr>
          <w:p>
            <w:pPr>
              <w:pStyle w:val="TableContents"/>
              <w:spacing w:before="0" w:after="283"/>
              <w:jc w:val="right"/>
              <w:rPr>
                <w:rFonts w:ascii="Arial" w:hAnsi="Arial"/>
              </w:rPr>
            </w:pPr>
            <w:r>
              <w:rPr>
                <w:rFonts w:ascii="Arial" w:hAnsi="Arial"/>
              </w:rPr>
              <w:t>$</w:t>
            </w:r>
          </w:p>
        </w:tc>
        <w:tc>
          <w:tcPr>
            <w:tcW w:w="543" w:type="dxa"/>
            <w:tcBorders/>
            <w:shd w:fill="E5FFFF" w:val="clear"/>
            <w:vAlign w:val="bottom"/>
          </w:tcPr>
          <w:p>
            <w:pPr>
              <w:pStyle w:val="TableContents"/>
              <w:spacing w:before="0" w:after="283"/>
              <w:jc w:val="right"/>
              <w:rPr>
                <w:rFonts w:ascii="Arial" w:hAnsi="Arial"/>
              </w:rPr>
            </w:pPr>
            <w:r>
              <w:rPr>
                <w:rFonts w:ascii="Arial" w:hAnsi="Arial"/>
              </w:rPr>
              <w:t>347</w:t>
            </w:r>
          </w:p>
        </w:tc>
        <w:tc>
          <w:tcPr>
            <w:tcW w:w="103" w:type="dxa"/>
            <w:tcBorders/>
            <w:shd w:fill="E5FFFF" w:val="clear"/>
            <w:vAlign w:val="center"/>
          </w:tcPr>
          <w:p>
            <w:pPr>
              <w:pStyle w:val="TableContents"/>
              <w:spacing w:before="0" w:after="283"/>
              <w:rPr/>
            </w:pPr>
            <w:r>
              <w:rPr/>
              <w:t> </w:t>
            </w:r>
          </w:p>
        </w:tc>
        <w:tc>
          <w:tcPr>
            <w:tcW w:w="391" w:type="dxa"/>
            <w:tcBorders/>
            <w:shd w:fill="E5FFFF" w:val="clear"/>
            <w:vAlign w:val="bottom"/>
          </w:tcPr>
          <w:p>
            <w:pPr>
              <w:pStyle w:val="TableContents"/>
              <w:spacing w:before="0" w:after="283"/>
              <w:jc w:val="right"/>
              <w:rPr/>
            </w:pPr>
            <w:r>
              <w:rPr/>
              <w:t>      </w:t>
            </w:r>
          </w:p>
        </w:tc>
        <w:tc>
          <w:tcPr>
            <w:tcW w:w="168" w:type="dxa"/>
            <w:tcBorders/>
            <w:shd w:fill="E5FFFF" w:val="clear"/>
            <w:vAlign w:val="bottom"/>
          </w:tcPr>
          <w:p>
            <w:pPr>
              <w:pStyle w:val="TableContents"/>
              <w:spacing w:before="0" w:after="283"/>
              <w:jc w:val="right"/>
              <w:rPr>
                <w:rFonts w:ascii="Arial" w:hAnsi="Arial"/>
              </w:rPr>
            </w:pPr>
            <w:r>
              <w:rPr>
                <w:rFonts w:ascii="Arial" w:hAnsi="Arial"/>
              </w:rPr>
              <w:t>$</w:t>
            </w:r>
          </w:p>
        </w:tc>
        <w:tc>
          <w:tcPr>
            <w:tcW w:w="543" w:type="dxa"/>
            <w:tcBorders/>
            <w:shd w:fill="E5FFFF" w:val="clear"/>
            <w:vAlign w:val="bottom"/>
          </w:tcPr>
          <w:p>
            <w:pPr>
              <w:pStyle w:val="TableContents"/>
              <w:spacing w:before="0" w:after="283"/>
              <w:jc w:val="right"/>
              <w:rPr>
                <w:rFonts w:ascii="Arial" w:hAnsi="Arial"/>
              </w:rPr>
            </w:pPr>
            <w:r>
              <w:rPr>
                <w:rFonts w:ascii="Arial" w:hAnsi="Arial"/>
              </w:rPr>
              <w:t>299</w:t>
            </w:r>
          </w:p>
        </w:tc>
        <w:tc>
          <w:tcPr>
            <w:tcW w:w="103" w:type="dxa"/>
            <w:tcBorders/>
            <w:shd w:fill="E5FFFF" w:val="clear"/>
            <w:vAlign w:val="center"/>
          </w:tcPr>
          <w:p>
            <w:pPr>
              <w:pStyle w:val="TableContents"/>
              <w:spacing w:before="0" w:after="283"/>
              <w:rPr/>
            </w:pPr>
            <w:r>
              <w:rPr/>
              <w:t> </w:t>
            </w:r>
          </w:p>
        </w:tc>
      </w:tr>
      <w:tr>
        <w:trPr/>
        <w:tc>
          <w:tcPr>
            <w:tcW w:w="373" w:type="dxa"/>
            <w:tcBorders/>
            <w:shd w:fill="FFFFFF" w:val="clear"/>
            <w:vAlign w:val="center"/>
          </w:tcPr>
          <w:p>
            <w:pPr>
              <w:pStyle w:val="TableContents"/>
              <w:spacing w:before="0" w:after="283"/>
              <w:rPr/>
            </w:pPr>
            <w:r>
              <w:rPr/>
              <w:t> </w:t>
            </w:r>
          </w:p>
        </w:tc>
        <w:tc>
          <w:tcPr>
            <w:tcW w:w="6360" w:type="dxa"/>
            <w:tcBorders/>
            <w:shd w:fill="FFFFFF" w:val="clear"/>
            <w:vAlign w:val="center"/>
          </w:tcPr>
          <w:p>
            <w:pPr>
              <w:pStyle w:val="TableContents"/>
              <w:spacing w:before="0" w:after="283"/>
              <w:rPr/>
            </w:pPr>
            <w:r>
              <w:rPr/>
              <w:t> </w:t>
            </w:r>
          </w:p>
        </w:tc>
        <w:tc>
          <w:tcPr>
            <w:tcW w:w="249"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HorizontalLine"/>
              <w:pBdr>
                <w:bottom w:val="single" w:sz="18" w:space="0" w:color="000000"/>
              </w:pBdr>
              <w:spacing w:before="0" w:after="283"/>
              <w:rPr/>
            </w:pPr>
            <w:r>
              <w:rPr/>
            </w:r>
          </w:p>
        </w:tc>
        <w:tc>
          <w:tcPr>
            <w:tcW w:w="103" w:type="dxa"/>
            <w:tcBorders/>
            <w:shd w:fill="FFFFFF" w:val="clear"/>
            <w:vAlign w:val="center"/>
          </w:tcPr>
          <w:p>
            <w:pPr>
              <w:pStyle w:val="TableContents"/>
              <w:spacing w:before="0" w:after="283"/>
              <w:rPr/>
            </w:pPr>
            <w:r>
              <w:rPr/>
              <w:t> </w:t>
            </w:r>
          </w:p>
        </w:tc>
        <w:tc>
          <w:tcPr>
            <w:tcW w:w="390"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HorizontalLine"/>
              <w:pBdr>
                <w:bottom w:val="single" w:sz="18" w:space="0" w:color="000000"/>
              </w:pBdr>
              <w:spacing w:before="0" w:after="283"/>
              <w:rPr/>
            </w:pPr>
            <w:r>
              <w:rPr/>
            </w:r>
          </w:p>
        </w:tc>
        <w:tc>
          <w:tcPr>
            <w:tcW w:w="103" w:type="dxa"/>
            <w:tcBorders/>
            <w:shd w:fill="FFFFFF" w:val="clear"/>
            <w:vAlign w:val="center"/>
          </w:tcPr>
          <w:p>
            <w:pPr>
              <w:pStyle w:val="TableContents"/>
              <w:spacing w:before="0" w:after="283"/>
              <w:rPr/>
            </w:pPr>
            <w:r>
              <w:rPr/>
              <w:t> </w:t>
            </w:r>
          </w:p>
        </w:tc>
        <w:tc>
          <w:tcPr>
            <w:tcW w:w="391" w:type="dxa"/>
            <w:tcBorders/>
            <w:shd w:fill="FFFFFF" w:val="clear"/>
            <w:vAlign w:val="bottom"/>
          </w:tcPr>
          <w:p>
            <w:pPr>
              <w:pStyle w:val="TableContents"/>
              <w:spacing w:before="0" w:after="283"/>
              <w:jc w:val="right"/>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bottom"/>
          </w:tcPr>
          <w:p>
            <w:pPr>
              <w:pStyle w:val="HorizontalLine"/>
              <w:pBdr>
                <w:bottom w:val="single" w:sz="18" w:space="0" w:color="000000"/>
              </w:pBdr>
              <w:spacing w:before="0" w:after="283"/>
              <w:rPr/>
            </w:pPr>
            <w:r>
              <w:rPr/>
            </w:r>
          </w:p>
        </w:tc>
        <w:tc>
          <w:tcPr>
            <w:tcW w:w="103" w:type="dxa"/>
            <w:tcBorders/>
            <w:shd w:fill="FFFFFF" w:val="clear"/>
            <w:vAlign w:val="center"/>
          </w:tcPr>
          <w:p>
            <w:pPr>
              <w:pStyle w:val="TableContents"/>
              <w:spacing w:before="0" w:after="283"/>
              <w:rPr/>
            </w:pPr>
            <w:r>
              <w:rPr/>
              <w:t> </w:t>
            </w:r>
          </w:p>
        </w:tc>
      </w:tr>
      <w:tr>
        <w:trPr/>
        <w:tc>
          <w:tcPr>
            <w:tcW w:w="373" w:type="dxa"/>
            <w:tcBorders/>
            <w:shd w:fill="FFFFFF" w:val="clear"/>
            <w:vAlign w:val="bottom"/>
          </w:tcPr>
          <w:p>
            <w:pPr>
              <w:pStyle w:val="TableContents"/>
              <w:spacing w:before="0" w:after="283"/>
              <w:jc w:val="left"/>
              <w:rPr/>
            </w:pPr>
            <w:r>
              <w:rPr/>
              <w:t>      </w:t>
            </w:r>
          </w:p>
        </w:tc>
        <w:tc>
          <w:tcPr>
            <w:tcW w:w="6360" w:type="dxa"/>
            <w:tcBorders/>
            <w:shd w:fill="FFFFFF" w:val="clear"/>
            <w:vAlign w:val="bottom"/>
          </w:tcPr>
          <w:p>
            <w:pPr>
              <w:pStyle w:val="TableContents"/>
              <w:spacing w:before="0" w:after="283"/>
              <w:rPr>
                <w:sz w:val="4"/>
                <w:szCs w:val="4"/>
              </w:rPr>
            </w:pPr>
            <w:r>
              <w:rPr>
                <w:sz w:val="4"/>
                <w:szCs w:val="4"/>
              </w:rPr>
            </w:r>
          </w:p>
        </w:tc>
        <w:tc>
          <w:tcPr>
            <w:tcW w:w="249"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39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391"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543"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Product warranties and product performance guarantees are included in the following balance sheet accounts:</w:t>
      </w:r>
    </w:p>
    <w:tbl>
      <w:tblPr>
        <w:tblW w:w="5000" w:type="pct"/>
        <w:jc w:val="left"/>
        <w:tblInd w:w="0" w:type="dxa"/>
        <w:tblCellMar>
          <w:top w:w="0" w:type="dxa"/>
          <w:left w:w="0" w:type="dxa"/>
          <w:bottom w:w="0" w:type="dxa"/>
          <w:right w:w="0" w:type="dxa"/>
        </w:tblCellMar>
      </w:tblPr>
      <w:tblGrid>
        <w:gridCol w:w="885"/>
        <w:gridCol w:w="4697"/>
        <w:gridCol w:w="590"/>
        <w:gridCol w:w="381"/>
        <w:gridCol w:w="1045"/>
        <w:gridCol w:w="148"/>
        <w:gridCol w:w="885"/>
        <w:gridCol w:w="381"/>
        <w:gridCol w:w="1045"/>
        <w:gridCol w:w="148"/>
      </w:tblGrid>
      <w:tr>
        <w:trPr/>
        <w:tc>
          <w:tcPr>
            <w:tcW w:w="885" w:type="dxa"/>
            <w:tcBorders/>
            <w:shd w:fill="FFFFFF" w:val="clear"/>
            <w:vAlign w:val="center"/>
          </w:tcPr>
          <w:p>
            <w:pPr>
              <w:pStyle w:val="TableContents"/>
              <w:spacing w:before="0" w:after="283"/>
              <w:rPr/>
            </w:pPr>
            <w:r>
              <w:rPr/>
              <w:t> </w:t>
            </w:r>
          </w:p>
        </w:tc>
        <w:tc>
          <w:tcPr>
            <w:tcW w:w="4697"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4033"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885" w:type="dxa"/>
            <w:tcBorders/>
            <w:shd w:fill="FFFFFF" w:val="clear"/>
            <w:vAlign w:val="center"/>
          </w:tcPr>
          <w:p>
            <w:pPr>
              <w:pStyle w:val="TableContents"/>
              <w:spacing w:before="0" w:after="283"/>
              <w:rPr/>
            </w:pPr>
            <w:r>
              <w:rPr/>
              <w:t> </w:t>
            </w:r>
          </w:p>
        </w:tc>
        <w:tc>
          <w:tcPr>
            <w:tcW w:w="4697"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157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885" w:type="dxa"/>
            <w:tcBorders/>
            <w:shd w:fill="FFFFFF" w:val="clear"/>
            <w:vAlign w:val="center"/>
          </w:tcPr>
          <w:p>
            <w:pPr>
              <w:pStyle w:val="TableContents"/>
              <w:spacing w:before="0" w:after="283"/>
              <w:rPr/>
            </w:pPr>
            <w:r>
              <w:rPr/>
              <w:t> </w:t>
            </w:r>
          </w:p>
        </w:tc>
        <w:tc>
          <w:tcPr>
            <w:tcW w:w="157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885" w:type="dxa"/>
            <w:tcBorders/>
            <w:shd w:fill="E5FFFF" w:val="clear"/>
            <w:vAlign w:val="bottom"/>
          </w:tcPr>
          <w:p>
            <w:pPr>
              <w:pStyle w:val="TableContents"/>
              <w:spacing w:before="0" w:after="283"/>
              <w:jc w:val="left"/>
              <w:rPr/>
            </w:pPr>
            <w:r>
              <w:rPr/>
              <w:t>      </w:t>
            </w:r>
          </w:p>
        </w:tc>
        <w:tc>
          <w:tcPr>
            <w:tcW w:w="4697" w:type="dxa"/>
            <w:tcBorders/>
            <w:shd w:fill="E5FFFF" w:val="clear"/>
            <w:vAlign w:val="bottom"/>
          </w:tcPr>
          <w:p>
            <w:pPr>
              <w:pStyle w:val="TableContents"/>
              <w:spacing w:before="0" w:after="283"/>
              <w:jc w:val="left"/>
              <w:rPr>
                <w:rFonts w:ascii="Arial" w:hAnsi="Arial"/>
              </w:rPr>
            </w:pPr>
            <w:r>
              <w:rPr>
                <w:rFonts w:ascii="Arial" w:hAnsi="Arial"/>
              </w:rPr>
              <w:t>Accrued liabilities</w:t>
            </w:r>
          </w:p>
        </w:tc>
        <w:tc>
          <w:tcPr>
            <w:tcW w:w="590" w:type="dxa"/>
            <w:tcBorders/>
            <w:shd w:fill="E5FFFF" w:val="clear"/>
            <w:vAlign w:val="bottom"/>
          </w:tcPr>
          <w:p>
            <w:pPr>
              <w:pStyle w:val="TableContents"/>
              <w:spacing w:before="0" w:after="283"/>
              <w:jc w:val="right"/>
              <w:rPr/>
            </w:pPr>
            <w:r>
              <w:rPr/>
              <w:t>    </w:t>
            </w:r>
          </w:p>
        </w:tc>
        <w:tc>
          <w:tcPr>
            <w:tcW w:w="381" w:type="dxa"/>
            <w:tcBorders/>
            <w:shd w:fill="E5FFFF" w:val="clear"/>
            <w:vAlign w:val="bottom"/>
          </w:tcPr>
          <w:p>
            <w:pPr>
              <w:pStyle w:val="TableContents"/>
              <w:spacing w:before="0" w:after="283"/>
              <w:jc w:val="right"/>
              <w:rPr>
                <w:rFonts w:ascii="Arial" w:hAnsi="Arial"/>
              </w:rPr>
            </w:pPr>
            <w:r>
              <w:rPr>
                <w:rFonts w:ascii="Arial" w:hAnsi="Arial"/>
              </w:rPr>
              <w:t>$</w:t>
            </w:r>
          </w:p>
        </w:tc>
        <w:tc>
          <w:tcPr>
            <w:tcW w:w="1045" w:type="dxa"/>
            <w:tcBorders/>
            <w:shd w:fill="E5FFFF" w:val="clear"/>
            <w:vAlign w:val="bottom"/>
          </w:tcPr>
          <w:p>
            <w:pPr>
              <w:pStyle w:val="TableContents"/>
              <w:spacing w:before="0" w:after="283"/>
              <w:jc w:val="right"/>
              <w:rPr>
                <w:rFonts w:ascii="Arial" w:hAnsi="Arial"/>
              </w:rPr>
            </w:pPr>
            <w:r>
              <w:rPr>
                <w:rFonts w:ascii="Arial" w:hAnsi="Arial"/>
              </w:rPr>
              <w:t>347</w:t>
            </w:r>
          </w:p>
        </w:tc>
        <w:tc>
          <w:tcPr>
            <w:tcW w:w="148" w:type="dxa"/>
            <w:tcBorders/>
            <w:shd w:fill="E5FFFF" w:val="clear"/>
            <w:vAlign w:val="center"/>
          </w:tcPr>
          <w:p>
            <w:pPr>
              <w:pStyle w:val="TableContents"/>
              <w:spacing w:before="0" w:after="283"/>
              <w:rPr/>
            </w:pPr>
            <w:r>
              <w:rPr/>
              <w:t> </w:t>
            </w:r>
          </w:p>
        </w:tc>
        <w:tc>
          <w:tcPr>
            <w:tcW w:w="885" w:type="dxa"/>
            <w:tcBorders/>
            <w:shd w:fill="E5FFFF" w:val="clear"/>
            <w:vAlign w:val="bottom"/>
          </w:tcPr>
          <w:p>
            <w:pPr>
              <w:pStyle w:val="TableContents"/>
              <w:spacing w:before="0" w:after="283"/>
              <w:jc w:val="right"/>
              <w:rPr/>
            </w:pPr>
            <w:r>
              <w:rPr/>
              <w:t>      </w:t>
            </w:r>
          </w:p>
        </w:tc>
        <w:tc>
          <w:tcPr>
            <w:tcW w:w="381" w:type="dxa"/>
            <w:tcBorders/>
            <w:shd w:fill="E5FFFF" w:val="clear"/>
            <w:vAlign w:val="bottom"/>
          </w:tcPr>
          <w:p>
            <w:pPr>
              <w:pStyle w:val="TableContents"/>
              <w:spacing w:before="0" w:after="283"/>
              <w:jc w:val="right"/>
              <w:rPr>
                <w:rFonts w:ascii="Arial" w:hAnsi="Arial"/>
              </w:rPr>
            </w:pPr>
            <w:r>
              <w:rPr>
                <w:rFonts w:ascii="Arial" w:hAnsi="Arial"/>
              </w:rPr>
              <w:t>$</w:t>
            </w:r>
          </w:p>
        </w:tc>
        <w:tc>
          <w:tcPr>
            <w:tcW w:w="1045" w:type="dxa"/>
            <w:tcBorders/>
            <w:shd w:fill="E5FFFF" w:val="clear"/>
            <w:vAlign w:val="bottom"/>
          </w:tcPr>
          <w:p>
            <w:pPr>
              <w:pStyle w:val="TableContents"/>
              <w:spacing w:before="0" w:after="283"/>
              <w:jc w:val="right"/>
              <w:rPr>
                <w:rFonts w:ascii="Arial" w:hAnsi="Arial"/>
              </w:rPr>
            </w:pPr>
            <w:r>
              <w:rPr>
                <w:rFonts w:ascii="Arial" w:hAnsi="Arial"/>
              </w:rPr>
              <w:t>322</w:t>
            </w:r>
          </w:p>
        </w:tc>
        <w:tc>
          <w:tcPr>
            <w:tcW w:w="148" w:type="dxa"/>
            <w:tcBorders/>
            <w:shd w:fill="E5FFFF" w:val="clear"/>
            <w:vAlign w:val="center"/>
          </w:tcPr>
          <w:p>
            <w:pPr>
              <w:pStyle w:val="TableContents"/>
              <w:spacing w:before="0" w:after="283"/>
              <w:rPr/>
            </w:pPr>
            <w:r>
              <w:rPr/>
              <w:t> </w:t>
            </w:r>
          </w:p>
        </w:tc>
      </w:tr>
      <w:tr>
        <w:trPr/>
        <w:tc>
          <w:tcPr>
            <w:tcW w:w="885" w:type="dxa"/>
            <w:tcBorders/>
            <w:shd w:fill="FFFFFF" w:val="clear"/>
            <w:vAlign w:val="bottom"/>
          </w:tcPr>
          <w:p>
            <w:pPr>
              <w:pStyle w:val="TableContents"/>
              <w:spacing w:before="0" w:after="283"/>
              <w:jc w:val="left"/>
              <w:rPr/>
            </w:pPr>
            <w:r>
              <w:rPr/>
              <w:t>      </w:t>
            </w:r>
          </w:p>
        </w:tc>
        <w:tc>
          <w:tcPr>
            <w:tcW w:w="4697" w:type="dxa"/>
            <w:tcBorders/>
            <w:shd w:fill="FFFFFF" w:val="clear"/>
            <w:vAlign w:val="bottom"/>
          </w:tcPr>
          <w:p>
            <w:pPr>
              <w:pStyle w:val="TableContents"/>
              <w:spacing w:before="0" w:after="283"/>
              <w:jc w:val="left"/>
              <w:rPr>
                <w:rFonts w:ascii="Arial" w:hAnsi="Arial"/>
              </w:rPr>
            </w:pPr>
            <w:r>
              <w:rPr>
                <w:rFonts w:ascii="Arial" w:hAnsi="Arial"/>
              </w:rPr>
              <w:t>Other liabilities</w:t>
            </w:r>
          </w:p>
        </w:tc>
        <w:tc>
          <w:tcPr>
            <w:tcW w:w="590" w:type="dxa"/>
            <w:tcBorders/>
            <w:shd w:fill="FFFFFF" w:val="clear"/>
            <w:vAlign w:val="bottom"/>
          </w:tcPr>
          <w:p>
            <w:pPr>
              <w:pStyle w:val="TableContents"/>
              <w:spacing w:before="0" w:after="283"/>
              <w:jc w:val="right"/>
              <w:rPr/>
            </w:pPr>
            <w:r>
              <w:rPr/>
              <w:t>    </w:t>
            </w:r>
          </w:p>
        </w:tc>
        <w:tc>
          <w:tcPr>
            <w:tcW w:w="381" w:type="dxa"/>
            <w:tcBorders/>
            <w:shd w:fill="FFFFFF" w:val="clear"/>
            <w:vAlign w:val="center"/>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Arial" w:hAnsi="Arial"/>
              </w:rPr>
            </w:pPr>
            <w:r>
              <w:rPr>
                <w:rFonts w:ascii="Arial" w:hAnsi="Arial"/>
              </w:rPr>
              <w:t>16</w:t>
            </w:r>
          </w:p>
        </w:tc>
        <w:tc>
          <w:tcPr>
            <w:tcW w:w="148" w:type="dxa"/>
            <w:tcBorders/>
            <w:shd w:fill="FFFFFF" w:val="clear"/>
            <w:vAlign w:val="center"/>
          </w:tcPr>
          <w:p>
            <w:pPr>
              <w:pStyle w:val="TableContents"/>
              <w:spacing w:before="0" w:after="283"/>
              <w:rPr/>
            </w:pPr>
            <w:r>
              <w:rPr/>
              <w:t> </w:t>
            </w:r>
          </w:p>
        </w:tc>
        <w:tc>
          <w:tcPr>
            <w:tcW w:w="885" w:type="dxa"/>
            <w:tcBorders/>
            <w:shd w:fill="FFFFFF" w:val="clear"/>
            <w:vAlign w:val="bottom"/>
          </w:tcPr>
          <w:p>
            <w:pPr>
              <w:pStyle w:val="TableContents"/>
              <w:spacing w:before="0" w:after="283"/>
              <w:jc w:val="right"/>
              <w:rPr/>
            </w:pPr>
            <w:r>
              <w:rPr/>
              <w:t>      </w:t>
            </w:r>
          </w:p>
        </w:tc>
        <w:tc>
          <w:tcPr>
            <w:tcW w:w="381" w:type="dxa"/>
            <w:tcBorders/>
            <w:shd w:fill="FFFFFF" w:val="clear"/>
            <w:vAlign w:val="center"/>
          </w:tcPr>
          <w:p>
            <w:pPr>
              <w:pStyle w:val="TableContents"/>
              <w:spacing w:before="0" w:after="283"/>
              <w:rPr/>
            </w:pPr>
            <w:r>
              <w:rPr/>
              <w:t> </w:t>
            </w:r>
          </w:p>
        </w:tc>
        <w:tc>
          <w:tcPr>
            <w:tcW w:w="1045" w:type="dxa"/>
            <w:tcBorders/>
            <w:shd w:fill="FFFFFF" w:val="clear"/>
            <w:vAlign w:val="bottom"/>
          </w:tcPr>
          <w:p>
            <w:pPr>
              <w:pStyle w:val="TableContents"/>
              <w:spacing w:before="0" w:after="283"/>
              <w:jc w:val="right"/>
              <w:rPr>
                <w:rFonts w:ascii="Arial" w:hAnsi="Arial"/>
              </w:rPr>
            </w:pPr>
            <w:r>
              <w:rPr>
                <w:rFonts w:ascii="Arial" w:hAnsi="Arial"/>
              </w:rPr>
              <w:t>25</w:t>
            </w:r>
          </w:p>
        </w:tc>
        <w:tc>
          <w:tcPr>
            <w:tcW w:w="148" w:type="dxa"/>
            <w:tcBorders/>
            <w:shd w:fill="FFFFFF" w:val="clear"/>
            <w:vAlign w:val="center"/>
          </w:tcPr>
          <w:p>
            <w:pPr>
              <w:pStyle w:val="TableContents"/>
              <w:spacing w:before="0" w:after="283"/>
              <w:rPr/>
            </w:pPr>
            <w:r>
              <w:rPr/>
              <w:t> </w:t>
            </w:r>
          </w:p>
        </w:tc>
      </w:tr>
      <w:tr>
        <w:trPr/>
        <w:tc>
          <w:tcPr>
            <w:tcW w:w="885" w:type="dxa"/>
            <w:tcBorders/>
            <w:shd w:fill="E5FFFF" w:val="clear"/>
            <w:vAlign w:val="center"/>
          </w:tcPr>
          <w:p>
            <w:pPr>
              <w:pStyle w:val="TableContents"/>
              <w:spacing w:before="0" w:after="283"/>
              <w:rPr/>
            </w:pPr>
            <w:r>
              <w:rPr/>
              <w:t> </w:t>
            </w:r>
          </w:p>
        </w:tc>
        <w:tc>
          <w:tcPr>
            <w:tcW w:w="4697" w:type="dxa"/>
            <w:tcBorders/>
            <w:shd w:fill="E5FFFF" w:val="clear"/>
            <w:vAlign w:val="center"/>
          </w:tcPr>
          <w:p>
            <w:pPr>
              <w:pStyle w:val="TableContents"/>
              <w:spacing w:before="0" w:after="283"/>
              <w:rPr/>
            </w:pPr>
            <w:r>
              <w:rPr/>
              <w:t> </w:t>
            </w:r>
          </w:p>
        </w:tc>
        <w:tc>
          <w:tcPr>
            <w:tcW w:w="590" w:type="dxa"/>
            <w:tcBorders/>
            <w:shd w:fill="E5FFFF" w:val="clear"/>
            <w:vAlign w:val="bottom"/>
          </w:tcPr>
          <w:p>
            <w:pPr>
              <w:pStyle w:val="TableContents"/>
              <w:spacing w:before="0" w:after="283"/>
              <w:jc w:val="right"/>
              <w:rPr/>
            </w:pPr>
            <w:r>
              <w:rPr/>
              <w:t>    </w:t>
            </w:r>
          </w:p>
        </w:tc>
        <w:tc>
          <w:tcPr>
            <w:tcW w:w="381" w:type="dxa"/>
            <w:tcBorders/>
            <w:shd w:fill="E5FFFF" w:val="clear"/>
            <w:vAlign w:val="center"/>
          </w:tcPr>
          <w:p>
            <w:pPr>
              <w:pStyle w:val="TableContents"/>
              <w:spacing w:before="0" w:after="283"/>
              <w:rPr/>
            </w:pPr>
            <w:r>
              <w:rPr/>
              <w:t> </w:t>
            </w:r>
          </w:p>
        </w:tc>
        <w:tc>
          <w:tcPr>
            <w:tcW w:w="1045" w:type="dxa"/>
            <w:tcBorders/>
            <w:shd w:fill="E5FFFF" w:val="clear"/>
            <w:vAlign w:val="bottom"/>
          </w:tcPr>
          <w:p>
            <w:pPr>
              <w:pStyle w:val="HorizontalLine"/>
              <w:pBdr>
                <w:bottom w:val="single" w:sz="6" w:space="0" w:color="000000"/>
              </w:pBdr>
              <w:spacing w:before="0" w:after="283"/>
              <w:rPr/>
            </w:pPr>
            <w:r>
              <w:rPr/>
            </w:r>
          </w:p>
        </w:tc>
        <w:tc>
          <w:tcPr>
            <w:tcW w:w="148" w:type="dxa"/>
            <w:tcBorders/>
            <w:shd w:fill="E5FFFF" w:val="clear"/>
            <w:vAlign w:val="center"/>
          </w:tcPr>
          <w:p>
            <w:pPr>
              <w:pStyle w:val="TableContents"/>
              <w:spacing w:before="0" w:after="283"/>
              <w:rPr/>
            </w:pPr>
            <w:r>
              <w:rPr/>
              <w:t> </w:t>
            </w:r>
          </w:p>
        </w:tc>
        <w:tc>
          <w:tcPr>
            <w:tcW w:w="885" w:type="dxa"/>
            <w:tcBorders/>
            <w:shd w:fill="E5FFFF" w:val="clear"/>
            <w:vAlign w:val="bottom"/>
          </w:tcPr>
          <w:p>
            <w:pPr>
              <w:pStyle w:val="TableContents"/>
              <w:spacing w:before="0" w:after="283"/>
              <w:jc w:val="right"/>
              <w:rPr/>
            </w:pPr>
            <w:r>
              <w:rPr/>
              <w:t>      </w:t>
            </w:r>
          </w:p>
        </w:tc>
        <w:tc>
          <w:tcPr>
            <w:tcW w:w="381" w:type="dxa"/>
            <w:tcBorders/>
            <w:shd w:fill="E5FFFF" w:val="clear"/>
            <w:vAlign w:val="center"/>
          </w:tcPr>
          <w:p>
            <w:pPr>
              <w:pStyle w:val="TableContents"/>
              <w:spacing w:before="0" w:after="283"/>
              <w:rPr/>
            </w:pPr>
            <w:r>
              <w:rPr/>
              <w:t> </w:t>
            </w:r>
          </w:p>
        </w:tc>
        <w:tc>
          <w:tcPr>
            <w:tcW w:w="1045" w:type="dxa"/>
            <w:tcBorders/>
            <w:shd w:fill="E5FFFF" w:val="clear"/>
            <w:vAlign w:val="bottom"/>
          </w:tcPr>
          <w:p>
            <w:pPr>
              <w:pStyle w:val="HorizontalLine"/>
              <w:pBdr>
                <w:bottom w:val="single" w:sz="6" w:space="0" w:color="000000"/>
              </w:pBdr>
              <w:spacing w:before="0" w:after="283"/>
              <w:rPr/>
            </w:pPr>
            <w:r>
              <w:rPr/>
            </w:r>
          </w:p>
        </w:tc>
        <w:tc>
          <w:tcPr>
            <w:tcW w:w="148" w:type="dxa"/>
            <w:tcBorders/>
            <w:shd w:fill="E5FFFF" w:val="clear"/>
            <w:vAlign w:val="center"/>
          </w:tcPr>
          <w:p>
            <w:pPr>
              <w:pStyle w:val="TableContents"/>
              <w:spacing w:before="0" w:after="283"/>
              <w:rPr/>
            </w:pPr>
            <w:r>
              <w:rPr/>
              <w:t> </w:t>
            </w:r>
          </w:p>
        </w:tc>
      </w:tr>
      <w:tr>
        <w:trPr/>
        <w:tc>
          <w:tcPr>
            <w:tcW w:w="885" w:type="dxa"/>
            <w:tcBorders/>
            <w:shd w:fill="FFFFFF" w:val="clear"/>
            <w:vAlign w:val="bottom"/>
          </w:tcPr>
          <w:p>
            <w:pPr>
              <w:pStyle w:val="TableContents"/>
              <w:spacing w:before="0" w:after="283"/>
              <w:jc w:val="left"/>
              <w:rPr/>
            </w:pPr>
            <w:r>
              <w:rPr/>
              <w:t>      </w:t>
            </w:r>
          </w:p>
        </w:tc>
        <w:tc>
          <w:tcPr>
            <w:tcW w:w="4697" w:type="dxa"/>
            <w:tcBorders/>
            <w:shd w:fill="FFFFFF" w:val="clear"/>
            <w:vAlign w:val="bottom"/>
          </w:tcPr>
          <w:p>
            <w:pPr>
              <w:pStyle w:val="TableContents"/>
              <w:spacing w:before="0" w:after="283"/>
              <w:rPr>
                <w:sz w:val="4"/>
                <w:szCs w:val="4"/>
              </w:rPr>
            </w:pPr>
            <w:r>
              <w:rPr>
                <w:sz w:val="4"/>
                <w:szCs w:val="4"/>
              </w:rPr>
            </w:r>
          </w:p>
        </w:tc>
        <w:tc>
          <w:tcPr>
            <w:tcW w:w="590" w:type="dxa"/>
            <w:tcBorders/>
            <w:shd w:fill="FFFFFF" w:val="clear"/>
            <w:vAlign w:val="bottom"/>
          </w:tcPr>
          <w:p>
            <w:pPr>
              <w:pStyle w:val="TableContents"/>
              <w:spacing w:before="0" w:after="283"/>
              <w:jc w:val="right"/>
              <w:rPr/>
            </w:pPr>
            <w:r>
              <w:rPr/>
              <w:t>    </w:t>
            </w:r>
          </w:p>
        </w:tc>
        <w:tc>
          <w:tcPr>
            <w:tcW w:w="381" w:type="dxa"/>
            <w:tcBorders/>
            <w:shd w:fill="FFFFFF" w:val="clear"/>
            <w:vAlign w:val="bottom"/>
          </w:tcPr>
          <w:p>
            <w:pPr>
              <w:pStyle w:val="TableContents"/>
              <w:spacing w:before="0" w:after="283"/>
              <w:jc w:val="right"/>
              <w:rPr>
                <w:rFonts w:ascii="Arial" w:hAnsi="Arial"/>
              </w:rPr>
            </w:pPr>
            <w:r>
              <w:rPr>
                <w:rFonts w:ascii="Arial" w:hAnsi="Arial"/>
              </w:rPr>
              <w:t>$</w:t>
            </w:r>
          </w:p>
        </w:tc>
        <w:tc>
          <w:tcPr>
            <w:tcW w:w="1045" w:type="dxa"/>
            <w:tcBorders/>
            <w:shd w:fill="FFFFFF" w:val="clear"/>
            <w:vAlign w:val="bottom"/>
          </w:tcPr>
          <w:p>
            <w:pPr>
              <w:pStyle w:val="TableContents"/>
              <w:spacing w:before="0" w:after="283"/>
              <w:jc w:val="right"/>
              <w:rPr>
                <w:rFonts w:ascii="Arial" w:hAnsi="Arial"/>
              </w:rPr>
            </w:pPr>
            <w:r>
              <w:rPr>
                <w:rFonts w:ascii="Arial" w:hAnsi="Arial"/>
              </w:rPr>
              <w:t>363</w:t>
            </w:r>
          </w:p>
        </w:tc>
        <w:tc>
          <w:tcPr>
            <w:tcW w:w="148" w:type="dxa"/>
            <w:tcBorders/>
            <w:shd w:fill="FFFFFF" w:val="clear"/>
            <w:vAlign w:val="center"/>
          </w:tcPr>
          <w:p>
            <w:pPr>
              <w:pStyle w:val="TableContents"/>
              <w:spacing w:before="0" w:after="283"/>
              <w:rPr/>
            </w:pPr>
            <w:r>
              <w:rPr/>
              <w:t> </w:t>
            </w:r>
          </w:p>
        </w:tc>
        <w:tc>
          <w:tcPr>
            <w:tcW w:w="885" w:type="dxa"/>
            <w:tcBorders/>
            <w:shd w:fill="FFFFFF" w:val="clear"/>
            <w:vAlign w:val="bottom"/>
          </w:tcPr>
          <w:p>
            <w:pPr>
              <w:pStyle w:val="TableContents"/>
              <w:spacing w:before="0" w:after="283"/>
              <w:jc w:val="right"/>
              <w:rPr/>
            </w:pPr>
            <w:r>
              <w:rPr/>
              <w:t>      </w:t>
            </w:r>
          </w:p>
        </w:tc>
        <w:tc>
          <w:tcPr>
            <w:tcW w:w="381" w:type="dxa"/>
            <w:tcBorders/>
            <w:shd w:fill="FFFFFF" w:val="clear"/>
            <w:vAlign w:val="bottom"/>
          </w:tcPr>
          <w:p>
            <w:pPr>
              <w:pStyle w:val="TableContents"/>
              <w:spacing w:before="0" w:after="283"/>
              <w:jc w:val="right"/>
              <w:rPr>
                <w:rFonts w:ascii="Arial" w:hAnsi="Arial"/>
              </w:rPr>
            </w:pPr>
            <w:r>
              <w:rPr>
                <w:rFonts w:ascii="Arial" w:hAnsi="Arial"/>
              </w:rPr>
              <w:t>$</w:t>
            </w:r>
          </w:p>
        </w:tc>
        <w:tc>
          <w:tcPr>
            <w:tcW w:w="1045" w:type="dxa"/>
            <w:tcBorders/>
            <w:shd w:fill="FFFFFF" w:val="clear"/>
            <w:vAlign w:val="bottom"/>
          </w:tcPr>
          <w:p>
            <w:pPr>
              <w:pStyle w:val="TableContents"/>
              <w:spacing w:before="0" w:after="283"/>
              <w:jc w:val="right"/>
              <w:rPr>
                <w:rFonts w:ascii="Arial" w:hAnsi="Arial"/>
              </w:rPr>
            </w:pPr>
            <w:r>
              <w:rPr>
                <w:rFonts w:ascii="Arial" w:hAnsi="Arial"/>
              </w:rPr>
              <w:t>347</w:t>
            </w:r>
          </w:p>
        </w:tc>
        <w:tc>
          <w:tcPr>
            <w:tcW w:w="148" w:type="dxa"/>
            <w:tcBorders/>
            <w:shd w:fill="FFFFFF" w:val="clear"/>
            <w:vAlign w:val="center"/>
          </w:tcPr>
          <w:p>
            <w:pPr>
              <w:pStyle w:val="TableContents"/>
              <w:spacing w:before="0" w:after="283"/>
              <w:rPr/>
            </w:pPr>
            <w:r>
              <w:rPr/>
              <w:t> </w:t>
            </w:r>
          </w:p>
        </w:tc>
      </w:tr>
      <w:tr>
        <w:trPr/>
        <w:tc>
          <w:tcPr>
            <w:tcW w:w="885" w:type="dxa"/>
            <w:tcBorders/>
            <w:shd w:fill="E5FFFF" w:val="clear"/>
            <w:vAlign w:val="center"/>
          </w:tcPr>
          <w:p>
            <w:pPr>
              <w:pStyle w:val="TableContents"/>
              <w:spacing w:before="0" w:after="283"/>
              <w:rPr/>
            </w:pPr>
            <w:r>
              <w:rPr/>
              <w:t> </w:t>
            </w:r>
          </w:p>
        </w:tc>
        <w:tc>
          <w:tcPr>
            <w:tcW w:w="4697" w:type="dxa"/>
            <w:tcBorders/>
            <w:shd w:fill="E5FFFF" w:val="clear"/>
            <w:vAlign w:val="center"/>
          </w:tcPr>
          <w:p>
            <w:pPr>
              <w:pStyle w:val="TableContents"/>
              <w:spacing w:before="0" w:after="283"/>
              <w:rPr/>
            </w:pPr>
            <w:r>
              <w:rPr/>
              <w:t> </w:t>
            </w:r>
          </w:p>
        </w:tc>
        <w:tc>
          <w:tcPr>
            <w:tcW w:w="590" w:type="dxa"/>
            <w:tcBorders/>
            <w:shd w:fill="E5FFFF" w:val="clear"/>
            <w:vAlign w:val="bottom"/>
          </w:tcPr>
          <w:p>
            <w:pPr>
              <w:pStyle w:val="TableContents"/>
              <w:spacing w:before="0" w:after="283"/>
              <w:jc w:val="right"/>
              <w:rPr/>
            </w:pPr>
            <w:r>
              <w:rPr/>
              <w:t>    </w:t>
            </w:r>
          </w:p>
        </w:tc>
        <w:tc>
          <w:tcPr>
            <w:tcW w:w="381" w:type="dxa"/>
            <w:tcBorders/>
            <w:shd w:fill="E5FFFF" w:val="clear"/>
            <w:vAlign w:val="center"/>
          </w:tcPr>
          <w:p>
            <w:pPr>
              <w:pStyle w:val="TableContents"/>
              <w:spacing w:before="0" w:after="283"/>
              <w:rPr/>
            </w:pPr>
            <w:r>
              <w:rPr/>
              <w:t> </w:t>
            </w:r>
          </w:p>
        </w:tc>
        <w:tc>
          <w:tcPr>
            <w:tcW w:w="1045" w:type="dxa"/>
            <w:tcBorders/>
            <w:shd w:fill="E5FFFF" w:val="clear"/>
            <w:vAlign w:val="bottom"/>
          </w:tcPr>
          <w:p>
            <w:pPr>
              <w:pStyle w:val="HorizontalLine"/>
              <w:pBdr>
                <w:bottom w:val="single" w:sz="18" w:space="0" w:color="000000"/>
              </w:pBdr>
              <w:spacing w:before="0" w:after="283"/>
              <w:rPr/>
            </w:pPr>
            <w:r>
              <w:rPr/>
            </w:r>
          </w:p>
        </w:tc>
        <w:tc>
          <w:tcPr>
            <w:tcW w:w="148" w:type="dxa"/>
            <w:tcBorders/>
            <w:shd w:fill="E5FFFF" w:val="clear"/>
            <w:vAlign w:val="center"/>
          </w:tcPr>
          <w:p>
            <w:pPr>
              <w:pStyle w:val="TableContents"/>
              <w:spacing w:before="0" w:after="283"/>
              <w:rPr/>
            </w:pPr>
            <w:r>
              <w:rPr/>
              <w:t> </w:t>
            </w:r>
          </w:p>
        </w:tc>
        <w:tc>
          <w:tcPr>
            <w:tcW w:w="885" w:type="dxa"/>
            <w:tcBorders/>
            <w:shd w:fill="E5FFFF" w:val="clear"/>
            <w:vAlign w:val="bottom"/>
          </w:tcPr>
          <w:p>
            <w:pPr>
              <w:pStyle w:val="TableContents"/>
              <w:spacing w:before="0" w:after="283"/>
              <w:jc w:val="right"/>
              <w:rPr/>
            </w:pPr>
            <w:r>
              <w:rPr/>
              <w:t>      </w:t>
            </w:r>
          </w:p>
        </w:tc>
        <w:tc>
          <w:tcPr>
            <w:tcW w:w="381" w:type="dxa"/>
            <w:tcBorders/>
            <w:shd w:fill="E5FFFF" w:val="clear"/>
            <w:vAlign w:val="center"/>
          </w:tcPr>
          <w:p>
            <w:pPr>
              <w:pStyle w:val="TableContents"/>
              <w:spacing w:before="0" w:after="283"/>
              <w:rPr/>
            </w:pPr>
            <w:r>
              <w:rPr/>
              <w:t> </w:t>
            </w:r>
          </w:p>
        </w:tc>
        <w:tc>
          <w:tcPr>
            <w:tcW w:w="1045" w:type="dxa"/>
            <w:tcBorders/>
            <w:shd w:fill="E5FFFF" w:val="clear"/>
            <w:vAlign w:val="bottom"/>
          </w:tcPr>
          <w:p>
            <w:pPr>
              <w:pStyle w:val="HorizontalLine"/>
              <w:pBdr>
                <w:bottom w:val="single" w:sz="18" w:space="0" w:color="000000"/>
              </w:pBdr>
              <w:spacing w:before="0" w:after="283"/>
              <w:rPr/>
            </w:pPr>
            <w:r>
              <w:rPr/>
            </w:r>
          </w:p>
        </w:tc>
        <w:tc>
          <w:tcPr>
            <w:tcW w:w="148" w:type="dxa"/>
            <w:tcBorders/>
            <w:shd w:fill="E5FFFF" w:val="clear"/>
            <w:vAlign w:val="center"/>
          </w:tcPr>
          <w:p>
            <w:pPr>
              <w:pStyle w:val="TableContents"/>
              <w:spacing w:before="0" w:after="283"/>
              <w:rPr/>
            </w:pPr>
            <w:r>
              <w:rPr/>
              <w:t> </w:t>
            </w:r>
          </w:p>
        </w:tc>
      </w:tr>
      <w:tr>
        <w:trPr/>
        <w:tc>
          <w:tcPr>
            <w:tcW w:w="885" w:type="dxa"/>
            <w:tcBorders/>
            <w:shd w:fill="FFFFFF" w:val="clear"/>
            <w:vAlign w:val="bottom"/>
          </w:tcPr>
          <w:p>
            <w:pPr>
              <w:pStyle w:val="TableContents"/>
              <w:spacing w:before="0" w:after="283"/>
              <w:jc w:val="left"/>
              <w:rPr/>
            </w:pPr>
            <w:r>
              <w:rPr/>
              <w:t>      </w:t>
            </w:r>
          </w:p>
        </w:tc>
        <w:tc>
          <w:tcPr>
            <w:tcW w:w="4697" w:type="dxa"/>
            <w:tcBorders/>
            <w:shd w:fill="FFFFFF" w:val="clear"/>
            <w:vAlign w:val="bottom"/>
          </w:tcPr>
          <w:p>
            <w:pPr>
              <w:pStyle w:val="TableContents"/>
              <w:spacing w:before="0" w:after="283"/>
              <w:rPr>
                <w:sz w:val="4"/>
                <w:szCs w:val="4"/>
              </w:rPr>
            </w:pPr>
            <w:r>
              <w:rPr>
                <w:sz w:val="4"/>
                <w:szCs w:val="4"/>
              </w:rPr>
            </w:r>
          </w:p>
        </w:tc>
        <w:tc>
          <w:tcPr>
            <w:tcW w:w="590" w:type="dxa"/>
            <w:tcBorders/>
            <w:shd w:fill="FFFFFF" w:val="clear"/>
            <w:vAlign w:val="center"/>
          </w:tcPr>
          <w:p>
            <w:pPr>
              <w:pStyle w:val="TableContents"/>
              <w:spacing w:before="0" w:after="283"/>
              <w:rPr/>
            </w:pPr>
            <w:r>
              <w:rPr/>
              <w:t> </w:t>
            </w:r>
          </w:p>
        </w:tc>
        <w:tc>
          <w:tcPr>
            <w:tcW w:w="381" w:type="dxa"/>
            <w:tcBorders/>
            <w:shd w:fill="FFFFFF" w:val="clear"/>
            <w:vAlign w:val="center"/>
          </w:tcPr>
          <w:p>
            <w:pPr>
              <w:pStyle w:val="TableContents"/>
              <w:spacing w:before="0" w:after="283"/>
              <w:rPr/>
            </w:pPr>
            <w:r>
              <w:rPr/>
              <w:t> </w:t>
            </w:r>
          </w:p>
        </w:tc>
        <w:tc>
          <w:tcPr>
            <w:tcW w:w="1045"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85" w:type="dxa"/>
            <w:tcBorders/>
            <w:shd w:fill="FFFFFF" w:val="clear"/>
            <w:vAlign w:val="center"/>
          </w:tcPr>
          <w:p>
            <w:pPr>
              <w:pStyle w:val="TableContents"/>
              <w:spacing w:before="0" w:after="283"/>
              <w:rPr/>
            </w:pPr>
            <w:r>
              <w:rPr/>
              <w:t> </w:t>
            </w:r>
          </w:p>
        </w:tc>
        <w:tc>
          <w:tcPr>
            <w:tcW w:w="381" w:type="dxa"/>
            <w:tcBorders/>
            <w:shd w:fill="FFFFFF" w:val="clear"/>
            <w:vAlign w:val="center"/>
          </w:tcPr>
          <w:p>
            <w:pPr>
              <w:pStyle w:val="TableContents"/>
              <w:spacing w:before="0" w:after="283"/>
              <w:rPr/>
            </w:pPr>
            <w:r>
              <w:rPr/>
              <w:t> </w:t>
            </w:r>
          </w:p>
        </w:tc>
        <w:tc>
          <w:tcPr>
            <w:tcW w:w="1045"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r>
    </w:tbl>
    <w:p>
      <w:pPr>
        <w:pStyle w:val="TextBody"/>
        <w:jc w:val="left"/>
        <w:rPr>
          <w:rFonts w:ascii="Arial" w:hAnsi="Arial"/>
          <w:b/>
        </w:rPr>
      </w:pPr>
      <w:r>
        <w:rPr>
          <w:rFonts w:ascii="Arial" w:hAnsi="Arial"/>
          <w:b/>
        </w:rPr>
        <w:t>Note 22—Pension and Other Postretirement Benefits</w:t>
      </w:r>
    </w:p>
    <w:p>
      <w:pPr>
        <w:pStyle w:val="TextBody"/>
        <w:jc w:val="left"/>
        <w:rPr/>
      </w:pPr>
      <w:r>
        <w:rPr/>
        <w:t>      </w:t>
      </w:r>
      <w:r>
        <w:rPr>
          <w:rFonts w:ascii="Arial" w:hAnsi="Arial"/>
        </w:rPr>
        <w:t>We sponsor both funded and unfunded U.S. and non-U.S. defined benefit pension plans covering the majority of our employees and retirees. Pension benefits for substantially all U.S. employees are provided through non-contributory, qualified and non-qualified defined benefit pension plans. U.S. defined benefit pension plans comprise 74 percent of our projected benefit obligation. Non-U.S. employees, who are not U.S. citizens, are covered by various retirement benefit arrangements, some of which are considered to be defined benefit pension plans for accounting purposes. Non-U.S. defined benefit pension plans comprise 26 percent of our projected benefit obligation.</w:t>
      </w:r>
    </w:p>
    <w:p>
      <w:pPr>
        <w:pStyle w:val="TextBody"/>
        <w:jc w:val="center"/>
        <w:rPr>
          <w:rFonts w:ascii="Arial" w:hAnsi="Arial"/>
        </w:rPr>
      </w:pPr>
      <w:r>
        <w:rPr>
          <w:rFonts w:ascii="Arial" w:hAnsi="Arial"/>
        </w:rPr>
        <w:t>85</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We also sponsor postretirement benefit plans that provide health care benefits and life insurance coverage to eligible retirees. Our retiree medical plans mainly cover U.S. employees who retire with pension eligibility for hospital, professional and other medical services. All non-union hourly and salaried employees joining Honeywell after January 1, 2000 are not eligible to participate in our retiree medical and life insurance plans. Most of the U.S. retiree medical plans require deductibles and copayments, and virtually all are integrated with Medicare. Retiree contributions are generally required based on coverage type, plan and Medicare eligibility. Honeywell has limited its subsidy of its retiree medical plans to a fixed-dollar amount for substantially all future retirees and for almost half of its current retirees. This cap of retiree medical benefits under our plans limits our exposure to the impact of future health care cost increases. The retiree medical and life insurance plans are not funded. Claims and expenses are paid from our operating cash flow.</w:t>
      </w:r>
    </w:p>
    <w:p>
      <w:pPr>
        <w:pStyle w:val="TextBody"/>
        <w:jc w:val="left"/>
        <w:rPr/>
      </w:pPr>
      <w:r>
        <w:rPr/>
        <w:t>      </w:t>
      </w:r>
      <w:r>
        <w:rPr>
          <w:rFonts w:ascii="Arial" w:hAnsi="Arial"/>
        </w:rPr>
        <w:t>As discussed in Note 1—Summary of Significant Accounting Policies, we adopted SFAS No. 158 as of December 31, 2006. SFAS No. 158 requires that we recognize on a prospective basis the funded status of our defined benefit pension and other postretirement benefit plans on the consolidated balance sheet and recognize as a component of accumulated other comprehensive income (loss), net of tax, the gains or losses and prior service costs or credits that arise during the period but are not recognized as components of net periodic benefit cost. Additional minimum pension liabilities and related intangible assets are also derecognized upon adoption of the new standard. The adjustment for SFAS No. 158 affected our Consolidated Balance Sheet as follows:</w:t>
      </w:r>
    </w:p>
    <w:tbl>
      <w:tblPr>
        <w:tblW w:w="5000" w:type="pct"/>
        <w:jc w:val="left"/>
        <w:tblInd w:w="0" w:type="dxa"/>
        <w:tblCellMar>
          <w:top w:w="0" w:type="dxa"/>
          <w:left w:w="0" w:type="dxa"/>
          <w:bottom w:w="0" w:type="dxa"/>
          <w:right w:w="0" w:type="dxa"/>
        </w:tblCellMar>
      </w:tblPr>
      <w:tblGrid>
        <w:gridCol w:w="433"/>
        <w:gridCol w:w="8346"/>
        <w:gridCol w:w="288"/>
        <w:gridCol w:w="187"/>
        <w:gridCol w:w="836"/>
        <w:gridCol w:w="115"/>
      </w:tblGrid>
      <w:tr>
        <w:trPr/>
        <w:tc>
          <w:tcPr>
            <w:tcW w:w="433" w:type="dxa"/>
            <w:tcBorders/>
            <w:shd w:fill="E5FFFF" w:val="clear"/>
            <w:vAlign w:val="bottom"/>
          </w:tcPr>
          <w:p>
            <w:pPr>
              <w:pStyle w:val="TableContents"/>
              <w:spacing w:before="0" w:after="283"/>
              <w:jc w:val="left"/>
              <w:rPr/>
            </w:pPr>
            <w:r>
              <w:rPr/>
              <w:t>      </w:t>
            </w:r>
          </w:p>
        </w:tc>
        <w:tc>
          <w:tcPr>
            <w:tcW w:w="8346" w:type="dxa"/>
            <w:tcBorders/>
            <w:shd w:fill="E5FFFF" w:val="clear"/>
            <w:vAlign w:val="bottom"/>
          </w:tcPr>
          <w:p>
            <w:pPr>
              <w:pStyle w:val="TableContents"/>
              <w:spacing w:before="0" w:after="283"/>
              <w:jc w:val="left"/>
              <w:rPr>
                <w:rFonts w:ascii="Arial" w:hAnsi="Arial"/>
              </w:rPr>
            </w:pPr>
            <w:r>
              <w:rPr>
                <w:rFonts w:ascii="Arial" w:hAnsi="Arial"/>
              </w:rPr>
              <w:t>Decrease in prepaid pension benefit cost</w:t>
            </w:r>
          </w:p>
        </w:tc>
        <w:tc>
          <w:tcPr>
            <w:tcW w:w="288" w:type="dxa"/>
            <w:tcBorders/>
            <w:shd w:fill="E5FFFF" w:val="clear"/>
            <w:vAlign w:val="bottom"/>
          </w:tcPr>
          <w:p>
            <w:pPr>
              <w:pStyle w:val="TableContents"/>
              <w:spacing w:before="0" w:after="283"/>
              <w:jc w:val="right"/>
              <w:rPr/>
            </w:pPr>
            <w:r>
              <w:rPr/>
              <w:t>    </w:t>
            </w:r>
          </w:p>
        </w:tc>
        <w:tc>
          <w:tcPr>
            <w:tcW w:w="187" w:type="dxa"/>
            <w:tcBorders/>
            <w:shd w:fill="E5FFFF" w:val="clear"/>
            <w:vAlign w:val="bottom"/>
          </w:tcPr>
          <w:p>
            <w:pPr>
              <w:pStyle w:val="TableContents"/>
              <w:spacing w:before="0" w:after="283"/>
              <w:jc w:val="right"/>
              <w:rPr>
                <w:rFonts w:ascii="Arial" w:hAnsi="Arial"/>
              </w:rPr>
            </w:pPr>
            <w:r>
              <w:rPr>
                <w:rFonts w:ascii="Arial" w:hAnsi="Arial"/>
              </w:rPr>
              <w:t>$</w:t>
            </w:r>
          </w:p>
        </w:tc>
        <w:tc>
          <w:tcPr>
            <w:tcW w:w="836" w:type="dxa"/>
            <w:tcBorders/>
            <w:shd w:fill="E5FFFF" w:val="clear"/>
            <w:vAlign w:val="bottom"/>
          </w:tcPr>
          <w:p>
            <w:pPr>
              <w:pStyle w:val="TableContents"/>
              <w:spacing w:before="0" w:after="283"/>
              <w:jc w:val="right"/>
              <w:rPr>
                <w:rFonts w:ascii="Arial" w:hAnsi="Arial"/>
              </w:rPr>
            </w:pPr>
            <w:r>
              <w:rPr>
                <w:rFonts w:ascii="Arial" w:hAnsi="Arial"/>
              </w:rPr>
              <w:t>(2,071</w:t>
            </w:r>
          </w:p>
        </w:tc>
        <w:tc>
          <w:tcPr>
            <w:tcW w:w="115"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33" w:type="dxa"/>
            <w:tcBorders/>
            <w:shd w:fill="FFFFFF" w:val="clear"/>
            <w:vAlign w:val="bottom"/>
          </w:tcPr>
          <w:p>
            <w:pPr>
              <w:pStyle w:val="TableContents"/>
              <w:spacing w:before="0" w:after="283"/>
              <w:jc w:val="left"/>
              <w:rPr/>
            </w:pPr>
            <w:r>
              <w:rPr/>
              <w:t>      </w:t>
            </w:r>
          </w:p>
        </w:tc>
        <w:tc>
          <w:tcPr>
            <w:tcW w:w="8346" w:type="dxa"/>
            <w:tcBorders/>
            <w:shd w:fill="FFFFFF" w:val="clear"/>
            <w:vAlign w:val="bottom"/>
          </w:tcPr>
          <w:p>
            <w:pPr>
              <w:pStyle w:val="TableContents"/>
              <w:spacing w:before="0" w:after="283"/>
              <w:jc w:val="left"/>
              <w:rPr>
                <w:rFonts w:ascii="Arial" w:hAnsi="Arial"/>
              </w:rPr>
            </w:pPr>
            <w:r>
              <w:rPr>
                <w:rFonts w:ascii="Arial" w:hAnsi="Arial"/>
              </w:rPr>
              <w:t>Decrease in intangible asset</w:t>
            </w:r>
          </w:p>
        </w:tc>
        <w:tc>
          <w:tcPr>
            <w:tcW w:w="288"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(79</w:t>
            </w:r>
          </w:p>
        </w:tc>
        <w:tc>
          <w:tcPr>
            <w:tcW w:w="11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33" w:type="dxa"/>
            <w:tcBorders/>
            <w:shd w:fill="E5FFFF" w:val="clear"/>
            <w:vAlign w:val="bottom"/>
          </w:tcPr>
          <w:p>
            <w:pPr>
              <w:pStyle w:val="TableContents"/>
              <w:spacing w:before="0" w:after="283"/>
              <w:jc w:val="left"/>
              <w:rPr/>
            </w:pPr>
            <w:r>
              <w:rPr/>
              <w:t>      </w:t>
            </w:r>
          </w:p>
        </w:tc>
        <w:tc>
          <w:tcPr>
            <w:tcW w:w="8346" w:type="dxa"/>
            <w:tcBorders/>
            <w:shd w:fill="E5FFFF" w:val="clear"/>
            <w:vAlign w:val="bottom"/>
          </w:tcPr>
          <w:p>
            <w:pPr>
              <w:pStyle w:val="TableContents"/>
              <w:spacing w:before="0" w:after="283"/>
              <w:jc w:val="left"/>
              <w:rPr>
                <w:rFonts w:ascii="Arial" w:hAnsi="Arial"/>
              </w:rPr>
            </w:pPr>
            <w:r>
              <w:rPr>
                <w:rFonts w:ascii="Arial" w:hAnsi="Arial"/>
              </w:rPr>
              <w:t>Decrease in accrued and minimum pension liability</w:t>
            </w:r>
          </w:p>
        </w:tc>
        <w:tc>
          <w:tcPr>
            <w:tcW w:w="288"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138</w:t>
            </w:r>
          </w:p>
        </w:tc>
        <w:tc>
          <w:tcPr>
            <w:tcW w:w="115" w:type="dxa"/>
            <w:tcBorders/>
            <w:shd w:fill="E5FFFF" w:val="clear"/>
            <w:vAlign w:val="center"/>
          </w:tcPr>
          <w:p>
            <w:pPr>
              <w:pStyle w:val="TableContents"/>
              <w:spacing w:before="0" w:after="283"/>
              <w:rPr/>
            </w:pPr>
            <w:r>
              <w:rPr/>
              <w:t> </w:t>
            </w:r>
          </w:p>
        </w:tc>
      </w:tr>
      <w:tr>
        <w:trPr/>
        <w:tc>
          <w:tcPr>
            <w:tcW w:w="433" w:type="dxa"/>
            <w:tcBorders/>
            <w:shd w:fill="FFFFFF" w:val="clear"/>
            <w:vAlign w:val="bottom"/>
          </w:tcPr>
          <w:p>
            <w:pPr>
              <w:pStyle w:val="TableContents"/>
              <w:spacing w:before="0" w:after="283"/>
              <w:jc w:val="left"/>
              <w:rPr/>
            </w:pPr>
            <w:r>
              <w:rPr/>
              <w:t>      </w:t>
            </w:r>
          </w:p>
        </w:tc>
        <w:tc>
          <w:tcPr>
            <w:tcW w:w="8346" w:type="dxa"/>
            <w:tcBorders/>
            <w:shd w:fill="FFFFFF" w:val="clear"/>
            <w:vAlign w:val="bottom"/>
          </w:tcPr>
          <w:p>
            <w:pPr>
              <w:pStyle w:val="TableContents"/>
              <w:spacing w:before="0" w:after="283"/>
              <w:jc w:val="left"/>
              <w:rPr>
                <w:rFonts w:ascii="Arial" w:hAnsi="Arial"/>
              </w:rPr>
            </w:pPr>
            <w:r>
              <w:rPr>
                <w:rFonts w:ascii="Arial" w:hAnsi="Arial"/>
              </w:rPr>
              <w:t>Increase in postretirement benefit obligations other than pensions</w:t>
            </w:r>
          </w:p>
        </w:tc>
        <w:tc>
          <w:tcPr>
            <w:tcW w:w="288"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(340</w:t>
            </w:r>
          </w:p>
        </w:tc>
        <w:tc>
          <w:tcPr>
            <w:tcW w:w="11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33" w:type="dxa"/>
            <w:tcBorders/>
            <w:shd w:fill="E5FFFF" w:val="clear"/>
            <w:vAlign w:val="center"/>
          </w:tcPr>
          <w:p>
            <w:pPr>
              <w:pStyle w:val="TableContents"/>
              <w:spacing w:before="0" w:after="283"/>
              <w:rPr/>
            </w:pPr>
            <w:r>
              <w:rPr/>
              <w:t> </w:t>
            </w:r>
          </w:p>
        </w:tc>
        <w:tc>
          <w:tcPr>
            <w:tcW w:w="8346" w:type="dxa"/>
            <w:tcBorders/>
            <w:shd w:fill="E5FFFF" w:val="clear"/>
            <w:vAlign w:val="center"/>
          </w:tcPr>
          <w:p>
            <w:pPr>
              <w:pStyle w:val="TableContents"/>
              <w:spacing w:before="0" w:after="283"/>
              <w:rPr/>
            </w:pPr>
            <w:r>
              <w:rPr/>
              <w:t> </w:t>
            </w:r>
          </w:p>
        </w:tc>
        <w:tc>
          <w:tcPr>
            <w:tcW w:w="288"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HorizontalLine"/>
              <w:pBdr>
                <w:bottom w:val="single" w:sz="6" w:space="0" w:color="000000"/>
              </w:pBdr>
              <w:spacing w:before="0" w:after="283"/>
              <w:rPr/>
            </w:pPr>
            <w:r>
              <w:rPr/>
            </w:r>
          </w:p>
        </w:tc>
        <w:tc>
          <w:tcPr>
            <w:tcW w:w="115" w:type="dxa"/>
            <w:tcBorders/>
            <w:shd w:fill="E5FFFF" w:val="clear"/>
            <w:vAlign w:val="center"/>
          </w:tcPr>
          <w:p>
            <w:pPr>
              <w:pStyle w:val="TableContents"/>
              <w:spacing w:before="0" w:after="283"/>
              <w:rPr/>
            </w:pPr>
            <w:r>
              <w:rPr/>
              <w:t> </w:t>
            </w:r>
          </w:p>
        </w:tc>
      </w:tr>
      <w:tr>
        <w:trPr/>
        <w:tc>
          <w:tcPr>
            <w:tcW w:w="433" w:type="dxa"/>
            <w:tcBorders/>
            <w:shd w:fill="FFFFFF" w:val="clear"/>
            <w:vAlign w:val="bottom"/>
          </w:tcPr>
          <w:p>
            <w:pPr>
              <w:pStyle w:val="TableContents"/>
              <w:spacing w:before="0" w:after="283"/>
              <w:jc w:val="left"/>
              <w:rPr/>
            </w:pPr>
            <w:r>
              <w:rPr/>
              <w:t>      </w:t>
            </w:r>
          </w:p>
        </w:tc>
        <w:tc>
          <w:tcPr>
            <w:tcW w:w="8346" w:type="dxa"/>
            <w:tcBorders/>
            <w:shd w:fill="FFFFFF" w:val="clear"/>
            <w:vAlign w:val="bottom"/>
          </w:tcPr>
          <w:p>
            <w:pPr>
              <w:pStyle w:val="TableContents"/>
              <w:spacing w:before="0" w:after="283"/>
              <w:jc w:val="left"/>
              <w:rPr>
                <w:rFonts w:ascii="Arial" w:hAnsi="Arial"/>
              </w:rPr>
            </w:pPr>
            <w:r>
              <w:rPr>
                <w:rFonts w:ascii="Arial" w:hAnsi="Arial"/>
              </w:rPr>
              <w:t>Increase in accumulated other comprehensive loss, pre-tax</w:t>
            </w:r>
          </w:p>
        </w:tc>
        <w:tc>
          <w:tcPr>
            <w:tcW w:w="288"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(2,352</w:t>
            </w:r>
          </w:p>
        </w:tc>
        <w:tc>
          <w:tcPr>
            <w:tcW w:w="11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33" w:type="dxa"/>
            <w:tcBorders/>
            <w:shd w:fill="E5FFFF" w:val="clear"/>
            <w:vAlign w:val="bottom"/>
          </w:tcPr>
          <w:p>
            <w:pPr>
              <w:pStyle w:val="TableContents"/>
              <w:spacing w:before="0" w:after="283"/>
              <w:jc w:val="left"/>
              <w:rPr/>
            </w:pPr>
            <w:r>
              <w:rPr/>
              <w:t>      </w:t>
            </w:r>
          </w:p>
        </w:tc>
        <w:tc>
          <w:tcPr>
            <w:tcW w:w="8346" w:type="dxa"/>
            <w:tcBorders/>
            <w:shd w:fill="E5FFFF" w:val="clear"/>
            <w:vAlign w:val="bottom"/>
          </w:tcPr>
          <w:p>
            <w:pPr>
              <w:pStyle w:val="TableContents"/>
              <w:spacing w:before="0" w:after="283"/>
              <w:jc w:val="left"/>
              <w:rPr>
                <w:rFonts w:ascii="Arial" w:hAnsi="Arial"/>
              </w:rPr>
            </w:pPr>
            <w:r>
              <w:rPr>
                <w:rFonts w:ascii="Arial" w:hAnsi="Arial"/>
              </w:rPr>
              <w:t>Increase in income tax benefit</w:t>
            </w:r>
          </w:p>
        </w:tc>
        <w:tc>
          <w:tcPr>
            <w:tcW w:w="288" w:type="dxa"/>
            <w:tcBorders/>
            <w:shd w:fill="E5FFFF" w:val="clear"/>
            <w:vAlign w:val="bottom"/>
          </w:tcPr>
          <w:p>
            <w:pPr>
              <w:pStyle w:val="TableContents"/>
              <w:spacing w:before="0" w:after="283"/>
              <w:jc w:val="right"/>
              <w:rPr/>
            </w:pPr>
            <w:r>
              <w:rPr/>
              <w:t>    </w:t>
            </w:r>
          </w:p>
        </w:tc>
        <w:tc>
          <w:tcPr>
            <w:tcW w:w="187"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840</w:t>
            </w:r>
          </w:p>
        </w:tc>
        <w:tc>
          <w:tcPr>
            <w:tcW w:w="115" w:type="dxa"/>
            <w:tcBorders/>
            <w:shd w:fill="E5FFFF" w:val="clear"/>
            <w:vAlign w:val="center"/>
          </w:tcPr>
          <w:p>
            <w:pPr>
              <w:pStyle w:val="TableContents"/>
              <w:spacing w:before="0" w:after="283"/>
              <w:rPr/>
            </w:pPr>
            <w:r>
              <w:rPr/>
              <w:t> </w:t>
            </w:r>
          </w:p>
        </w:tc>
      </w:tr>
      <w:tr>
        <w:trPr/>
        <w:tc>
          <w:tcPr>
            <w:tcW w:w="433" w:type="dxa"/>
            <w:tcBorders/>
            <w:shd w:fill="FFFFFF" w:val="clear"/>
            <w:vAlign w:val="center"/>
          </w:tcPr>
          <w:p>
            <w:pPr>
              <w:pStyle w:val="TableContents"/>
              <w:spacing w:before="0" w:after="283"/>
              <w:rPr/>
            </w:pPr>
            <w:r>
              <w:rPr/>
              <w:t> </w:t>
            </w:r>
          </w:p>
        </w:tc>
        <w:tc>
          <w:tcPr>
            <w:tcW w:w="8346" w:type="dxa"/>
            <w:tcBorders/>
            <w:shd w:fill="FFFFFF" w:val="clear"/>
            <w:vAlign w:val="center"/>
          </w:tcPr>
          <w:p>
            <w:pPr>
              <w:pStyle w:val="TableContents"/>
              <w:spacing w:before="0" w:after="283"/>
              <w:rPr/>
            </w:pPr>
            <w:r>
              <w:rPr/>
              <w:t> </w:t>
            </w:r>
          </w:p>
        </w:tc>
        <w:tc>
          <w:tcPr>
            <w:tcW w:w="288"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6" w:space="0" w:color="000000"/>
              </w:pBdr>
              <w:spacing w:before="0" w:after="283"/>
              <w:rPr/>
            </w:pPr>
            <w:r>
              <w:rPr/>
            </w:r>
          </w:p>
        </w:tc>
        <w:tc>
          <w:tcPr>
            <w:tcW w:w="115" w:type="dxa"/>
            <w:tcBorders/>
            <w:shd w:fill="FFFFFF" w:val="clear"/>
            <w:vAlign w:val="center"/>
          </w:tcPr>
          <w:p>
            <w:pPr>
              <w:pStyle w:val="TableContents"/>
              <w:spacing w:before="0" w:after="283"/>
              <w:rPr/>
            </w:pPr>
            <w:r>
              <w:rPr/>
              <w:t> </w:t>
            </w:r>
          </w:p>
        </w:tc>
      </w:tr>
      <w:tr>
        <w:trPr/>
        <w:tc>
          <w:tcPr>
            <w:tcW w:w="433" w:type="dxa"/>
            <w:tcBorders/>
            <w:shd w:fill="E5FFFF" w:val="clear"/>
            <w:vAlign w:val="bottom"/>
          </w:tcPr>
          <w:p>
            <w:pPr>
              <w:pStyle w:val="TableContents"/>
              <w:spacing w:before="0" w:after="283"/>
              <w:jc w:val="left"/>
              <w:rPr/>
            </w:pPr>
            <w:r>
              <w:rPr/>
              <w:t>      </w:t>
            </w:r>
          </w:p>
        </w:tc>
        <w:tc>
          <w:tcPr>
            <w:tcW w:w="8346" w:type="dxa"/>
            <w:tcBorders/>
            <w:shd w:fill="E5FFFF" w:val="clear"/>
            <w:vAlign w:val="bottom"/>
          </w:tcPr>
          <w:p>
            <w:pPr>
              <w:pStyle w:val="TableContents"/>
              <w:spacing w:before="0" w:after="283"/>
              <w:jc w:val="left"/>
              <w:rPr>
                <w:rFonts w:ascii="Arial" w:hAnsi="Arial"/>
              </w:rPr>
            </w:pPr>
            <w:r>
              <w:rPr>
                <w:rFonts w:ascii="Arial" w:hAnsi="Arial"/>
              </w:rPr>
              <w:t>Increase in accumulated other comprehensive loss, net of tax(1)</w:t>
            </w:r>
          </w:p>
        </w:tc>
        <w:tc>
          <w:tcPr>
            <w:tcW w:w="288" w:type="dxa"/>
            <w:tcBorders/>
            <w:shd w:fill="E5FFFF" w:val="clear"/>
            <w:vAlign w:val="bottom"/>
          </w:tcPr>
          <w:p>
            <w:pPr>
              <w:pStyle w:val="TableContents"/>
              <w:spacing w:before="0" w:after="283"/>
              <w:jc w:val="right"/>
              <w:rPr/>
            </w:pPr>
            <w:r>
              <w:rPr/>
              <w:t>    </w:t>
            </w:r>
          </w:p>
        </w:tc>
        <w:tc>
          <w:tcPr>
            <w:tcW w:w="187" w:type="dxa"/>
            <w:tcBorders/>
            <w:shd w:fill="E5FFFF" w:val="clear"/>
            <w:vAlign w:val="bottom"/>
          </w:tcPr>
          <w:p>
            <w:pPr>
              <w:pStyle w:val="TableContents"/>
              <w:spacing w:before="0" w:after="283"/>
              <w:jc w:val="right"/>
              <w:rPr>
                <w:rFonts w:ascii="Arial" w:hAnsi="Arial"/>
              </w:rPr>
            </w:pPr>
            <w:r>
              <w:rPr>
                <w:rFonts w:ascii="Arial" w:hAnsi="Arial"/>
              </w:rPr>
              <w:t>$</w:t>
            </w:r>
          </w:p>
        </w:tc>
        <w:tc>
          <w:tcPr>
            <w:tcW w:w="836" w:type="dxa"/>
            <w:tcBorders/>
            <w:shd w:fill="E5FFFF" w:val="clear"/>
            <w:vAlign w:val="bottom"/>
          </w:tcPr>
          <w:p>
            <w:pPr>
              <w:pStyle w:val="TableContents"/>
              <w:spacing w:before="0" w:after="283"/>
              <w:jc w:val="right"/>
              <w:rPr>
                <w:rFonts w:ascii="Arial" w:hAnsi="Arial"/>
              </w:rPr>
            </w:pPr>
            <w:r>
              <w:rPr>
                <w:rFonts w:ascii="Arial" w:hAnsi="Arial"/>
              </w:rPr>
              <w:t>(1,512</w:t>
            </w:r>
          </w:p>
        </w:tc>
        <w:tc>
          <w:tcPr>
            <w:tcW w:w="115"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33" w:type="dxa"/>
            <w:tcBorders/>
            <w:shd w:fill="FFFFFF" w:val="clear"/>
            <w:vAlign w:val="center"/>
          </w:tcPr>
          <w:p>
            <w:pPr>
              <w:pStyle w:val="TableContents"/>
              <w:spacing w:before="0" w:after="283"/>
              <w:rPr/>
            </w:pPr>
            <w:r>
              <w:rPr/>
              <w:t> </w:t>
            </w:r>
          </w:p>
        </w:tc>
        <w:tc>
          <w:tcPr>
            <w:tcW w:w="8346" w:type="dxa"/>
            <w:tcBorders/>
            <w:shd w:fill="FFFFFF" w:val="clear"/>
            <w:vAlign w:val="center"/>
          </w:tcPr>
          <w:p>
            <w:pPr>
              <w:pStyle w:val="TableContents"/>
              <w:spacing w:before="0" w:after="283"/>
              <w:rPr/>
            </w:pPr>
            <w:r>
              <w:rPr/>
              <w:t> </w:t>
            </w:r>
          </w:p>
        </w:tc>
        <w:tc>
          <w:tcPr>
            <w:tcW w:w="288" w:type="dxa"/>
            <w:tcBorders/>
            <w:shd w:fill="FFFFFF" w:val="clear"/>
            <w:vAlign w:val="bottom"/>
          </w:tcPr>
          <w:p>
            <w:pPr>
              <w:pStyle w:val="TableContents"/>
              <w:spacing w:before="0" w:after="283"/>
              <w:jc w:val="right"/>
              <w:rPr/>
            </w:pPr>
            <w:r>
              <w:rPr/>
              <w:t>    </w:t>
            </w:r>
          </w:p>
        </w:tc>
        <w:tc>
          <w:tcPr>
            <w:tcW w:w="187"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18" w:space="0" w:color="000000"/>
              </w:pBdr>
              <w:spacing w:before="0" w:after="283"/>
              <w:rPr/>
            </w:pPr>
            <w:r>
              <w:rPr/>
            </w:r>
          </w:p>
        </w:tc>
        <w:tc>
          <w:tcPr>
            <w:tcW w:w="115" w:type="dxa"/>
            <w:tcBorders/>
            <w:shd w:fill="FFFFFF" w:val="clear"/>
            <w:vAlign w:val="center"/>
          </w:tcPr>
          <w:p>
            <w:pPr>
              <w:pStyle w:val="TableContents"/>
              <w:spacing w:before="0" w:after="283"/>
              <w:rPr/>
            </w:pPr>
            <w:r>
              <w:rPr/>
              <w:t> </w:t>
            </w:r>
          </w:p>
        </w:tc>
      </w:tr>
      <w:tr>
        <w:trPr/>
        <w:tc>
          <w:tcPr>
            <w:tcW w:w="433" w:type="dxa"/>
            <w:tcBorders/>
            <w:shd w:fill="FFFFFF" w:val="clear"/>
            <w:vAlign w:val="bottom"/>
          </w:tcPr>
          <w:p>
            <w:pPr>
              <w:pStyle w:val="TableContents"/>
              <w:spacing w:before="0" w:after="283"/>
              <w:jc w:val="left"/>
              <w:rPr/>
            </w:pPr>
            <w:r>
              <w:rPr/>
              <w:t>      </w:t>
            </w:r>
          </w:p>
        </w:tc>
        <w:tc>
          <w:tcPr>
            <w:tcW w:w="8346" w:type="dxa"/>
            <w:tcBorders/>
            <w:shd w:fill="FFFFFF" w:val="clear"/>
            <w:vAlign w:val="bottom"/>
          </w:tcPr>
          <w:p>
            <w:pPr>
              <w:pStyle w:val="TableContents"/>
              <w:spacing w:before="0" w:after="283"/>
              <w:rPr>
                <w:sz w:val="4"/>
                <w:szCs w:val="4"/>
              </w:rPr>
            </w:pPr>
            <w:r>
              <w:rPr>
                <w:sz w:val="4"/>
                <w:szCs w:val="4"/>
              </w:rPr>
            </w:r>
          </w:p>
        </w:tc>
        <w:tc>
          <w:tcPr>
            <w:tcW w:w="288" w:type="dxa"/>
            <w:tcBorders/>
            <w:shd w:fill="FFFFFF" w:val="clear"/>
            <w:vAlign w:val="center"/>
          </w:tcPr>
          <w:p>
            <w:pPr>
              <w:pStyle w:val="TableContents"/>
              <w:spacing w:before="0" w:after="283"/>
              <w:rPr/>
            </w:pPr>
            <w:r>
              <w:rPr/>
              <w:t> </w:t>
            </w:r>
          </w:p>
        </w:tc>
        <w:tc>
          <w:tcPr>
            <w:tcW w:w="187"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77"/>
        <w:gridCol w:w="180"/>
        <w:gridCol w:w="9748"/>
      </w:tblGrid>
      <w:tr>
        <w:trPr/>
        <w:tc>
          <w:tcPr>
            <w:tcW w:w="277"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48" w:type="dxa"/>
            <w:tcBorders/>
            <w:shd w:fill="FFFFFF" w:val="clear"/>
            <w:vAlign w:val="center"/>
          </w:tcPr>
          <w:p>
            <w:pPr>
              <w:pStyle w:val="TableContents"/>
              <w:spacing w:before="0" w:after="283"/>
              <w:rPr/>
            </w:pPr>
            <w:r>
              <w:rPr/>
              <w:t> </w:t>
            </w:r>
          </w:p>
        </w:tc>
      </w:tr>
      <w:tr>
        <w:trPr/>
        <w:tc>
          <w:tcPr>
            <w:tcW w:w="277"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48" w:type="dxa"/>
            <w:tcBorders/>
            <w:shd w:fill="FFFFFF" w:val="clear"/>
            <w:vAlign w:val="bottom"/>
          </w:tcPr>
          <w:p>
            <w:pPr>
              <w:pStyle w:val="TableContents"/>
              <w:spacing w:before="0" w:after="283"/>
              <w:jc w:val="left"/>
              <w:rPr>
                <w:rFonts w:ascii="Arial" w:hAnsi="Arial"/>
              </w:rPr>
            </w:pPr>
            <w:r>
              <w:rPr>
                <w:rFonts w:ascii="Arial" w:hAnsi="Arial"/>
              </w:rPr>
              <w:t>Represents $1,708 million reduction of shareowners' equity including a $196 million adjustment related to our additional minimum liability.</w:t>
            </w:r>
          </w:p>
        </w:tc>
      </w:tr>
    </w:tbl>
    <w:p>
      <w:pPr>
        <w:pStyle w:val="TextBody"/>
        <w:jc w:val="center"/>
        <w:rPr>
          <w:rFonts w:ascii="Arial" w:hAnsi="Arial"/>
        </w:rPr>
      </w:pPr>
      <w:r>
        <w:rPr>
          <w:rFonts w:ascii="Arial" w:hAnsi="Arial"/>
        </w:rPr>
        <w:t>86</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The following tables summarize the balance sheet impact, including the benefit obligations, assets and funded status associated with our significant pension and other postretirement benefit plans at December 31, 2006 and 2005.</w:t>
      </w:r>
    </w:p>
    <w:tbl>
      <w:tblPr>
        <w:tblW w:w="5000" w:type="pct"/>
        <w:jc w:val="left"/>
        <w:tblInd w:w="0" w:type="dxa"/>
        <w:tblCellMar>
          <w:top w:w="0" w:type="dxa"/>
          <w:left w:w="0" w:type="dxa"/>
          <w:bottom w:w="0" w:type="dxa"/>
          <w:right w:w="0" w:type="dxa"/>
        </w:tblCellMar>
      </w:tblPr>
      <w:tblGrid>
        <w:gridCol w:w="5344"/>
        <w:gridCol w:w="240"/>
        <w:gridCol w:w="155"/>
        <w:gridCol w:w="755"/>
        <w:gridCol w:w="95"/>
        <w:gridCol w:w="240"/>
        <w:gridCol w:w="155"/>
        <w:gridCol w:w="755"/>
        <w:gridCol w:w="95"/>
        <w:gridCol w:w="240"/>
        <w:gridCol w:w="155"/>
        <w:gridCol w:w="695"/>
        <w:gridCol w:w="95"/>
        <w:gridCol w:w="240"/>
        <w:gridCol w:w="155"/>
        <w:gridCol w:w="695"/>
        <w:gridCol w:w="96"/>
      </w:tblGrid>
      <w:tr>
        <w:trPr/>
        <w:tc>
          <w:tcPr>
            <w:tcW w:w="534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250" w:type="dxa"/>
            <w:gridSpan w:val="7"/>
            <w:tcBorders/>
            <w:shd w:fill="FFFFFF" w:val="clear"/>
            <w:vAlign w:val="bottom"/>
          </w:tcPr>
          <w:p>
            <w:pPr>
              <w:pStyle w:val="TableContents"/>
              <w:spacing w:before="0" w:after="0"/>
              <w:jc w:val="center"/>
              <w:rPr>
                <w:rFonts w:ascii="Arial" w:hAnsi="Arial"/>
                <w:b/>
              </w:rPr>
            </w:pPr>
            <w:r>
              <w:rPr>
                <w:rFonts w:ascii="Arial" w:hAnsi="Arial"/>
                <w:b/>
              </w:rPr>
              <w:t>Pension Benefits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131" w:type="dxa"/>
            <w:gridSpan w:val="7"/>
            <w:tcBorders/>
            <w:shd w:fill="FFFFFF" w:val="clear"/>
            <w:vAlign w:val="bottom"/>
          </w:tcPr>
          <w:p>
            <w:pPr>
              <w:pStyle w:val="TableContents"/>
              <w:spacing w:before="0" w:after="0"/>
              <w:jc w:val="center"/>
              <w:rPr>
                <w:rFonts w:ascii="Arial" w:hAnsi="Arial"/>
                <w:b/>
              </w:rPr>
            </w:pPr>
            <w:r>
              <w:rPr>
                <w:rFonts w:ascii="Arial" w:hAnsi="Arial"/>
                <w:b/>
              </w:rPr>
              <w:t>Other</w:t>
              <w:br/>
              <w:t>Postretirement</w:t>
              <w:br/>
              <w:t>Benefits</w:t>
            </w:r>
          </w:p>
          <w:p>
            <w:pPr>
              <w:pStyle w:val="HorizontalLine"/>
              <w:pBdr>
                <w:bottom w:val="single" w:sz="6" w:space="0" w:color="000000"/>
              </w:pBdr>
              <w:spacing w:before="0" w:after="283"/>
              <w:rPr/>
            </w:pPr>
            <w:r>
              <w:rPr/>
            </w:r>
          </w:p>
        </w:tc>
      </w:tr>
      <w:tr>
        <w:trPr/>
        <w:tc>
          <w:tcPr>
            <w:tcW w:w="534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00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00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4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46"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Change in benefit obligation:</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Benefit obligation at beginning of year</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16,168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13,587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2,318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2,353</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Service cost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274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236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17</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Interest cost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908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815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122</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120</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Plan amendments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(2</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(11</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(20</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Actuarial (gains) losses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(183</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685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(14</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(74</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Acquisitions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75</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1,940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121</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Benefits paid</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(1,070</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(965</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(186</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(199</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Settlements and curtailments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(15</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Other</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844</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(127</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Benefit obligation at end of year</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17,008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16,168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2,265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2,318</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Change in plan assets:</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Fair value of plan assets at beginning of year</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14,653</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13,070</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Actual return on plan assets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1,897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1,229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Company contributions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347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105</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Acquisitions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65</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1,317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Benefits paid</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(1,070</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(965</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Other</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686</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(103</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Fair value of plan assets at end of year</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16,578</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14,653</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Funded status of plans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(430</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(1,515</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(2,265</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(2,318</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Net obligation at transition(1)</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Net loss(1)</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3,444</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552</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Prior service cost (credit)(1)</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119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(175</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Net amount recognized(1)</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755" w:type="dxa"/>
            <w:tcBorders/>
            <w:shd w:fill="FFFFFF" w:val="clear"/>
            <w:vAlign w:val="bottom"/>
          </w:tcPr>
          <w:p>
            <w:pPr>
              <w:pStyle w:val="TableContents"/>
              <w:spacing w:before="0" w:after="283"/>
              <w:jc w:val="right"/>
              <w:rPr>
                <w:rFonts w:ascii="Arial" w:hAnsi="Arial"/>
              </w:rPr>
            </w:pPr>
            <w:r>
              <w:rPr>
                <w:rFonts w:ascii="Arial" w:hAnsi="Arial"/>
              </w:rPr>
              <w:t>2,057</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(1,941</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18" w:space="0" w:color="000000"/>
              </w:pBdr>
              <w:spacing w:before="0" w:after="283"/>
              <w:rPr/>
            </w:pPr>
            <w:r>
              <w:rPr/>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Amounts recognized in Consolidated Balance Sheet consist of:</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Prepaid pension benefit cost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685</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2,716</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Intangible asset(2)</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79</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Accrued liabilities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(197</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(197</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Postretirement benefit obligations other than pensions(3)</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(2,068</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(1,744</w:t>
            </w:r>
          </w:p>
        </w:tc>
        <w:tc>
          <w:tcPr>
            <w:tcW w:w="9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Accrued pension liability(4)</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(1,115</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(767</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jc w:val="left"/>
              <w:rPr>
                <w:rFonts w:ascii="Arial" w:hAnsi="Arial"/>
              </w:rPr>
            </w:pPr>
            <w:r>
              <w:rPr>
                <w:rFonts w:ascii="Arial" w:hAnsi="Arial"/>
              </w:rPr>
              <w:t>Additional minimum liability(4)</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TableContents"/>
              <w:spacing w:before="0" w:after="283"/>
              <w:jc w:val="right"/>
              <w:rPr>
                <w:rFonts w:ascii="Arial" w:hAnsi="Arial"/>
              </w:rPr>
            </w:pPr>
            <w:r>
              <w:rPr>
                <w:rFonts w:ascii="Arial" w:hAnsi="Arial"/>
              </w:rPr>
              <w:t>(518</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w:t>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Accumulated other comprehensive income (loss)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Arial" w:hAnsi="Arial"/>
              </w:rPr>
            </w:pPr>
            <w:r>
              <w:rPr>
                <w:rFonts w:ascii="Arial" w:hAnsi="Arial"/>
              </w:rPr>
              <w:t>547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pPr>
            <w:r>
              <w:rPr/>
              <w:t>—</w:t>
            </w:r>
          </w:p>
        </w:tc>
        <w:tc>
          <w:tcPr>
            <w:tcW w:w="96" w:type="dxa"/>
            <w:tcBorders/>
            <w:shd w:fill="E5FFFF" w:val="clear"/>
            <w:vAlign w:val="center"/>
          </w:tcPr>
          <w:p>
            <w:pPr>
              <w:pStyle w:val="TableContents"/>
              <w:spacing w:before="0" w:after="283"/>
              <w:rPr/>
            </w:pPr>
            <w:r>
              <w:rPr/>
              <w:t> </w:t>
            </w:r>
          </w:p>
        </w:tc>
      </w:tr>
      <w:tr>
        <w:trPr/>
        <w:tc>
          <w:tcPr>
            <w:tcW w:w="534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5344" w:type="dxa"/>
            <w:tcBorders/>
            <w:shd w:fill="E5FFFF" w:val="clear"/>
            <w:vAlign w:val="bottom"/>
          </w:tcPr>
          <w:p>
            <w:pPr>
              <w:pStyle w:val="TableContents"/>
              <w:spacing w:before="0" w:after="283"/>
              <w:jc w:val="left"/>
              <w:rPr>
                <w:rFonts w:ascii="Arial" w:hAnsi="Arial"/>
              </w:rPr>
            </w:pPr>
            <w:r>
              <w:rPr>
                <w:rFonts w:ascii="Arial" w:hAnsi="Arial"/>
              </w:rPr>
              <w:t>Net amount recognized</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(430</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755" w:type="dxa"/>
            <w:tcBorders/>
            <w:shd w:fill="E5FFFF" w:val="clear"/>
            <w:vAlign w:val="bottom"/>
          </w:tcPr>
          <w:p>
            <w:pPr>
              <w:pStyle w:val="TableContents"/>
              <w:spacing w:before="0" w:after="283"/>
              <w:jc w:val="right"/>
              <w:rPr>
                <w:rFonts w:ascii="Arial" w:hAnsi="Arial"/>
              </w:rPr>
            </w:pPr>
            <w:r>
              <w:rPr>
                <w:rFonts w:ascii="Arial" w:hAnsi="Arial"/>
              </w:rPr>
              <w:t>2,057</w:t>
            </w:r>
          </w:p>
        </w:tc>
        <w:tc>
          <w:tcPr>
            <w:tcW w:w="95"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(2,265</w:t>
            </w:r>
          </w:p>
        </w:tc>
        <w:tc>
          <w:tcPr>
            <w:tcW w:w="95" w:type="dxa"/>
            <w:tcBorders/>
            <w:shd w:fill="E5FFFF" w:val="clear"/>
            <w:vAlign w:val="bottom"/>
          </w:tcPr>
          <w:p>
            <w:pPr>
              <w:pStyle w:val="TableContents"/>
              <w:spacing w:before="0" w:after="283"/>
              <w:jc w:val="left"/>
              <w:rPr>
                <w:rFonts w:ascii="Arial" w:hAnsi="Arial"/>
              </w:rPr>
            </w:pPr>
            <w:r>
              <w:rPr>
                <w:rFonts w:ascii="Arial" w:hAnsi="Arial"/>
              </w:rPr>
              <w: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(1,941</w:t>
            </w:r>
          </w:p>
        </w:tc>
        <w:tc>
          <w:tcPr>
            <w:tcW w:w="96"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534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96" w:type="dxa"/>
            <w:tcBorders/>
            <w:shd w:fill="FFFFFF" w:val="clear"/>
            <w:vAlign w:val="center"/>
          </w:tcPr>
          <w:p>
            <w:pPr>
              <w:pStyle w:val="TableContents"/>
              <w:spacing w:before="0" w:after="283"/>
              <w:rPr/>
            </w:pPr>
            <w:r>
              <w:rPr/>
              <w:t> </w:t>
            </w:r>
          </w:p>
        </w:tc>
      </w:tr>
      <w:tr>
        <w:trPr/>
        <w:tc>
          <w:tcPr>
            <w:tcW w:w="534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8980" w:type="dxa"/>
        <w:jc w:val="left"/>
        <w:tblInd w:w="0" w:type="dxa"/>
        <w:tblCellMar>
          <w:top w:w="0" w:type="dxa"/>
          <w:left w:w="0" w:type="dxa"/>
          <w:bottom w:w="0" w:type="dxa"/>
          <w:right w:w="0" w:type="dxa"/>
        </w:tblCellMar>
      </w:tblPr>
      <w:tblGrid>
        <w:gridCol w:w="305"/>
        <w:gridCol w:w="180"/>
        <w:gridCol w:w="8495"/>
      </w:tblGrid>
      <w:tr>
        <w:trPr/>
        <w:tc>
          <w:tcPr>
            <w:tcW w:w="305"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8495" w:type="dxa"/>
            <w:tcBorders/>
            <w:shd w:fill="FFFFFF" w:val="clear"/>
            <w:vAlign w:val="center"/>
          </w:tcPr>
          <w:p>
            <w:pPr>
              <w:pStyle w:val="TableContents"/>
              <w:spacing w:before="0" w:after="283"/>
              <w:rPr/>
            </w:pPr>
            <w:r>
              <w:rPr/>
              <w:t> </w:t>
            </w:r>
          </w:p>
        </w:tc>
      </w:tr>
      <w:tr>
        <w:trPr/>
        <w:tc>
          <w:tcPr>
            <w:tcW w:w="305"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8495" w:type="dxa"/>
            <w:tcBorders/>
            <w:shd w:fill="FFFFFF" w:val="clear"/>
            <w:vAlign w:val="bottom"/>
          </w:tcPr>
          <w:p>
            <w:pPr>
              <w:pStyle w:val="TableContents"/>
              <w:spacing w:before="0" w:after="283"/>
              <w:jc w:val="left"/>
              <w:rPr>
                <w:rFonts w:ascii="Arial" w:hAnsi="Arial"/>
              </w:rPr>
            </w:pPr>
            <w:r>
              <w:rPr>
                <w:rFonts w:ascii="Arial" w:hAnsi="Arial"/>
              </w:rPr>
              <w:t>Disclosure is not applicable in 2006 as a result of SFAS No. 158.</w:t>
            </w:r>
          </w:p>
        </w:tc>
      </w:tr>
      <w:tr>
        <w:trPr/>
        <w:tc>
          <w:tcPr>
            <w:tcW w:w="305"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8495" w:type="dxa"/>
            <w:tcBorders/>
            <w:shd w:fill="FFFFFF" w:val="clear"/>
            <w:vAlign w:val="center"/>
          </w:tcPr>
          <w:p>
            <w:pPr>
              <w:pStyle w:val="TableContents"/>
              <w:spacing w:before="0" w:after="283"/>
              <w:rPr/>
            </w:pPr>
            <w:r>
              <w:rPr/>
              <w:t> </w:t>
            </w:r>
          </w:p>
        </w:tc>
      </w:tr>
      <w:tr>
        <w:trPr/>
        <w:tc>
          <w:tcPr>
            <w:tcW w:w="305" w:type="dxa"/>
            <w:tcBorders/>
            <w:shd w:fill="FFFFFF" w:val="clear"/>
          </w:tcPr>
          <w:p>
            <w:pPr>
              <w:pStyle w:val="TableContents"/>
              <w:spacing w:before="0" w:after="283"/>
              <w:jc w:val="right"/>
              <w:rPr>
                <w:rFonts w:ascii="Arial" w:hAnsi="Arial"/>
              </w:rPr>
            </w:pPr>
            <w:r>
              <w:rPr>
                <w:rFonts w:ascii="Arial" w:hAnsi="Arial"/>
              </w:rPr>
              <w:t>(2)</w:t>
            </w:r>
          </w:p>
        </w:tc>
        <w:tc>
          <w:tcPr>
            <w:tcW w:w="180" w:type="dxa"/>
            <w:tcBorders/>
            <w:shd w:fill="FFFFFF" w:val="clear"/>
            <w:vAlign w:val="bottom"/>
          </w:tcPr>
          <w:p>
            <w:pPr>
              <w:pStyle w:val="TableContents"/>
              <w:spacing w:before="0" w:after="283"/>
              <w:jc w:val="left"/>
              <w:rPr/>
            </w:pPr>
            <w:r>
              <w:rPr/>
              <w:t>   </w:t>
            </w:r>
          </w:p>
        </w:tc>
        <w:tc>
          <w:tcPr>
            <w:tcW w:w="8495" w:type="dxa"/>
            <w:tcBorders/>
            <w:shd w:fill="FFFFFF" w:val="clear"/>
            <w:vAlign w:val="bottom"/>
          </w:tcPr>
          <w:p>
            <w:pPr>
              <w:pStyle w:val="TableContents"/>
              <w:spacing w:before="0" w:after="283"/>
              <w:jc w:val="left"/>
              <w:rPr>
                <w:rFonts w:ascii="Arial" w:hAnsi="Arial"/>
              </w:rPr>
            </w:pPr>
            <w:r>
              <w:rPr>
                <w:rFonts w:ascii="Arial" w:hAnsi="Arial"/>
              </w:rPr>
              <w:t>Included in Other Assets—Non-Current on Consolidated Balance Sheet.</w:t>
            </w:r>
          </w:p>
        </w:tc>
      </w:tr>
      <w:tr>
        <w:trPr/>
        <w:tc>
          <w:tcPr>
            <w:tcW w:w="305"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8495" w:type="dxa"/>
            <w:tcBorders/>
            <w:shd w:fill="FFFFFF" w:val="clear"/>
            <w:vAlign w:val="center"/>
          </w:tcPr>
          <w:p>
            <w:pPr>
              <w:pStyle w:val="TableContents"/>
              <w:spacing w:before="0" w:after="283"/>
              <w:rPr/>
            </w:pPr>
            <w:r>
              <w:rPr/>
              <w:t> </w:t>
            </w:r>
          </w:p>
        </w:tc>
      </w:tr>
      <w:tr>
        <w:trPr/>
        <w:tc>
          <w:tcPr>
            <w:tcW w:w="305" w:type="dxa"/>
            <w:tcBorders/>
            <w:shd w:fill="FFFFFF" w:val="clear"/>
          </w:tcPr>
          <w:p>
            <w:pPr>
              <w:pStyle w:val="TableContents"/>
              <w:spacing w:before="0" w:after="283"/>
              <w:jc w:val="right"/>
              <w:rPr>
                <w:rFonts w:ascii="Arial" w:hAnsi="Arial"/>
              </w:rPr>
            </w:pPr>
            <w:r>
              <w:rPr>
                <w:rFonts w:ascii="Arial" w:hAnsi="Arial"/>
              </w:rPr>
              <w:t>(3)</w:t>
            </w:r>
          </w:p>
        </w:tc>
        <w:tc>
          <w:tcPr>
            <w:tcW w:w="180" w:type="dxa"/>
            <w:tcBorders/>
            <w:shd w:fill="FFFFFF" w:val="clear"/>
            <w:vAlign w:val="bottom"/>
          </w:tcPr>
          <w:p>
            <w:pPr>
              <w:pStyle w:val="TableContents"/>
              <w:spacing w:before="0" w:after="283"/>
              <w:jc w:val="left"/>
              <w:rPr/>
            </w:pPr>
            <w:r>
              <w:rPr/>
              <w:t>   </w:t>
            </w:r>
          </w:p>
        </w:tc>
        <w:tc>
          <w:tcPr>
            <w:tcW w:w="8495" w:type="dxa"/>
            <w:tcBorders/>
            <w:shd w:fill="FFFFFF" w:val="clear"/>
            <w:vAlign w:val="bottom"/>
          </w:tcPr>
          <w:p>
            <w:pPr>
              <w:pStyle w:val="TableContents"/>
              <w:spacing w:before="0" w:after="283"/>
              <w:jc w:val="left"/>
              <w:rPr>
                <w:rFonts w:ascii="Arial" w:hAnsi="Arial"/>
              </w:rPr>
            </w:pPr>
            <w:r>
              <w:rPr>
                <w:rFonts w:ascii="Arial" w:hAnsi="Arial"/>
              </w:rPr>
              <w:t>Excludes Non-U.S. plans of $22 and $42 million in 2006 and 2005, respectively.</w:t>
            </w:r>
          </w:p>
        </w:tc>
      </w:tr>
      <w:tr>
        <w:trPr/>
        <w:tc>
          <w:tcPr>
            <w:tcW w:w="305"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8495" w:type="dxa"/>
            <w:tcBorders/>
            <w:shd w:fill="FFFFFF" w:val="clear"/>
            <w:vAlign w:val="center"/>
          </w:tcPr>
          <w:p>
            <w:pPr>
              <w:pStyle w:val="TableContents"/>
              <w:spacing w:before="0" w:after="283"/>
              <w:rPr/>
            </w:pPr>
            <w:r>
              <w:rPr/>
              <w:t> </w:t>
            </w:r>
          </w:p>
        </w:tc>
      </w:tr>
      <w:tr>
        <w:trPr/>
        <w:tc>
          <w:tcPr>
            <w:tcW w:w="305" w:type="dxa"/>
            <w:tcBorders/>
            <w:shd w:fill="FFFFFF" w:val="clear"/>
          </w:tcPr>
          <w:p>
            <w:pPr>
              <w:pStyle w:val="TableContents"/>
              <w:spacing w:before="0" w:after="283"/>
              <w:jc w:val="right"/>
              <w:rPr>
                <w:rFonts w:ascii="Arial" w:hAnsi="Arial"/>
              </w:rPr>
            </w:pPr>
            <w:r>
              <w:rPr>
                <w:rFonts w:ascii="Arial" w:hAnsi="Arial"/>
              </w:rPr>
              <w:t>(4)</w:t>
            </w:r>
          </w:p>
        </w:tc>
        <w:tc>
          <w:tcPr>
            <w:tcW w:w="180" w:type="dxa"/>
            <w:tcBorders/>
            <w:shd w:fill="FFFFFF" w:val="clear"/>
            <w:vAlign w:val="bottom"/>
          </w:tcPr>
          <w:p>
            <w:pPr>
              <w:pStyle w:val="TableContents"/>
              <w:spacing w:before="0" w:after="283"/>
              <w:jc w:val="left"/>
              <w:rPr/>
            </w:pPr>
            <w:r>
              <w:rPr/>
              <w:t>   </w:t>
            </w:r>
          </w:p>
        </w:tc>
        <w:tc>
          <w:tcPr>
            <w:tcW w:w="8495" w:type="dxa"/>
            <w:tcBorders/>
            <w:shd w:fill="FFFFFF" w:val="clear"/>
            <w:vAlign w:val="bottom"/>
          </w:tcPr>
          <w:p>
            <w:pPr>
              <w:pStyle w:val="TableContents"/>
              <w:spacing w:before="0" w:after="283"/>
              <w:jc w:val="left"/>
              <w:rPr>
                <w:rFonts w:ascii="Arial" w:hAnsi="Arial"/>
              </w:rPr>
            </w:pPr>
            <w:r>
              <w:rPr>
                <w:rFonts w:ascii="Arial" w:hAnsi="Arial"/>
              </w:rPr>
              <w:t>Included in Other Liabilities—Non-Current on Consolidated Balance Sheet.</w:t>
            </w:r>
          </w:p>
        </w:tc>
      </w:tr>
    </w:tbl>
    <w:p>
      <w:pPr>
        <w:pStyle w:val="TextBody"/>
        <w:jc w:val="center"/>
        <w:rPr>
          <w:rFonts w:ascii="Arial" w:hAnsi="Arial"/>
        </w:rPr>
      </w:pPr>
      <w:r>
        <w:rPr>
          <w:rFonts w:ascii="Arial" w:hAnsi="Arial"/>
        </w:rPr>
        <w:t>87</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tbl>
      <w:tblPr>
        <w:tblW w:w="5000" w:type="pct"/>
        <w:jc w:val="left"/>
        <w:tblInd w:w="0" w:type="dxa"/>
        <w:tblCellMar>
          <w:top w:w="0" w:type="dxa"/>
          <w:left w:w="0" w:type="dxa"/>
          <w:bottom w:w="0" w:type="dxa"/>
          <w:right w:w="0" w:type="dxa"/>
        </w:tblCellMar>
      </w:tblPr>
      <w:tblGrid>
        <w:gridCol w:w="7059"/>
        <w:gridCol w:w="240"/>
        <w:gridCol w:w="179"/>
        <w:gridCol w:w="716"/>
        <w:gridCol w:w="70"/>
        <w:gridCol w:w="240"/>
        <w:gridCol w:w="351"/>
        <w:gridCol w:w="1133"/>
        <w:gridCol w:w="217"/>
      </w:tblGrid>
      <w:tr>
        <w:trPr/>
        <w:tc>
          <w:tcPr>
            <w:tcW w:w="705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65" w:type="dxa"/>
            <w:gridSpan w:val="3"/>
            <w:tcBorders/>
            <w:shd w:fill="FFFFFF" w:val="clear"/>
            <w:vAlign w:val="bottom"/>
          </w:tcPr>
          <w:p>
            <w:pPr>
              <w:pStyle w:val="TableContents"/>
              <w:spacing w:before="0" w:after="0"/>
              <w:jc w:val="center"/>
              <w:rPr>
                <w:rFonts w:ascii="Arial" w:hAnsi="Arial"/>
                <w:b/>
              </w:rPr>
            </w:pPr>
            <w:r>
              <w:rPr>
                <w:rFonts w:ascii="Arial" w:hAnsi="Arial"/>
                <w:b/>
              </w:rPr>
              <w:t>Pension</w:t>
              <w:br/>
              <w:t>Benefits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701" w:type="dxa"/>
            <w:gridSpan w:val="3"/>
            <w:tcBorders/>
            <w:shd w:fill="FFFFFF" w:val="clear"/>
            <w:vAlign w:val="bottom"/>
          </w:tcPr>
          <w:p>
            <w:pPr>
              <w:pStyle w:val="TableContents"/>
              <w:spacing w:before="0" w:after="0"/>
              <w:jc w:val="center"/>
              <w:rPr>
                <w:rFonts w:ascii="Arial" w:hAnsi="Arial"/>
                <w:b/>
              </w:rPr>
            </w:pPr>
            <w:r>
              <w:rPr>
                <w:rFonts w:ascii="Arial" w:hAnsi="Arial"/>
                <w:b/>
              </w:rPr>
              <w:t>Other</w:t>
              <w:br/>
              <w:t>Postretirement</w:t>
              <w:br/>
              <w:t>Benefits</w:t>
            </w:r>
          </w:p>
          <w:p>
            <w:pPr>
              <w:pStyle w:val="HorizontalLine"/>
              <w:pBdr>
                <w:bottom w:val="single" w:sz="6" w:space="0" w:color="000000"/>
              </w:pBdr>
              <w:spacing w:before="0" w:after="283"/>
              <w:rPr/>
            </w:pPr>
            <w:r>
              <w:rPr/>
            </w:r>
          </w:p>
        </w:tc>
      </w:tr>
      <w:tr>
        <w:trPr/>
        <w:tc>
          <w:tcPr>
            <w:tcW w:w="705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6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1701"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r>
      <w:tr>
        <w:trPr/>
        <w:tc>
          <w:tcPr>
            <w:tcW w:w="7059" w:type="dxa"/>
            <w:tcBorders/>
            <w:shd w:fill="E5FFFF" w:val="clear"/>
            <w:vAlign w:val="bottom"/>
          </w:tcPr>
          <w:p>
            <w:pPr>
              <w:pStyle w:val="TableContents"/>
              <w:spacing w:before="0" w:after="283"/>
              <w:jc w:val="left"/>
              <w:rPr>
                <w:rFonts w:ascii="Arial" w:hAnsi="Arial"/>
              </w:rPr>
            </w:pPr>
            <w:r>
              <w:rPr>
                <w:rFonts w:ascii="Arial" w:hAnsi="Arial"/>
              </w:rPr>
              <w:t>Amounts recognized in Accumulated Other Comprehensive Income (loss) at December 31, 2006</w:t>
            </w:r>
          </w:p>
        </w:tc>
        <w:tc>
          <w:tcPr>
            <w:tcW w:w="240" w:type="dxa"/>
            <w:tcBorders/>
            <w:shd w:fill="E5FFFF" w:val="clear"/>
            <w:vAlign w:val="center"/>
          </w:tcPr>
          <w:p>
            <w:pPr>
              <w:pStyle w:val="TableContents"/>
              <w:spacing w:before="0" w:after="283"/>
              <w:rPr/>
            </w:pPr>
            <w:r>
              <w:rPr/>
              <w:t> </w:t>
            </w:r>
          </w:p>
        </w:tc>
        <w:tc>
          <w:tcPr>
            <w:tcW w:w="179" w:type="dxa"/>
            <w:tcBorders/>
            <w:shd w:fill="E5FFFF" w:val="clear"/>
            <w:vAlign w:val="center"/>
          </w:tcPr>
          <w:p>
            <w:pPr>
              <w:pStyle w:val="TableContents"/>
              <w:spacing w:before="0" w:after="283"/>
              <w:rPr/>
            </w:pPr>
            <w:r>
              <w:rPr/>
              <w:t> </w:t>
            </w:r>
          </w:p>
        </w:tc>
        <w:tc>
          <w:tcPr>
            <w:tcW w:w="716" w:type="dxa"/>
            <w:tcBorders/>
            <w:shd w:fill="E5FFFF" w:val="clear"/>
            <w:vAlign w:val="center"/>
          </w:tcPr>
          <w:p>
            <w:pPr>
              <w:pStyle w:val="TableContents"/>
              <w:spacing w:before="0" w:after="283"/>
              <w:rPr/>
            </w:pPr>
            <w:r>
              <w:rPr/>
              <w:t> </w:t>
            </w:r>
          </w:p>
        </w:tc>
        <w:tc>
          <w:tcPr>
            <w:tcW w:w="7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351" w:type="dxa"/>
            <w:tcBorders/>
            <w:shd w:fill="E5FFFF" w:val="clear"/>
            <w:vAlign w:val="center"/>
          </w:tcPr>
          <w:p>
            <w:pPr>
              <w:pStyle w:val="TableContents"/>
              <w:spacing w:before="0" w:after="283"/>
              <w:rPr/>
            </w:pPr>
            <w:r>
              <w:rPr/>
              <w:t> </w:t>
            </w:r>
          </w:p>
        </w:tc>
        <w:tc>
          <w:tcPr>
            <w:tcW w:w="1133" w:type="dxa"/>
            <w:tcBorders/>
            <w:shd w:fill="E5FFFF" w:val="clear"/>
            <w:vAlign w:val="center"/>
          </w:tcPr>
          <w:p>
            <w:pPr>
              <w:pStyle w:val="TableContents"/>
              <w:spacing w:before="0" w:after="283"/>
              <w:rPr/>
            </w:pPr>
            <w:r>
              <w:rPr/>
              <w:t> </w:t>
            </w:r>
          </w:p>
        </w:tc>
        <w:tc>
          <w:tcPr>
            <w:tcW w:w="217" w:type="dxa"/>
            <w:tcBorders/>
            <w:shd w:fill="E5FFFF" w:val="clear"/>
            <w:vAlign w:val="center"/>
          </w:tcPr>
          <w:p>
            <w:pPr>
              <w:pStyle w:val="TableContents"/>
              <w:spacing w:before="0" w:after="283"/>
              <w:rPr/>
            </w:pPr>
            <w:r>
              <w:rPr/>
              <w:t> </w:t>
            </w:r>
          </w:p>
        </w:tc>
      </w:tr>
      <w:tr>
        <w:trPr/>
        <w:tc>
          <w:tcPr>
            <w:tcW w:w="7059" w:type="dxa"/>
            <w:tcBorders/>
            <w:shd w:fill="FFFFFF" w:val="clear"/>
            <w:vAlign w:val="bottom"/>
          </w:tcPr>
          <w:p>
            <w:pPr>
              <w:pStyle w:val="TableContents"/>
              <w:spacing w:before="0" w:after="283"/>
              <w:jc w:val="left"/>
              <w:rPr>
                <w:rFonts w:ascii="Arial" w:hAnsi="Arial"/>
              </w:rPr>
            </w:pPr>
            <w:r>
              <w:rPr>
                <w:rFonts w:ascii="Arial" w:hAnsi="Arial"/>
              </w:rPr>
              <w:t>Transition obligation</w:t>
            </w:r>
          </w:p>
        </w:tc>
        <w:tc>
          <w:tcPr>
            <w:tcW w:w="24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right"/>
              <w:rPr>
                <w:rFonts w:ascii="Arial" w:hAnsi="Arial"/>
              </w:rPr>
            </w:pPr>
            <w:r>
              <w:rPr>
                <w:rFonts w:ascii="Arial" w:hAnsi="Arial"/>
              </w:rPr>
              <w:t>$</w:t>
            </w:r>
          </w:p>
        </w:tc>
        <w:tc>
          <w:tcPr>
            <w:tcW w:w="716" w:type="dxa"/>
            <w:tcBorders/>
            <w:shd w:fill="FFFFFF" w:val="clear"/>
            <w:vAlign w:val="bottom"/>
          </w:tcPr>
          <w:p>
            <w:pPr>
              <w:pStyle w:val="TableContents"/>
              <w:spacing w:before="0" w:after="283"/>
              <w:jc w:val="right"/>
              <w:rPr>
                <w:rFonts w:ascii="Arial" w:hAnsi="Arial"/>
              </w:rPr>
            </w:pPr>
            <w:r>
              <w:rPr>
                <w:rFonts w:ascii="Arial" w:hAnsi="Arial"/>
              </w:rPr>
              <w:t>11</w:t>
            </w:r>
          </w:p>
        </w:tc>
        <w:tc>
          <w:tcPr>
            <w:tcW w:w="7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1" w:type="dxa"/>
            <w:tcBorders/>
            <w:shd w:fill="FFFFFF" w:val="clear"/>
            <w:vAlign w:val="bottom"/>
          </w:tcPr>
          <w:p>
            <w:pPr>
              <w:pStyle w:val="TableContents"/>
              <w:spacing w:before="0" w:after="283"/>
              <w:jc w:val="right"/>
              <w:rPr>
                <w:rFonts w:ascii="Arial" w:hAnsi="Arial"/>
              </w:rPr>
            </w:pPr>
            <w:r>
              <w:rPr>
                <w:rFonts w:ascii="Arial" w:hAnsi="Arial"/>
              </w:rPr>
              <w:t>$</w:t>
            </w:r>
          </w:p>
        </w:tc>
        <w:tc>
          <w:tcPr>
            <w:tcW w:w="1133" w:type="dxa"/>
            <w:tcBorders/>
            <w:shd w:fill="FFFFFF" w:val="clear"/>
            <w:vAlign w:val="bottom"/>
          </w:tcPr>
          <w:p>
            <w:pPr>
              <w:pStyle w:val="TableContents"/>
              <w:spacing w:before="0" w:after="283"/>
              <w:jc w:val="right"/>
              <w:rPr/>
            </w:pPr>
            <w:r>
              <w:rPr/>
              <w:t>—</w:t>
            </w:r>
          </w:p>
        </w:tc>
        <w:tc>
          <w:tcPr>
            <w:tcW w:w="217" w:type="dxa"/>
            <w:tcBorders/>
            <w:shd w:fill="FFFFFF" w:val="clear"/>
            <w:vAlign w:val="center"/>
          </w:tcPr>
          <w:p>
            <w:pPr>
              <w:pStyle w:val="TableContents"/>
              <w:spacing w:before="0" w:after="283"/>
              <w:rPr/>
            </w:pPr>
            <w:r>
              <w:rPr/>
              <w:t> </w:t>
            </w:r>
          </w:p>
        </w:tc>
      </w:tr>
      <w:tr>
        <w:trPr/>
        <w:tc>
          <w:tcPr>
            <w:tcW w:w="7059" w:type="dxa"/>
            <w:tcBorders/>
            <w:shd w:fill="E5FFFF" w:val="clear"/>
            <w:vAlign w:val="bottom"/>
          </w:tcPr>
          <w:p>
            <w:pPr>
              <w:pStyle w:val="TableContents"/>
              <w:spacing w:before="0" w:after="283"/>
              <w:jc w:val="left"/>
              <w:rPr>
                <w:rFonts w:ascii="Arial" w:hAnsi="Arial"/>
              </w:rPr>
            </w:pPr>
            <w:r>
              <w:rPr>
                <w:rFonts w:ascii="Arial" w:hAnsi="Arial"/>
              </w:rPr>
              <w:t>Prior service cost or (benefit)</w:t>
            </w:r>
          </w:p>
        </w:tc>
        <w:tc>
          <w:tcPr>
            <w:tcW w:w="240"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6" w:type="dxa"/>
            <w:tcBorders/>
            <w:shd w:fill="E5FFFF" w:val="clear"/>
            <w:vAlign w:val="bottom"/>
          </w:tcPr>
          <w:p>
            <w:pPr>
              <w:pStyle w:val="TableContents"/>
              <w:spacing w:before="0" w:after="283"/>
              <w:jc w:val="right"/>
              <w:rPr>
                <w:rFonts w:ascii="Arial" w:hAnsi="Arial"/>
              </w:rPr>
            </w:pPr>
            <w:r>
              <w:rPr>
                <w:rFonts w:ascii="Arial" w:hAnsi="Arial"/>
              </w:rPr>
              <w:t>98</w:t>
            </w:r>
          </w:p>
        </w:tc>
        <w:tc>
          <w:tcPr>
            <w:tcW w:w="7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51" w:type="dxa"/>
            <w:tcBorders/>
            <w:shd w:fill="E5FFFF" w:val="clear"/>
            <w:vAlign w:val="center"/>
          </w:tcPr>
          <w:p>
            <w:pPr>
              <w:pStyle w:val="TableContents"/>
              <w:spacing w:before="0" w:after="283"/>
              <w:rPr/>
            </w:pPr>
            <w:r>
              <w:rPr/>
              <w:t> </w:t>
            </w:r>
          </w:p>
        </w:tc>
        <w:tc>
          <w:tcPr>
            <w:tcW w:w="1133" w:type="dxa"/>
            <w:tcBorders/>
            <w:shd w:fill="E5FFFF" w:val="clear"/>
            <w:vAlign w:val="bottom"/>
          </w:tcPr>
          <w:p>
            <w:pPr>
              <w:pStyle w:val="TableContents"/>
              <w:spacing w:before="0" w:after="283"/>
              <w:jc w:val="right"/>
              <w:rPr>
                <w:rFonts w:ascii="Arial" w:hAnsi="Arial"/>
              </w:rPr>
            </w:pPr>
            <w:r>
              <w:rPr>
                <w:rFonts w:ascii="Arial" w:hAnsi="Arial"/>
              </w:rPr>
              <w:t>(146</w:t>
            </w:r>
          </w:p>
        </w:tc>
        <w:tc>
          <w:tcPr>
            <w:tcW w:w="217"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7059" w:type="dxa"/>
            <w:tcBorders/>
            <w:shd w:fill="FFFFFF" w:val="clear"/>
            <w:vAlign w:val="bottom"/>
          </w:tcPr>
          <w:p>
            <w:pPr>
              <w:pStyle w:val="TableContents"/>
              <w:spacing w:before="0" w:after="283"/>
              <w:jc w:val="left"/>
              <w:rPr>
                <w:rFonts w:ascii="Arial" w:hAnsi="Arial"/>
              </w:rPr>
            </w:pPr>
            <w:r>
              <w:rPr>
                <w:rFonts w:ascii="Arial" w:hAnsi="Arial"/>
              </w:rPr>
              <w:t>Actuarial losses</w:t>
            </w:r>
          </w:p>
        </w:tc>
        <w:tc>
          <w:tcPr>
            <w:tcW w:w="240" w:type="dxa"/>
            <w:tcBorders/>
            <w:shd w:fill="FFFFFF" w:val="clear"/>
            <w:vAlign w:val="bottom"/>
          </w:tcPr>
          <w:p>
            <w:pPr>
              <w:pStyle w:val="TableContents"/>
              <w:spacing w:before="0" w:after="283"/>
              <w:jc w:val="right"/>
              <w:rPr/>
            </w:pPr>
            <w:r>
              <w:rPr/>
              <w:t>    </w:t>
            </w:r>
          </w:p>
        </w:tc>
        <w:tc>
          <w:tcPr>
            <w:tcW w:w="179" w:type="dxa"/>
            <w:tcBorders/>
            <w:shd w:fill="FFFFFF" w:val="clear"/>
            <w:vAlign w:val="center"/>
          </w:tcPr>
          <w:p>
            <w:pPr>
              <w:pStyle w:val="TableContents"/>
              <w:spacing w:before="0" w:after="283"/>
              <w:rPr/>
            </w:pPr>
            <w:r>
              <w:rPr/>
              <w:t> </w:t>
            </w:r>
          </w:p>
        </w:tc>
        <w:tc>
          <w:tcPr>
            <w:tcW w:w="716" w:type="dxa"/>
            <w:tcBorders/>
            <w:shd w:fill="FFFFFF" w:val="clear"/>
            <w:vAlign w:val="bottom"/>
          </w:tcPr>
          <w:p>
            <w:pPr>
              <w:pStyle w:val="TableContents"/>
              <w:spacing w:before="0" w:after="283"/>
              <w:jc w:val="right"/>
              <w:rPr>
                <w:rFonts w:ascii="Arial" w:hAnsi="Arial"/>
              </w:rPr>
            </w:pPr>
            <w:r>
              <w:rPr>
                <w:rFonts w:ascii="Arial" w:hAnsi="Arial"/>
              </w:rPr>
              <w:t>2,423</w:t>
            </w:r>
          </w:p>
        </w:tc>
        <w:tc>
          <w:tcPr>
            <w:tcW w:w="7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1" w:type="dxa"/>
            <w:tcBorders/>
            <w:shd w:fill="FFFFFF" w:val="clear"/>
            <w:vAlign w:val="center"/>
          </w:tcPr>
          <w:p>
            <w:pPr>
              <w:pStyle w:val="TableContents"/>
              <w:spacing w:before="0" w:after="283"/>
              <w:rPr/>
            </w:pPr>
            <w:r>
              <w:rPr/>
              <w:t> </w:t>
            </w:r>
          </w:p>
        </w:tc>
        <w:tc>
          <w:tcPr>
            <w:tcW w:w="1133" w:type="dxa"/>
            <w:tcBorders/>
            <w:shd w:fill="FFFFFF" w:val="clear"/>
            <w:vAlign w:val="bottom"/>
          </w:tcPr>
          <w:p>
            <w:pPr>
              <w:pStyle w:val="TableContents"/>
              <w:spacing w:before="0" w:after="283"/>
              <w:jc w:val="right"/>
              <w:rPr>
                <w:rFonts w:ascii="Arial" w:hAnsi="Arial"/>
              </w:rPr>
            </w:pPr>
            <w:r>
              <w:rPr>
                <w:rFonts w:ascii="Arial" w:hAnsi="Arial"/>
              </w:rPr>
              <w:t>486</w:t>
            </w:r>
          </w:p>
        </w:tc>
        <w:tc>
          <w:tcPr>
            <w:tcW w:w="217" w:type="dxa"/>
            <w:tcBorders/>
            <w:shd w:fill="FFFFFF" w:val="clear"/>
            <w:vAlign w:val="center"/>
          </w:tcPr>
          <w:p>
            <w:pPr>
              <w:pStyle w:val="TableContents"/>
              <w:spacing w:before="0" w:after="283"/>
              <w:rPr/>
            </w:pPr>
            <w:r>
              <w:rPr/>
              <w:t> </w:t>
            </w:r>
          </w:p>
        </w:tc>
      </w:tr>
      <w:tr>
        <w:trPr/>
        <w:tc>
          <w:tcPr>
            <w:tcW w:w="705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6" w:type="dxa"/>
            <w:tcBorders/>
            <w:shd w:fill="E5FFFF" w:val="clear"/>
            <w:vAlign w:val="bottom"/>
          </w:tcPr>
          <w:p>
            <w:pPr>
              <w:pStyle w:val="HorizontalLine"/>
              <w:pBdr>
                <w:bottom w:val="single" w:sz="6" w:space="0" w:color="000000"/>
              </w:pBdr>
              <w:spacing w:before="0" w:after="283"/>
              <w:rPr/>
            </w:pPr>
            <w:r>
              <w:rPr/>
            </w:r>
          </w:p>
        </w:tc>
        <w:tc>
          <w:tcPr>
            <w:tcW w:w="7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51" w:type="dxa"/>
            <w:tcBorders/>
            <w:shd w:fill="E5FFFF" w:val="clear"/>
            <w:vAlign w:val="center"/>
          </w:tcPr>
          <w:p>
            <w:pPr>
              <w:pStyle w:val="TableContents"/>
              <w:spacing w:before="0" w:after="283"/>
              <w:rPr/>
            </w:pPr>
            <w:r>
              <w:rPr/>
              <w:t> </w:t>
            </w:r>
          </w:p>
        </w:tc>
        <w:tc>
          <w:tcPr>
            <w:tcW w:w="1133" w:type="dxa"/>
            <w:tcBorders/>
            <w:shd w:fill="E5FFFF" w:val="clear"/>
            <w:vAlign w:val="bottom"/>
          </w:tcPr>
          <w:p>
            <w:pPr>
              <w:pStyle w:val="HorizontalLine"/>
              <w:pBdr>
                <w:bottom w:val="single" w:sz="6" w:space="0" w:color="000000"/>
              </w:pBdr>
              <w:spacing w:before="0" w:after="283"/>
              <w:rPr/>
            </w:pPr>
            <w:r>
              <w:rPr/>
            </w:r>
          </w:p>
        </w:tc>
        <w:tc>
          <w:tcPr>
            <w:tcW w:w="217" w:type="dxa"/>
            <w:tcBorders/>
            <w:shd w:fill="E5FFFF" w:val="clear"/>
            <w:vAlign w:val="center"/>
          </w:tcPr>
          <w:p>
            <w:pPr>
              <w:pStyle w:val="TableContents"/>
              <w:spacing w:before="0" w:after="283"/>
              <w:rPr/>
            </w:pPr>
            <w:r>
              <w:rPr/>
              <w:t> </w:t>
            </w:r>
          </w:p>
        </w:tc>
      </w:tr>
      <w:tr>
        <w:trPr/>
        <w:tc>
          <w:tcPr>
            <w:tcW w:w="7059" w:type="dxa"/>
            <w:tcBorders/>
            <w:shd w:fill="FFFFFF" w:val="clear"/>
            <w:vAlign w:val="bottom"/>
          </w:tcPr>
          <w:p>
            <w:pPr>
              <w:pStyle w:val="TableContents"/>
              <w:spacing w:before="0" w:after="283"/>
              <w:jc w:val="left"/>
              <w:rPr>
                <w:rFonts w:ascii="Arial" w:hAnsi="Arial"/>
              </w:rPr>
            </w:pPr>
            <w:r>
              <w:rPr>
                <w:rFonts w:ascii="Arial" w:hAnsi="Arial"/>
              </w:rPr>
              <w:t>Net amount recognized</w:t>
            </w:r>
          </w:p>
        </w:tc>
        <w:tc>
          <w:tcPr>
            <w:tcW w:w="24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right"/>
              <w:rPr>
                <w:rFonts w:ascii="Arial" w:hAnsi="Arial"/>
              </w:rPr>
            </w:pPr>
            <w:r>
              <w:rPr>
                <w:rFonts w:ascii="Arial" w:hAnsi="Arial"/>
              </w:rPr>
              <w:t>$</w:t>
            </w:r>
          </w:p>
        </w:tc>
        <w:tc>
          <w:tcPr>
            <w:tcW w:w="716" w:type="dxa"/>
            <w:tcBorders/>
            <w:shd w:fill="FFFFFF" w:val="clear"/>
            <w:vAlign w:val="bottom"/>
          </w:tcPr>
          <w:p>
            <w:pPr>
              <w:pStyle w:val="TableContents"/>
              <w:spacing w:before="0" w:after="283"/>
              <w:jc w:val="right"/>
              <w:rPr>
                <w:rFonts w:ascii="Arial" w:hAnsi="Arial"/>
              </w:rPr>
            </w:pPr>
            <w:r>
              <w:rPr>
                <w:rFonts w:ascii="Arial" w:hAnsi="Arial"/>
              </w:rPr>
              <w:t>2,532</w:t>
            </w:r>
          </w:p>
        </w:tc>
        <w:tc>
          <w:tcPr>
            <w:tcW w:w="7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351" w:type="dxa"/>
            <w:tcBorders/>
            <w:shd w:fill="FFFFFF" w:val="clear"/>
            <w:vAlign w:val="bottom"/>
          </w:tcPr>
          <w:p>
            <w:pPr>
              <w:pStyle w:val="TableContents"/>
              <w:spacing w:before="0" w:after="283"/>
              <w:jc w:val="right"/>
              <w:rPr>
                <w:rFonts w:ascii="Arial" w:hAnsi="Arial"/>
              </w:rPr>
            </w:pPr>
            <w:r>
              <w:rPr>
                <w:rFonts w:ascii="Arial" w:hAnsi="Arial"/>
              </w:rPr>
              <w:t>$</w:t>
            </w:r>
          </w:p>
        </w:tc>
        <w:tc>
          <w:tcPr>
            <w:tcW w:w="1133" w:type="dxa"/>
            <w:tcBorders/>
            <w:shd w:fill="FFFFFF" w:val="clear"/>
            <w:vAlign w:val="bottom"/>
          </w:tcPr>
          <w:p>
            <w:pPr>
              <w:pStyle w:val="TableContents"/>
              <w:spacing w:before="0" w:after="283"/>
              <w:jc w:val="right"/>
              <w:rPr>
                <w:rFonts w:ascii="Arial" w:hAnsi="Arial"/>
              </w:rPr>
            </w:pPr>
            <w:r>
              <w:rPr>
                <w:rFonts w:ascii="Arial" w:hAnsi="Arial"/>
              </w:rPr>
              <w:t>340</w:t>
            </w:r>
          </w:p>
        </w:tc>
        <w:tc>
          <w:tcPr>
            <w:tcW w:w="217" w:type="dxa"/>
            <w:tcBorders/>
            <w:shd w:fill="FFFFFF" w:val="clear"/>
            <w:vAlign w:val="center"/>
          </w:tcPr>
          <w:p>
            <w:pPr>
              <w:pStyle w:val="TableContents"/>
              <w:spacing w:before="0" w:after="283"/>
              <w:rPr/>
            </w:pPr>
            <w:r>
              <w:rPr/>
              <w:t> </w:t>
            </w:r>
          </w:p>
        </w:tc>
      </w:tr>
      <w:tr>
        <w:trPr/>
        <w:tc>
          <w:tcPr>
            <w:tcW w:w="7059"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79" w:type="dxa"/>
            <w:tcBorders/>
            <w:shd w:fill="E5FFFF" w:val="clear"/>
            <w:vAlign w:val="center"/>
          </w:tcPr>
          <w:p>
            <w:pPr>
              <w:pStyle w:val="TableContents"/>
              <w:spacing w:before="0" w:after="283"/>
              <w:rPr/>
            </w:pPr>
            <w:r>
              <w:rPr/>
              <w:t> </w:t>
            </w:r>
          </w:p>
        </w:tc>
        <w:tc>
          <w:tcPr>
            <w:tcW w:w="716" w:type="dxa"/>
            <w:tcBorders/>
            <w:shd w:fill="E5FFFF" w:val="clear"/>
            <w:vAlign w:val="bottom"/>
          </w:tcPr>
          <w:p>
            <w:pPr>
              <w:pStyle w:val="HorizontalLine"/>
              <w:pBdr>
                <w:bottom w:val="single" w:sz="18" w:space="0" w:color="000000"/>
              </w:pBdr>
              <w:spacing w:before="0" w:after="283"/>
              <w:rPr/>
            </w:pPr>
            <w:r>
              <w:rPr/>
            </w:r>
          </w:p>
        </w:tc>
        <w:tc>
          <w:tcPr>
            <w:tcW w:w="7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351" w:type="dxa"/>
            <w:tcBorders/>
            <w:shd w:fill="E5FFFF" w:val="clear"/>
            <w:vAlign w:val="center"/>
          </w:tcPr>
          <w:p>
            <w:pPr>
              <w:pStyle w:val="TableContents"/>
              <w:spacing w:before="0" w:after="283"/>
              <w:rPr/>
            </w:pPr>
            <w:r>
              <w:rPr/>
              <w:t> </w:t>
            </w:r>
          </w:p>
        </w:tc>
        <w:tc>
          <w:tcPr>
            <w:tcW w:w="1133" w:type="dxa"/>
            <w:tcBorders/>
            <w:shd w:fill="E5FFFF" w:val="clear"/>
            <w:vAlign w:val="bottom"/>
          </w:tcPr>
          <w:p>
            <w:pPr>
              <w:pStyle w:val="HorizontalLine"/>
              <w:pBdr>
                <w:bottom w:val="single" w:sz="18" w:space="0" w:color="000000"/>
              </w:pBdr>
              <w:spacing w:before="0" w:after="283"/>
              <w:rPr/>
            </w:pPr>
            <w:r>
              <w:rPr/>
            </w:r>
          </w:p>
        </w:tc>
        <w:tc>
          <w:tcPr>
            <w:tcW w:w="217" w:type="dxa"/>
            <w:tcBorders/>
            <w:shd w:fill="E5FFFF" w:val="clear"/>
            <w:vAlign w:val="center"/>
          </w:tcPr>
          <w:p>
            <w:pPr>
              <w:pStyle w:val="TableContents"/>
              <w:spacing w:before="0" w:after="283"/>
              <w:rPr/>
            </w:pPr>
            <w:r>
              <w:rPr/>
              <w:t> </w:t>
            </w:r>
          </w:p>
        </w:tc>
      </w:tr>
      <w:tr>
        <w:trPr/>
        <w:tc>
          <w:tcPr>
            <w:tcW w:w="705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79" w:type="dxa"/>
            <w:tcBorders/>
            <w:shd w:fill="FFFFFF" w:val="clear"/>
            <w:vAlign w:val="center"/>
          </w:tcPr>
          <w:p>
            <w:pPr>
              <w:pStyle w:val="TableContents"/>
              <w:spacing w:before="0" w:after="283"/>
              <w:rPr/>
            </w:pPr>
            <w:r>
              <w:rPr/>
              <w:t> </w:t>
            </w:r>
          </w:p>
        </w:tc>
        <w:tc>
          <w:tcPr>
            <w:tcW w:w="716" w:type="dxa"/>
            <w:tcBorders/>
            <w:shd w:fill="FFFFFF" w:val="clear"/>
            <w:vAlign w:val="center"/>
          </w:tcPr>
          <w:p>
            <w:pPr>
              <w:pStyle w:val="TableContents"/>
              <w:spacing w:before="0" w:after="283"/>
              <w:rPr/>
            </w:pPr>
            <w:r>
              <w:rPr/>
              <w:t> </w:t>
            </w:r>
          </w:p>
        </w:tc>
        <w:tc>
          <w:tcPr>
            <w:tcW w:w="7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351" w:type="dxa"/>
            <w:tcBorders/>
            <w:shd w:fill="FFFFFF" w:val="clear"/>
            <w:vAlign w:val="center"/>
          </w:tcPr>
          <w:p>
            <w:pPr>
              <w:pStyle w:val="TableContents"/>
              <w:spacing w:before="0" w:after="283"/>
              <w:rPr/>
            </w:pPr>
            <w:r>
              <w:rPr/>
              <w:t> </w:t>
            </w:r>
          </w:p>
        </w:tc>
        <w:tc>
          <w:tcPr>
            <w:tcW w:w="1133"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accumulated benefit obligation for our defined benefit pension plans was $16.2 and $15.4 billion at December 31, 2006 and 2005, respectively.</w:t>
      </w:r>
    </w:p>
    <w:p>
      <w:pPr>
        <w:pStyle w:val="TextBody"/>
        <w:jc w:val="left"/>
        <w:rPr/>
      </w:pPr>
      <w:r>
        <w:rPr/>
        <w:t>      </w:t>
      </w:r>
      <w:r>
        <w:rPr>
          <w:rFonts w:ascii="Arial" w:hAnsi="Arial"/>
        </w:rPr>
        <w:t>Net periodic pension and other postretirement benefit costs for our significant plans include the following components:</w:t>
      </w:r>
    </w:p>
    <w:tbl>
      <w:tblPr>
        <w:tblW w:w="5000" w:type="pct"/>
        <w:jc w:val="left"/>
        <w:tblInd w:w="0" w:type="dxa"/>
        <w:tblCellMar>
          <w:top w:w="0" w:type="dxa"/>
          <w:left w:w="0" w:type="dxa"/>
          <w:bottom w:w="0" w:type="dxa"/>
          <w:right w:w="0" w:type="dxa"/>
        </w:tblCellMar>
      </w:tblPr>
      <w:tblGrid>
        <w:gridCol w:w="584"/>
        <w:gridCol w:w="5444"/>
        <w:gridCol w:w="242"/>
        <w:gridCol w:w="178"/>
        <w:gridCol w:w="836"/>
        <w:gridCol w:w="134"/>
        <w:gridCol w:w="242"/>
        <w:gridCol w:w="178"/>
        <w:gridCol w:w="836"/>
        <w:gridCol w:w="134"/>
        <w:gridCol w:w="242"/>
        <w:gridCol w:w="178"/>
        <w:gridCol w:w="836"/>
        <w:gridCol w:w="141"/>
      </w:tblGrid>
      <w:tr>
        <w:trPr/>
        <w:tc>
          <w:tcPr>
            <w:tcW w:w="584" w:type="dxa"/>
            <w:tcBorders/>
            <w:shd w:fill="FFFFFF" w:val="clear"/>
            <w:vAlign w:val="center"/>
          </w:tcPr>
          <w:p>
            <w:pPr>
              <w:pStyle w:val="TableContents"/>
              <w:spacing w:before="0" w:after="283"/>
              <w:rPr/>
            </w:pPr>
            <w:r>
              <w:rPr/>
              <w:t> </w:t>
            </w:r>
          </w:p>
        </w:tc>
        <w:tc>
          <w:tcPr>
            <w:tcW w:w="544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3935" w:type="dxa"/>
            <w:gridSpan w:val="11"/>
            <w:tcBorders/>
            <w:shd w:fill="FFFFFF" w:val="clear"/>
            <w:vAlign w:val="bottom"/>
          </w:tcPr>
          <w:p>
            <w:pPr>
              <w:pStyle w:val="TableContents"/>
              <w:spacing w:before="0" w:after="0"/>
              <w:jc w:val="center"/>
              <w:rPr>
                <w:rFonts w:ascii="Arial" w:hAnsi="Arial"/>
                <w:b/>
              </w:rPr>
            </w:pPr>
            <w:r>
              <w:rPr>
                <w:rFonts w:ascii="Arial" w:hAnsi="Arial"/>
                <w:b/>
              </w:rPr>
              <w:t>Pension Benefits</w:t>
            </w:r>
          </w:p>
          <w:p>
            <w:pPr>
              <w:pStyle w:val="HorizontalLine"/>
              <w:pBdr>
                <w:bottom w:val="single" w:sz="6" w:space="0" w:color="000000"/>
              </w:pBdr>
              <w:spacing w:before="0" w:after="283"/>
              <w:rPr/>
            </w:pPr>
            <w:r>
              <w:rPr/>
            </w:r>
          </w:p>
        </w:tc>
      </w:tr>
      <w:tr>
        <w:trPr/>
        <w:tc>
          <w:tcPr>
            <w:tcW w:w="584" w:type="dxa"/>
            <w:tcBorders/>
            <w:shd w:fill="FFFFFF" w:val="clear"/>
            <w:vAlign w:val="center"/>
          </w:tcPr>
          <w:p>
            <w:pPr>
              <w:pStyle w:val="TableContents"/>
              <w:spacing w:before="0" w:after="283"/>
              <w:rPr/>
            </w:pPr>
            <w:r>
              <w:rPr/>
              <w:t> </w:t>
            </w:r>
          </w:p>
        </w:tc>
        <w:tc>
          <w:tcPr>
            <w:tcW w:w="544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3935"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584" w:type="dxa"/>
            <w:tcBorders/>
            <w:shd w:fill="FFFFFF" w:val="clear"/>
            <w:vAlign w:val="center"/>
          </w:tcPr>
          <w:p>
            <w:pPr>
              <w:pStyle w:val="TableContents"/>
              <w:spacing w:before="0" w:after="283"/>
              <w:rPr/>
            </w:pPr>
            <w:r>
              <w:rPr/>
              <w:t> </w:t>
            </w:r>
          </w:p>
        </w:tc>
        <w:tc>
          <w:tcPr>
            <w:tcW w:w="544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148"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148"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1155"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584" w:type="dxa"/>
            <w:tcBorders/>
            <w:shd w:fill="FFFFFF" w:val="clear"/>
            <w:vAlign w:val="bottom"/>
          </w:tcPr>
          <w:p>
            <w:pPr>
              <w:pStyle w:val="TableContents"/>
              <w:spacing w:before="0" w:after="283"/>
              <w:jc w:val="left"/>
              <w:rPr/>
            </w:pPr>
            <w:r>
              <w:rPr/>
              <w:t>      </w:t>
            </w:r>
          </w:p>
        </w:tc>
        <w:tc>
          <w:tcPr>
            <w:tcW w:w="5444" w:type="dxa"/>
            <w:tcBorders/>
            <w:shd w:fill="FFFFFF" w:val="clear"/>
            <w:vAlign w:val="bottom"/>
          </w:tcPr>
          <w:p>
            <w:pPr>
              <w:pStyle w:val="TableContents"/>
              <w:spacing w:before="0" w:after="283"/>
              <w:jc w:val="left"/>
              <w:rPr>
                <w:rFonts w:ascii="Arial" w:hAnsi="Arial"/>
              </w:rPr>
            </w:pPr>
            <w:r>
              <w:rPr>
                <w:rFonts w:ascii="Arial" w:hAnsi="Arial"/>
              </w:rPr>
              <w:t>Service cost</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right"/>
              <w:rPr>
                <w:rFonts w:ascii="Arial" w:hAnsi="Arial"/>
              </w:rPr>
            </w:pPr>
            <w:r>
              <w:rPr>
                <w:rFonts w:ascii="Arial" w:hAnsi="Arial"/>
              </w:rPr>
              <w:t>$</w:t>
            </w:r>
          </w:p>
        </w:tc>
        <w:tc>
          <w:tcPr>
            <w:tcW w:w="836" w:type="dxa"/>
            <w:tcBorders/>
            <w:shd w:fill="FFFFFF" w:val="clear"/>
            <w:vAlign w:val="bottom"/>
          </w:tcPr>
          <w:p>
            <w:pPr>
              <w:pStyle w:val="TableContents"/>
              <w:spacing w:before="0" w:after="283"/>
              <w:jc w:val="right"/>
              <w:rPr>
                <w:rFonts w:ascii="Arial" w:hAnsi="Arial"/>
              </w:rPr>
            </w:pPr>
            <w:r>
              <w:rPr>
                <w:rFonts w:ascii="Arial" w:hAnsi="Arial"/>
              </w:rPr>
              <w:t>274</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right"/>
              <w:rPr>
                <w:rFonts w:ascii="Arial" w:hAnsi="Arial"/>
              </w:rPr>
            </w:pPr>
            <w:r>
              <w:rPr>
                <w:rFonts w:ascii="Arial" w:hAnsi="Arial"/>
              </w:rPr>
              <w:t>$</w:t>
            </w:r>
          </w:p>
        </w:tc>
        <w:tc>
          <w:tcPr>
            <w:tcW w:w="836" w:type="dxa"/>
            <w:tcBorders/>
            <w:shd w:fill="FFFFFF" w:val="clear"/>
            <w:vAlign w:val="bottom"/>
          </w:tcPr>
          <w:p>
            <w:pPr>
              <w:pStyle w:val="TableContents"/>
              <w:spacing w:before="0" w:after="283"/>
              <w:jc w:val="right"/>
              <w:rPr>
                <w:rFonts w:ascii="Arial" w:hAnsi="Arial"/>
              </w:rPr>
            </w:pPr>
            <w:r>
              <w:rPr>
                <w:rFonts w:ascii="Arial" w:hAnsi="Arial"/>
              </w:rPr>
              <w:t>236</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right"/>
              <w:rPr>
                <w:rFonts w:ascii="Arial" w:hAnsi="Arial"/>
              </w:rPr>
            </w:pPr>
            <w:r>
              <w:rPr>
                <w:rFonts w:ascii="Arial" w:hAnsi="Arial"/>
              </w:rPr>
              <w:t>$</w:t>
            </w:r>
          </w:p>
        </w:tc>
        <w:tc>
          <w:tcPr>
            <w:tcW w:w="836" w:type="dxa"/>
            <w:tcBorders/>
            <w:shd w:fill="FFFFFF" w:val="clear"/>
            <w:vAlign w:val="bottom"/>
          </w:tcPr>
          <w:p>
            <w:pPr>
              <w:pStyle w:val="TableContents"/>
              <w:spacing w:before="0" w:after="283"/>
              <w:jc w:val="right"/>
              <w:rPr>
                <w:rFonts w:ascii="Arial" w:hAnsi="Arial"/>
              </w:rPr>
            </w:pPr>
            <w:r>
              <w:rPr>
                <w:rFonts w:ascii="Arial" w:hAnsi="Arial"/>
              </w:rPr>
              <w:t>222</w:t>
            </w:r>
          </w:p>
        </w:tc>
        <w:tc>
          <w:tcPr>
            <w:tcW w:w="141" w:type="dxa"/>
            <w:tcBorders/>
            <w:shd w:fill="FFFFFF" w:val="clear"/>
            <w:vAlign w:val="center"/>
          </w:tcPr>
          <w:p>
            <w:pPr>
              <w:pStyle w:val="TableContents"/>
              <w:spacing w:before="0" w:after="283"/>
              <w:rPr/>
            </w:pPr>
            <w:r>
              <w:rPr/>
              <w:t> </w:t>
            </w:r>
          </w:p>
        </w:tc>
      </w:tr>
      <w:tr>
        <w:trPr/>
        <w:tc>
          <w:tcPr>
            <w:tcW w:w="584" w:type="dxa"/>
            <w:tcBorders/>
            <w:shd w:fill="E5FFFF" w:val="clear"/>
            <w:vAlign w:val="bottom"/>
          </w:tcPr>
          <w:p>
            <w:pPr>
              <w:pStyle w:val="TableContents"/>
              <w:spacing w:before="0" w:after="283"/>
              <w:jc w:val="left"/>
              <w:rPr/>
            </w:pPr>
            <w:r>
              <w:rPr/>
              <w:t>      </w:t>
            </w:r>
          </w:p>
        </w:tc>
        <w:tc>
          <w:tcPr>
            <w:tcW w:w="5444" w:type="dxa"/>
            <w:tcBorders/>
            <w:shd w:fill="E5FFFF" w:val="clear"/>
            <w:vAlign w:val="bottom"/>
          </w:tcPr>
          <w:p>
            <w:pPr>
              <w:pStyle w:val="TableContents"/>
              <w:spacing w:before="0" w:after="283"/>
              <w:jc w:val="left"/>
              <w:rPr>
                <w:rFonts w:ascii="Arial" w:hAnsi="Arial"/>
              </w:rPr>
            </w:pPr>
            <w:r>
              <w:rPr>
                <w:rFonts w:ascii="Arial" w:hAnsi="Arial"/>
              </w:rPr>
              <w:t>Interest cost</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908</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815</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755</w:t>
            </w:r>
          </w:p>
        </w:tc>
        <w:tc>
          <w:tcPr>
            <w:tcW w:w="141" w:type="dxa"/>
            <w:tcBorders/>
            <w:shd w:fill="E5FFFF" w:val="clear"/>
            <w:vAlign w:val="center"/>
          </w:tcPr>
          <w:p>
            <w:pPr>
              <w:pStyle w:val="TableContents"/>
              <w:spacing w:before="0" w:after="283"/>
              <w:rPr/>
            </w:pPr>
            <w:r>
              <w:rPr/>
              <w:t> </w:t>
            </w:r>
          </w:p>
        </w:tc>
      </w:tr>
      <w:tr>
        <w:trPr/>
        <w:tc>
          <w:tcPr>
            <w:tcW w:w="584" w:type="dxa"/>
            <w:tcBorders/>
            <w:shd w:fill="FFFFFF" w:val="clear"/>
            <w:vAlign w:val="bottom"/>
          </w:tcPr>
          <w:p>
            <w:pPr>
              <w:pStyle w:val="TableContents"/>
              <w:spacing w:before="0" w:after="283"/>
              <w:jc w:val="left"/>
              <w:rPr/>
            </w:pPr>
            <w:r>
              <w:rPr/>
              <w:t>      </w:t>
            </w:r>
          </w:p>
        </w:tc>
        <w:tc>
          <w:tcPr>
            <w:tcW w:w="5444" w:type="dxa"/>
            <w:tcBorders/>
            <w:shd w:fill="FFFFFF" w:val="clear"/>
            <w:vAlign w:val="bottom"/>
          </w:tcPr>
          <w:p>
            <w:pPr>
              <w:pStyle w:val="TableContents"/>
              <w:spacing w:before="0" w:after="283"/>
              <w:jc w:val="left"/>
              <w:rPr>
                <w:rFonts w:ascii="Arial" w:hAnsi="Arial"/>
              </w:rPr>
            </w:pPr>
            <w:r>
              <w:rPr>
                <w:rFonts w:ascii="Arial" w:hAnsi="Arial"/>
              </w:rPr>
              <w:t>Expected return on plan assets</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(1,251</w:t>
            </w:r>
          </w:p>
        </w:tc>
        <w:tc>
          <w:tcPr>
            <w:tcW w:w="134"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(1,104</w:t>
            </w:r>
          </w:p>
        </w:tc>
        <w:tc>
          <w:tcPr>
            <w:tcW w:w="134"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(1,042</w:t>
            </w:r>
          </w:p>
        </w:tc>
        <w:tc>
          <w:tcPr>
            <w:tcW w:w="141"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584" w:type="dxa"/>
            <w:tcBorders/>
            <w:shd w:fill="E5FFFF" w:val="clear"/>
            <w:vAlign w:val="bottom"/>
          </w:tcPr>
          <w:p>
            <w:pPr>
              <w:pStyle w:val="TableContents"/>
              <w:spacing w:before="0" w:after="283"/>
              <w:jc w:val="left"/>
              <w:rPr/>
            </w:pPr>
            <w:r>
              <w:rPr/>
              <w:t>      </w:t>
            </w:r>
          </w:p>
        </w:tc>
        <w:tc>
          <w:tcPr>
            <w:tcW w:w="5444" w:type="dxa"/>
            <w:tcBorders/>
            <w:shd w:fill="E5FFFF" w:val="clear"/>
            <w:vAlign w:val="bottom"/>
          </w:tcPr>
          <w:p>
            <w:pPr>
              <w:pStyle w:val="TableContents"/>
              <w:spacing w:before="0" w:after="283"/>
              <w:jc w:val="left"/>
              <w:rPr>
                <w:rFonts w:ascii="Arial" w:hAnsi="Arial"/>
              </w:rPr>
            </w:pPr>
            <w:r>
              <w:rPr>
                <w:rFonts w:ascii="Arial" w:hAnsi="Arial"/>
              </w:rPr>
              <w:t>Amortization of prior service cost</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27</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30</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38</w:t>
            </w:r>
          </w:p>
        </w:tc>
        <w:tc>
          <w:tcPr>
            <w:tcW w:w="141" w:type="dxa"/>
            <w:tcBorders/>
            <w:shd w:fill="E5FFFF" w:val="clear"/>
            <w:vAlign w:val="center"/>
          </w:tcPr>
          <w:p>
            <w:pPr>
              <w:pStyle w:val="TableContents"/>
              <w:spacing w:before="0" w:after="283"/>
              <w:rPr/>
            </w:pPr>
            <w:r>
              <w:rPr/>
              <w:t> </w:t>
            </w:r>
          </w:p>
        </w:tc>
      </w:tr>
      <w:tr>
        <w:trPr/>
        <w:tc>
          <w:tcPr>
            <w:tcW w:w="584" w:type="dxa"/>
            <w:tcBorders/>
            <w:shd w:fill="FFFFFF" w:val="clear"/>
            <w:vAlign w:val="bottom"/>
          </w:tcPr>
          <w:p>
            <w:pPr>
              <w:pStyle w:val="TableContents"/>
              <w:spacing w:before="0" w:after="283"/>
              <w:jc w:val="left"/>
              <w:rPr/>
            </w:pPr>
            <w:r>
              <w:rPr/>
              <w:t>      </w:t>
            </w:r>
          </w:p>
        </w:tc>
        <w:tc>
          <w:tcPr>
            <w:tcW w:w="5444" w:type="dxa"/>
            <w:tcBorders/>
            <w:shd w:fill="FFFFFF" w:val="clear"/>
            <w:vAlign w:val="bottom"/>
          </w:tcPr>
          <w:p>
            <w:pPr>
              <w:pStyle w:val="TableContents"/>
              <w:spacing w:before="0" w:after="283"/>
              <w:jc w:val="left"/>
              <w:rPr>
                <w:rFonts w:ascii="Arial" w:hAnsi="Arial"/>
              </w:rPr>
            </w:pPr>
            <w:r>
              <w:rPr>
                <w:rFonts w:ascii="Arial" w:hAnsi="Arial"/>
              </w:rPr>
              <w:t>Recognition of actuarial losses</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348</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392</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TableContents"/>
              <w:spacing w:before="0" w:after="283"/>
              <w:jc w:val="right"/>
              <w:rPr>
                <w:rFonts w:ascii="Arial" w:hAnsi="Arial"/>
              </w:rPr>
            </w:pPr>
            <w:r>
              <w:rPr>
                <w:rFonts w:ascii="Arial" w:hAnsi="Arial"/>
              </w:rPr>
              <w:t>413</w:t>
            </w:r>
          </w:p>
        </w:tc>
        <w:tc>
          <w:tcPr>
            <w:tcW w:w="141" w:type="dxa"/>
            <w:tcBorders/>
            <w:shd w:fill="FFFFFF" w:val="clear"/>
            <w:vAlign w:val="center"/>
          </w:tcPr>
          <w:p>
            <w:pPr>
              <w:pStyle w:val="TableContents"/>
              <w:spacing w:before="0" w:after="283"/>
              <w:rPr/>
            </w:pPr>
            <w:r>
              <w:rPr/>
              <w:t> </w:t>
            </w:r>
          </w:p>
        </w:tc>
      </w:tr>
      <w:tr>
        <w:trPr/>
        <w:tc>
          <w:tcPr>
            <w:tcW w:w="584" w:type="dxa"/>
            <w:tcBorders/>
            <w:shd w:fill="E5FFFF" w:val="clear"/>
            <w:vAlign w:val="bottom"/>
          </w:tcPr>
          <w:p>
            <w:pPr>
              <w:pStyle w:val="TableContents"/>
              <w:spacing w:before="0" w:after="283"/>
              <w:jc w:val="left"/>
              <w:rPr/>
            </w:pPr>
            <w:r>
              <w:rPr/>
              <w:t>      </w:t>
            </w:r>
          </w:p>
        </w:tc>
        <w:tc>
          <w:tcPr>
            <w:tcW w:w="5444" w:type="dxa"/>
            <w:tcBorders/>
            <w:shd w:fill="E5FFFF" w:val="clear"/>
            <w:vAlign w:val="bottom"/>
          </w:tcPr>
          <w:p>
            <w:pPr>
              <w:pStyle w:val="TableContents"/>
              <w:spacing w:before="0" w:after="283"/>
              <w:jc w:val="left"/>
              <w:rPr>
                <w:rFonts w:ascii="Arial" w:hAnsi="Arial"/>
              </w:rPr>
            </w:pPr>
            <w:r>
              <w:rPr>
                <w:rFonts w:ascii="Arial" w:hAnsi="Arial"/>
              </w:rPr>
              <w:t>Settlements and curtailments</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rFonts w:ascii="Arial" w:hAnsi="Arial"/>
              </w:rPr>
            </w:pPr>
            <w:r>
              <w:rPr>
                <w:rFonts w:ascii="Arial" w:hAnsi="Arial"/>
              </w:rPr>
              <w:t>(13</w:t>
            </w:r>
          </w:p>
        </w:tc>
        <w:tc>
          <w:tcPr>
            <w:tcW w:w="134" w:type="dxa"/>
            <w:tcBorders/>
            <w:shd w:fill="E5FFFF" w:val="clear"/>
            <w:vAlign w:val="bottom"/>
          </w:tcPr>
          <w:p>
            <w:pPr>
              <w:pStyle w:val="TableContents"/>
              <w:spacing w:before="0" w:after="283"/>
              <w:jc w:val="left"/>
              <w:rPr>
                <w:rFonts w:ascii="Arial" w:hAnsi="Arial"/>
              </w:rPr>
            </w:pPr>
            <w:r>
              <w:rPr>
                <w:rFonts w:ascii="Arial" w:hAnsi="Arial"/>
              </w:rPr>
              <w:t>)</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pPr>
            <w:r>
              <w:rPr/>
              <w:t>—</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836" w:type="dxa"/>
            <w:tcBorders/>
            <w:shd w:fill="E5FFFF" w:val="clear"/>
            <w:vAlign w:val="bottom"/>
          </w:tcPr>
          <w:p>
            <w:pPr>
              <w:pStyle w:val="TableContents"/>
              <w:spacing w:before="0" w:after="283"/>
              <w:jc w:val="right"/>
              <w:rPr/>
            </w:pPr>
            <w:r>
              <w:rPr/>
              <w:t>—</w:t>
            </w:r>
          </w:p>
        </w:tc>
        <w:tc>
          <w:tcPr>
            <w:tcW w:w="141" w:type="dxa"/>
            <w:tcBorders/>
            <w:shd w:fill="E5FFFF" w:val="clear"/>
            <w:vAlign w:val="center"/>
          </w:tcPr>
          <w:p>
            <w:pPr>
              <w:pStyle w:val="TableContents"/>
              <w:spacing w:before="0" w:after="283"/>
              <w:rPr/>
            </w:pPr>
            <w:r>
              <w:rPr/>
              <w:t> </w:t>
            </w:r>
          </w:p>
        </w:tc>
      </w:tr>
      <w:tr>
        <w:trPr/>
        <w:tc>
          <w:tcPr>
            <w:tcW w:w="584" w:type="dxa"/>
            <w:tcBorders/>
            <w:shd w:fill="FFFFFF" w:val="clear"/>
            <w:vAlign w:val="center"/>
          </w:tcPr>
          <w:p>
            <w:pPr>
              <w:pStyle w:val="TableContents"/>
              <w:spacing w:before="0" w:after="283"/>
              <w:rPr/>
            </w:pPr>
            <w:r>
              <w:rPr/>
              <w:t> </w:t>
            </w:r>
          </w:p>
        </w:tc>
        <w:tc>
          <w:tcPr>
            <w:tcW w:w="544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6"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6"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6" w:space="0" w:color="000000"/>
              </w:pBdr>
              <w:spacing w:before="0" w:after="283"/>
              <w:rPr/>
            </w:pPr>
            <w:r>
              <w:rPr/>
            </w:r>
          </w:p>
        </w:tc>
        <w:tc>
          <w:tcPr>
            <w:tcW w:w="141" w:type="dxa"/>
            <w:tcBorders/>
            <w:shd w:fill="FFFFFF" w:val="clear"/>
            <w:vAlign w:val="center"/>
          </w:tcPr>
          <w:p>
            <w:pPr>
              <w:pStyle w:val="TableContents"/>
              <w:spacing w:before="0" w:after="283"/>
              <w:rPr/>
            </w:pPr>
            <w:r>
              <w:rPr/>
              <w:t> </w:t>
            </w:r>
          </w:p>
        </w:tc>
      </w:tr>
      <w:tr>
        <w:trPr/>
        <w:tc>
          <w:tcPr>
            <w:tcW w:w="584" w:type="dxa"/>
            <w:tcBorders/>
            <w:shd w:fill="E5FFFF" w:val="clear"/>
            <w:vAlign w:val="bottom"/>
          </w:tcPr>
          <w:p>
            <w:pPr>
              <w:pStyle w:val="TableContents"/>
              <w:spacing w:before="0" w:after="283"/>
              <w:jc w:val="left"/>
              <w:rPr/>
            </w:pPr>
            <w:r>
              <w:rPr/>
              <w:t>      </w:t>
            </w:r>
          </w:p>
        </w:tc>
        <w:tc>
          <w:tcPr>
            <w:tcW w:w="5444" w:type="dxa"/>
            <w:tcBorders/>
            <w:shd w:fill="E5FFFF" w:val="clear"/>
            <w:vAlign w:val="bottom"/>
          </w:tcPr>
          <w:p>
            <w:pPr>
              <w:pStyle w:val="TableContents"/>
              <w:spacing w:before="0" w:after="283"/>
              <w:jc w:val="left"/>
              <w:rPr>
                <w:rFonts w:ascii="Arial" w:hAnsi="Arial"/>
              </w:rPr>
            </w:pPr>
            <w:r>
              <w:rPr>
                <w:rFonts w:ascii="Arial" w:hAnsi="Arial"/>
              </w:rPr>
              <w:t>Net periodic benefit cost</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bottom"/>
          </w:tcPr>
          <w:p>
            <w:pPr>
              <w:pStyle w:val="TableContents"/>
              <w:spacing w:before="0" w:after="283"/>
              <w:jc w:val="right"/>
              <w:rPr>
                <w:rFonts w:ascii="Arial" w:hAnsi="Arial"/>
              </w:rPr>
            </w:pPr>
            <w:r>
              <w:rPr>
                <w:rFonts w:ascii="Arial" w:hAnsi="Arial"/>
              </w:rPr>
              <w:t>$</w:t>
            </w:r>
          </w:p>
        </w:tc>
        <w:tc>
          <w:tcPr>
            <w:tcW w:w="836" w:type="dxa"/>
            <w:tcBorders/>
            <w:shd w:fill="E5FFFF" w:val="clear"/>
            <w:vAlign w:val="bottom"/>
          </w:tcPr>
          <w:p>
            <w:pPr>
              <w:pStyle w:val="TableContents"/>
              <w:spacing w:before="0" w:after="283"/>
              <w:jc w:val="right"/>
              <w:rPr>
                <w:rFonts w:ascii="Arial" w:hAnsi="Arial"/>
              </w:rPr>
            </w:pPr>
            <w:r>
              <w:rPr>
                <w:rFonts w:ascii="Arial" w:hAnsi="Arial"/>
              </w:rPr>
              <w:t>293</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bottom"/>
          </w:tcPr>
          <w:p>
            <w:pPr>
              <w:pStyle w:val="TableContents"/>
              <w:spacing w:before="0" w:after="283"/>
              <w:jc w:val="right"/>
              <w:rPr>
                <w:rFonts w:ascii="Arial" w:hAnsi="Arial"/>
              </w:rPr>
            </w:pPr>
            <w:r>
              <w:rPr>
                <w:rFonts w:ascii="Arial" w:hAnsi="Arial"/>
              </w:rPr>
              <w:t>$</w:t>
            </w:r>
          </w:p>
        </w:tc>
        <w:tc>
          <w:tcPr>
            <w:tcW w:w="836" w:type="dxa"/>
            <w:tcBorders/>
            <w:shd w:fill="E5FFFF" w:val="clear"/>
            <w:vAlign w:val="bottom"/>
          </w:tcPr>
          <w:p>
            <w:pPr>
              <w:pStyle w:val="TableContents"/>
              <w:spacing w:before="0" w:after="283"/>
              <w:jc w:val="right"/>
              <w:rPr>
                <w:rFonts w:ascii="Arial" w:hAnsi="Arial"/>
              </w:rPr>
            </w:pPr>
            <w:r>
              <w:rPr>
                <w:rFonts w:ascii="Arial" w:hAnsi="Arial"/>
              </w:rPr>
              <w:t>369</w:t>
            </w:r>
          </w:p>
        </w:tc>
        <w:tc>
          <w:tcPr>
            <w:tcW w:w="134"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78" w:type="dxa"/>
            <w:tcBorders/>
            <w:shd w:fill="E5FFFF" w:val="clear"/>
            <w:vAlign w:val="bottom"/>
          </w:tcPr>
          <w:p>
            <w:pPr>
              <w:pStyle w:val="TableContents"/>
              <w:spacing w:before="0" w:after="283"/>
              <w:jc w:val="right"/>
              <w:rPr>
                <w:rFonts w:ascii="Arial" w:hAnsi="Arial"/>
              </w:rPr>
            </w:pPr>
            <w:r>
              <w:rPr>
                <w:rFonts w:ascii="Arial" w:hAnsi="Arial"/>
              </w:rPr>
              <w:t>$</w:t>
            </w:r>
          </w:p>
        </w:tc>
        <w:tc>
          <w:tcPr>
            <w:tcW w:w="836" w:type="dxa"/>
            <w:tcBorders/>
            <w:shd w:fill="E5FFFF" w:val="clear"/>
            <w:vAlign w:val="bottom"/>
          </w:tcPr>
          <w:p>
            <w:pPr>
              <w:pStyle w:val="TableContents"/>
              <w:spacing w:before="0" w:after="283"/>
              <w:jc w:val="right"/>
              <w:rPr>
                <w:rFonts w:ascii="Arial" w:hAnsi="Arial"/>
              </w:rPr>
            </w:pPr>
            <w:r>
              <w:rPr>
                <w:rFonts w:ascii="Arial" w:hAnsi="Arial"/>
              </w:rPr>
              <w:t>386</w:t>
            </w:r>
          </w:p>
        </w:tc>
        <w:tc>
          <w:tcPr>
            <w:tcW w:w="141" w:type="dxa"/>
            <w:tcBorders/>
            <w:shd w:fill="E5FFFF" w:val="clear"/>
            <w:vAlign w:val="center"/>
          </w:tcPr>
          <w:p>
            <w:pPr>
              <w:pStyle w:val="TableContents"/>
              <w:spacing w:before="0" w:after="283"/>
              <w:rPr/>
            </w:pPr>
            <w:r>
              <w:rPr/>
              <w:t> </w:t>
            </w:r>
          </w:p>
        </w:tc>
      </w:tr>
      <w:tr>
        <w:trPr/>
        <w:tc>
          <w:tcPr>
            <w:tcW w:w="584" w:type="dxa"/>
            <w:tcBorders/>
            <w:shd w:fill="FFFFFF" w:val="clear"/>
            <w:vAlign w:val="center"/>
          </w:tcPr>
          <w:p>
            <w:pPr>
              <w:pStyle w:val="TableContents"/>
              <w:spacing w:before="0" w:after="283"/>
              <w:rPr/>
            </w:pPr>
            <w:r>
              <w:rPr/>
              <w:t> </w:t>
            </w:r>
          </w:p>
        </w:tc>
        <w:tc>
          <w:tcPr>
            <w:tcW w:w="544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18"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18" w:space="0" w:color="000000"/>
              </w:pBdr>
              <w:spacing w:before="0" w:after="283"/>
              <w:rPr/>
            </w:pPr>
            <w:r>
              <w:rPr/>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bottom"/>
          </w:tcPr>
          <w:p>
            <w:pPr>
              <w:pStyle w:val="HorizontalLine"/>
              <w:pBdr>
                <w:bottom w:val="single" w:sz="18" w:space="0" w:color="000000"/>
              </w:pBdr>
              <w:spacing w:before="0" w:after="283"/>
              <w:rPr/>
            </w:pPr>
            <w:r>
              <w:rPr/>
            </w:r>
          </w:p>
        </w:tc>
        <w:tc>
          <w:tcPr>
            <w:tcW w:w="141" w:type="dxa"/>
            <w:tcBorders/>
            <w:shd w:fill="FFFFFF" w:val="clear"/>
            <w:vAlign w:val="center"/>
          </w:tcPr>
          <w:p>
            <w:pPr>
              <w:pStyle w:val="TableContents"/>
              <w:spacing w:before="0" w:after="283"/>
              <w:rPr/>
            </w:pPr>
            <w:r>
              <w:rPr/>
              <w:t> </w:t>
            </w:r>
          </w:p>
        </w:tc>
      </w:tr>
      <w:tr>
        <w:trPr/>
        <w:tc>
          <w:tcPr>
            <w:tcW w:w="584" w:type="dxa"/>
            <w:tcBorders/>
            <w:shd w:fill="FFFFFF" w:val="clear"/>
            <w:vAlign w:val="bottom"/>
          </w:tcPr>
          <w:p>
            <w:pPr>
              <w:pStyle w:val="TableContents"/>
              <w:spacing w:before="0" w:after="283"/>
              <w:jc w:val="left"/>
              <w:rPr/>
            </w:pPr>
            <w:r>
              <w:rPr/>
              <w:t>      </w:t>
            </w:r>
          </w:p>
        </w:tc>
        <w:tc>
          <w:tcPr>
            <w:tcW w:w="5444"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836"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610"/>
        <w:gridCol w:w="5934"/>
        <w:gridCol w:w="242"/>
        <w:gridCol w:w="181"/>
        <w:gridCol w:w="657"/>
        <w:gridCol w:w="138"/>
        <w:gridCol w:w="242"/>
        <w:gridCol w:w="181"/>
        <w:gridCol w:w="657"/>
        <w:gridCol w:w="138"/>
        <w:gridCol w:w="242"/>
        <w:gridCol w:w="181"/>
        <w:gridCol w:w="657"/>
        <w:gridCol w:w="145"/>
      </w:tblGrid>
      <w:tr>
        <w:trPr/>
        <w:tc>
          <w:tcPr>
            <w:tcW w:w="61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3419" w:type="dxa"/>
            <w:gridSpan w:val="11"/>
            <w:tcBorders/>
            <w:shd w:fill="FFFFFF" w:val="clear"/>
            <w:vAlign w:val="bottom"/>
          </w:tcPr>
          <w:p>
            <w:pPr>
              <w:pStyle w:val="TableContents"/>
              <w:spacing w:before="0" w:after="0"/>
              <w:jc w:val="center"/>
              <w:rPr>
                <w:rFonts w:ascii="Arial" w:hAnsi="Arial"/>
                <w:b/>
              </w:rPr>
            </w:pPr>
            <w:r>
              <w:rPr>
                <w:rFonts w:ascii="Arial" w:hAnsi="Arial"/>
                <w:b/>
              </w:rPr>
              <w:t>Other Postretirement Benefits</w:t>
            </w:r>
          </w:p>
          <w:p>
            <w:pPr>
              <w:pStyle w:val="HorizontalLine"/>
              <w:pBdr>
                <w:bottom w:val="single" w:sz="6" w:space="0" w:color="000000"/>
              </w:pBdr>
              <w:spacing w:before="0" w:after="283"/>
              <w:rPr/>
            </w:pPr>
            <w:r>
              <w:rPr/>
            </w:r>
          </w:p>
        </w:tc>
      </w:tr>
      <w:tr>
        <w:trPr/>
        <w:tc>
          <w:tcPr>
            <w:tcW w:w="61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3419"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61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976"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976"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2" w:type="dxa"/>
            <w:tcBorders/>
            <w:shd w:fill="FFFFFF" w:val="clear"/>
            <w:vAlign w:val="center"/>
          </w:tcPr>
          <w:p>
            <w:pPr>
              <w:pStyle w:val="TableContents"/>
              <w:spacing w:before="0" w:after="283"/>
              <w:rPr/>
            </w:pPr>
            <w:r>
              <w:rPr/>
              <w:t> </w:t>
            </w:r>
          </w:p>
        </w:tc>
        <w:tc>
          <w:tcPr>
            <w:tcW w:w="983"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610" w:type="dxa"/>
            <w:tcBorders/>
            <w:shd w:fill="FFFFFF" w:val="clear"/>
            <w:vAlign w:val="bottom"/>
          </w:tcPr>
          <w:p>
            <w:pPr>
              <w:pStyle w:val="TableContents"/>
              <w:spacing w:before="0" w:after="283"/>
              <w:jc w:val="left"/>
              <w:rPr/>
            </w:pPr>
            <w:r>
              <w:rPr/>
              <w:t>      </w:t>
            </w:r>
          </w:p>
        </w:tc>
        <w:tc>
          <w:tcPr>
            <w:tcW w:w="5934" w:type="dxa"/>
            <w:tcBorders/>
            <w:shd w:fill="FFFFFF" w:val="clear"/>
            <w:vAlign w:val="bottom"/>
          </w:tcPr>
          <w:p>
            <w:pPr>
              <w:pStyle w:val="TableContents"/>
              <w:spacing w:before="0" w:after="283"/>
              <w:jc w:val="left"/>
              <w:rPr>
                <w:rFonts w:ascii="Arial" w:hAnsi="Arial"/>
              </w:rPr>
            </w:pPr>
            <w:r>
              <w:rPr>
                <w:rFonts w:ascii="Arial" w:hAnsi="Arial"/>
              </w:rPr>
              <w:t>Service cost</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657" w:type="dxa"/>
            <w:tcBorders/>
            <w:shd w:fill="FFFFFF" w:val="clear"/>
            <w:vAlign w:val="bottom"/>
          </w:tcPr>
          <w:p>
            <w:pPr>
              <w:pStyle w:val="TableContents"/>
              <w:spacing w:before="0" w:after="283"/>
              <w:jc w:val="right"/>
              <w:rPr>
                <w:rFonts w:ascii="Arial" w:hAnsi="Arial"/>
              </w:rPr>
            </w:pPr>
            <w:r>
              <w:rPr>
                <w:rFonts w:ascii="Arial" w:hAnsi="Arial"/>
              </w:rPr>
              <w:t>17</w:t>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657" w:type="dxa"/>
            <w:tcBorders/>
            <w:shd w:fill="FFFFFF" w:val="clear"/>
            <w:vAlign w:val="bottom"/>
          </w:tcPr>
          <w:p>
            <w:pPr>
              <w:pStyle w:val="TableContents"/>
              <w:spacing w:before="0" w:after="283"/>
              <w:jc w:val="right"/>
              <w:rPr>
                <w:rFonts w:ascii="Arial" w:hAnsi="Arial"/>
              </w:rPr>
            </w:pPr>
            <w:r>
              <w:rPr>
                <w:rFonts w:ascii="Arial" w:hAnsi="Arial"/>
              </w:rPr>
              <w:t>17</w:t>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right"/>
              <w:rPr>
                <w:rFonts w:ascii="Arial" w:hAnsi="Arial"/>
              </w:rPr>
            </w:pPr>
            <w:r>
              <w:rPr>
                <w:rFonts w:ascii="Arial" w:hAnsi="Arial"/>
              </w:rPr>
              <w:t>$</w:t>
            </w:r>
          </w:p>
        </w:tc>
        <w:tc>
          <w:tcPr>
            <w:tcW w:w="657" w:type="dxa"/>
            <w:tcBorders/>
            <w:shd w:fill="FFFFFF" w:val="clear"/>
            <w:vAlign w:val="bottom"/>
          </w:tcPr>
          <w:p>
            <w:pPr>
              <w:pStyle w:val="TableContents"/>
              <w:spacing w:before="0" w:after="283"/>
              <w:jc w:val="right"/>
              <w:rPr>
                <w:rFonts w:ascii="Arial" w:hAnsi="Arial"/>
              </w:rPr>
            </w:pPr>
            <w:r>
              <w:rPr>
                <w:rFonts w:ascii="Arial" w:hAnsi="Arial"/>
              </w:rPr>
              <w:t>17</w:t>
            </w:r>
          </w:p>
        </w:tc>
        <w:tc>
          <w:tcPr>
            <w:tcW w:w="145" w:type="dxa"/>
            <w:tcBorders/>
            <w:shd w:fill="FFFFFF" w:val="clear"/>
            <w:vAlign w:val="center"/>
          </w:tcPr>
          <w:p>
            <w:pPr>
              <w:pStyle w:val="TableContents"/>
              <w:spacing w:before="0" w:after="283"/>
              <w:rPr/>
            </w:pPr>
            <w:r>
              <w:rPr/>
              <w:t> </w:t>
            </w:r>
          </w:p>
        </w:tc>
      </w:tr>
      <w:tr>
        <w:trPr/>
        <w:tc>
          <w:tcPr>
            <w:tcW w:w="610" w:type="dxa"/>
            <w:tcBorders/>
            <w:shd w:fill="E5FFFF" w:val="clear"/>
            <w:vAlign w:val="bottom"/>
          </w:tcPr>
          <w:p>
            <w:pPr>
              <w:pStyle w:val="TableContents"/>
              <w:spacing w:before="0" w:after="283"/>
              <w:jc w:val="left"/>
              <w:rPr/>
            </w:pPr>
            <w:r>
              <w:rPr/>
              <w:t>      </w:t>
            </w:r>
          </w:p>
        </w:tc>
        <w:tc>
          <w:tcPr>
            <w:tcW w:w="5934" w:type="dxa"/>
            <w:tcBorders/>
            <w:shd w:fill="E5FFFF" w:val="clear"/>
            <w:vAlign w:val="bottom"/>
          </w:tcPr>
          <w:p>
            <w:pPr>
              <w:pStyle w:val="TableContents"/>
              <w:spacing w:before="0" w:after="283"/>
              <w:jc w:val="left"/>
              <w:rPr>
                <w:rFonts w:ascii="Arial" w:hAnsi="Arial"/>
              </w:rPr>
            </w:pPr>
            <w:r>
              <w:rPr>
                <w:rFonts w:ascii="Arial" w:hAnsi="Arial"/>
              </w:rPr>
              <w:t>Interest cost</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Arial" w:hAnsi="Arial"/>
              </w:rPr>
            </w:pPr>
            <w:r>
              <w:rPr>
                <w:rFonts w:ascii="Arial" w:hAnsi="Arial"/>
              </w:rPr>
              <w:t>122</w:t>
            </w:r>
          </w:p>
        </w:tc>
        <w:tc>
          <w:tcPr>
            <w:tcW w:w="138"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Arial" w:hAnsi="Arial"/>
              </w:rPr>
            </w:pPr>
            <w:r>
              <w:rPr>
                <w:rFonts w:ascii="Arial" w:hAnsi="Arial"/>
              </w:rPr>
              <w:t>120</w:t>
            </w:r>
          </w:p>
        </w:tc>
        <w:tc>
          <w:tcPr>
            <w:tcW w:w="138"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Arial" w:hAnsi="Arial"/>
              </w:rPr>
            </w:pPr>
            <w:r>
              <w:rPr>
                <w:rFonts w:ascii="Arial" w:hAnsi="Arial"/>
              </w:rPr>
              <w:t>138</w:t>
            </w:r>
          </w:p>
        </w:tc>
        <w:tc>
          <w:tcPr>
            <w:tcW w:w="145" w:type="dxa"/>
            <w:tcBorders/>
            <w:shd w:fill="E5FFFF" w:val="clear"/>
            <w:vAlign w:val="center"/>
          </w:tcPr>
          <w:p>
            <w:pPr>
              <w:pStyle w:val="TableContents"/>
              <w:spacing w:before="0" w:after="283"/>
              <w:rPr/>
            </w:pPr>
            <w:r>
              <w:rPr/>
              <w:t> </w:t>
            </w:r>
          </w:p>
        </w:tc>
      </w:tr>
      <w:tr>
        <w:trPr/>
        <w:tc>
          <w:tcPr>
            <w:tcW w:w="610" w:type="dxa"/>
            <w:tcBorders/>
            <w:shd w:fill="FFFFFF" w:val="clear"/>
            <w:vAlign w:val="bottom"/>
          </w:tcPr>
          <w:p>
            <w:pPr>
              <w:pStyle w:val="TableContents"/>
              <w:spacing w:before="0" w:after="283"/>
              <w:jc w:val="left"/>
              <w:rPr/>
            </w:pPr>
            <w:r>
              <w:rPr/>
              <w:t>      </w:t>
            </w:r>
          </w:p>
        </w:tc>
        <w:tc>
          <w:tcPr>
            <w:tcW w:w="5934" w:type="dxa"/>
            <w:tcBorders/>
            <w:shd w:fill="FFFFFF" w:val="clear"/>
            <w:vAlign w:val="bottom"/>
          </w:tcPr>
          <w:p>
            <w:pPr>
              <w:pStyle w:val="TableContents"/>
              <w:spacing w:before="0" w:after="283"/>
              <w:jc w:val="left"/>
              <w:rPr>
                <w:rFonts w:ascii="Arial" w:hAnsi="Arial"/>
              </w:rPr>
            </w:pPr>
            <w:r>
              <w:rPr>
                <w:rFonts w:ascii="Arial" w:hAnsi="Arial"/>
              </w:rPr>
              <w:t>Amortization of prior service (credit)</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Arial" w:hAnsi="Arial"/>
              </w:rPr>
            </w:pPr>
            <w:r>
              <w:rPr>
                <w:rFonts w:ascii="Arial" w:hAnsi="Arial"/>
              </w:rPr>
              <w:t>(40</w:t>
            </w:r>
          </w:p>
        </w:tc>
        <w:tc>
          <w:tcPr>
            <w:tcW w:w="138"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Arial" w:hAnsi="Arial"/>
              </w:rPr>
            </w:pPr>
            <w:r>
              <w:rPr>
                <w:rFonts w:ascii="Arial" w:hAnsi="Arial"/>
              </w:rPr>
              <w:t>(39</w:t>
            </w:r>
          </w:p>
        </w:tc>
        <w:tc>
          <w:tcPr>
            <w:tcW w:w="138" w:type="dxa"/>
            <w:tcBorders/>
            <w:shd w:fill="FFFFFF" w:val="clear"/>
            <w:vAlign w:val="bottom"/>
          </w:tcPr>
          <w:p>
            <w:pPr>
              <w:pStyle w:val="TableContents"/>
              <w:spacing w:before="0" w:after="283"/>
              <w:jc w:val="left"/>
              <w:rPr>
                <w:rFonts w:ascii="Arial" w:hAnsi="Arial"/>
              </w:rPr>
            </w:pPr>
            <w:r>
              <w:rPr>
                <w:rFonts w:ascii="Arial" w:hAnsi="Arial"/>
              </w:rPr>
              <w:t>)</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TableContents"/>
              <w:spacing w:before="0" w:after="283"/>
              <w:jc w:val="right"/>
              <w:rPr>
                <w:rFonts w:ascii="Arial" w:hAnsi="Arial"/>
              </w:rPr>
            </w:pPr>
            <w:r>
              <w:rPr>
                <w:rFonts w:ascii="Arial" w:hAnsi="Arial"/>
              </w:rPr>
              <w:t>(37</w:t>
            </w:r>
          </w:p>
        </w:tc>
        <w:tc>
          <w:tcPr>
            <w:tcW w:w="145"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10" w:type="dxa"/>
            <w:tcBorders/>
            <w:shd w:fill="E5FFFF" w:val="clear"/>
            <w:vAlign w:val="bottom"/>
          </w:tcPr>
          <w:p>
            <w:pPr>
              <w:pStyle w:val="TableContents"/>
              <w:spacing w:before="0" w:after="283"/>
              <w:jc w:val="left"/>
              <w:rPr/>
            </w:pPr>
            <w:r>
              <w:rPr/>
              <w:t>      </w:t>
            </w:r>
          </w:p>
        </w:tc>
        <w:tc>
          <w:tcPr>
            <w:tcW w:w="5934" w:type="dxa"/>
            <w:tcBorders/>
            <w:shd w:fill="E5FFFF" w:val="clear"/>
            <w:vAlign w:val="bottom"/>
          </w:tcPr>
          <w:p>
            <w:pPr>
              <w:pStyle w:val="TableContents"/>
              <w:spacing w:before="0" w:after="283"/>
              <w:jc w:val="left"/>
              <w:rPr>
                <w:rFonts w:ascii="Arial" w:hAnsi="Arial"/>
              </w:rPr>
            </w:pPr>
            <w:r>
              <w:rPr>
                <w:rFonts w:ascii="Arial" w:hAnsi="Arial"/>
              </w:rPr>
              <w:t>Recognition of actuarial losses</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Arial" w:hAnsi="Arial"/>
              </w:rPr>
            </w:pPr>
            <w:r>
              <w:rPr>
                <w:rFonts w:ascii="Arial" w:hAnsi="Arial"/>
              </w:rPr>
              <w:t>52</w:t>
            </w:r>
          </w:p>
        </w:tc>
        <w:tc>
          <w:tcPr>
            <w:tcW w:w="138"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Arial" w:hAnsi="Arial"/>
              </w:rPr>
            </w:pPr>
            <w:r>
              <w:rPr>
                <w:rFonts w:ascii="Arial" w:hAnsi="Arial"/>
              </w:rPr>
              <w:t>63</w:t>
            </w:r>
          </w:p>
        </w:tc>
        <w:tc>
          <w:tcPr>
            <w:tcW w:w="138"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Arial" w:hAnsi="Arial"/>
              </w:rPr>
            </w:pPr>
            <w:r>
              <w:rPr>
                <w:rFonts w:ascii="Arial" w:hAnsi="Arial"/>
              </w:rPr>
              <w:t>101</w:t>
            </w:r>
          </w:p>
        </w:tc>
        <w:tc>
          <w:tcPr>
            <w:tcW w:w="145" w:type="dxa"/>
            <w:tcBorders/>
            <w:shd w:fill="E5FFFF" w:val="clear"/>
            <w:vAlign w:val="center"/>
          </w:tcPr>
          <w:p>
            <w:pPr>
              <w:pStyle w:val="TableContents"/>
              <w:spacing w:before="0" w:after="283"/>
              <w:rPr/>
            </w:pPr>
            <w:r>
              <w:rPr/>
              <w:t> </w:t>
            </w:r>
          </w:p>
        </w:tc>
      </w:tr>
      <w:tr>
        <w:trPr/>
        <w:tc>
          <w:tcPr>
            <w:tcW w:w="61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HorizontalLine"/>
              <w:pBdr>
                <w:bottom w:val="single" w:sz="6" w:space="0" w:color="000000"/>
              </w:pBdr>
              <w:spacing w:before="0" w:after="283"/>
              <w:rPr/>
            </w:pPr>
            <w:r>
              <w:rPr/>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HorizontalLine"/>
              <w:pBdr>
                <w:bottom w:val="single" w:sz="6" w:space="0" w:color="000000"/>
              </w:pBdr>
              <w:spacing w:before="0" w:after="283"/>
              <w:rPr/>
            </w:pPr>
            <w:r>
              <w:rPr/>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HorizontalLine"/>
              <w:pBdr>
                <w:bottom w:val="single" w:sz="6" w:space="0" w:color="000000"/>
              </w:pBdr>
              <w:spacing w:before="0" w:after="283"/>
              <w:rPr/>
            </w:pPr>
            <w:r>
              <w:rPr/>
            </w:r>
          </w:p>
        </w:tc>
        <w:tc>
          <w:tcPr>
            <w:tcW w:w="145" w:type="dxa"/>
            <w:tcBorders/>
            <w:shd w:fill="FFFFFF" w:val="clear"/>
            <w:vAlign w:val="center"/>
          </w:tcPr>
          <w:p>
            <w:pPr>
              <w:pStyle w:val="TableContents"/>
              <w:spacing w:before="0" w:after="283"/>
              <w:rPr/>
            </w:pPr>
            <w:r>
              <w:rPr/>
              <w:t> </w:t>
            </w:r>
          </w:p>
        </w:tc>
      </w:tr>
      <w:tr>
        <w:trPr/>
        <w:tc>
          <w:tcPr>
            <w:tcW w:w="610" w:type="dxa"/>
            <w:tcBorders/>
            <w:shd w:fill="E5FFFF" w:val="clear"/>
            <w:vAlign w:val="bottom"/>
          </w:tcPr>
          <w:p>
            <w:pPr>
              <w:pStyle w:val="TableContents"/>
              <w:spacing w:before="0" w:after="283"/>
              <w:jc w:val="left"/>
              <w:rPr/>
            </w:pPr>
            <w:r>
              <w:rPr/>
              <w:t>      </w:t>
            </w:r>
          </w:p>
        </w:tc>
        <w:tc>
          <w:tcPr>
            <w:tcW w:w="5934" w:type="dxa"/>
            <w:tcBorders/>
            <w:shd w:fill="E5FFFF" w:val="clear"/>
            <w:vAlign w:val="bottom"/>
          </w:tcPr>
          <w:p>
            <w:pPr>
              <w:pStyle w:val="TableContents"/>
              <w:spacing w:before="0" w:after="283"/>
              <w:jc w:val="left"/>
              <w:rPr>
                <w:rFonts w:ascii="Arial" w:hAnsi="Arial"/>
              </w:rPr>
            </w:pPr>
            <w:r>
              <w:rPr>
                <w:rFonts w:ascii="Arial" w:hAnsi="Arial"/>
              </w:rPr>
              <w:t>Net periodic benefit cost</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657" w:type="dxa"/>
            <w:tcBorders/>
            <w:shd w:fill="E5FFFF" w:val="clear"/>
            <w:vAlign w:val="bottom"/>
          </w:tcPr>
          <w:p>
            <w:pPr>
              <w:pStyle w:val="TableContents"/>
              <w:spacing w:before="0" w:after="283"/>
              <w:jc w:val="right"/>
              <w:rPr>
                <w:rFonts w:ascii="Arial" w:hAnsi="Arial"/>
              </w:rPr>
            </w:pPr>
            <w:r>
              <w:rPr>
                <w:rFonts w:ascii="Arial" w:hAnsi="Arial"/>
              </w:rPr>
              <w:t>151</w:t>
            </w:r>
          </w:p>
        </w:tc>
        <w:tc>
          <w:tcPr>
            <w:tcW w:w="138"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657" w:type="dxa"/>
            <w:tcBorders/>
            <w:shd w:fill="E5FFFF" w:val="clear"/>
            <w:vAlign w:val="bottom"/>
          </w:tcPr>
          <w:p>
            <w:pPr>
              <w:pStyle w:val="TableContents"/>
              <w:spacing w:before="0" w:after="283"/>
              <w:jc w:val="right"/>
              <w:rPr>
                <w:rFonts w:ascii="Arial" w:hAnsi="Arial"/>
              </w:rPr>
            </w:pPr>
            <w:r>
              <w:rPr>
                <w:rFonts w:ascii="Arial" w:hAnsi="Arial"/>
              </w:rPr>
              <w:t>161</w:t>
            </w:r>
          </w:p>
        </w:tc>
        <w:tc>
          <w:tcPr>
            <w:tcW w:w="138" w:type="dxa"/>
            <w:tcBorders/>
            <w:shd w:fill="E5FFFF" w:val="clear"/>
            <w:vAlign w:val="center"/>
          </w:tcPr>
          <w:p>
            <w:pPr>
              <w:pStyle w:val="TableContents"/>
              <w:spacing w:before="0" w:after="283"/>
              <w:rPr/>
            </w:pPr>
            <w:r>
              <w:rPr/>
              <w:t> </w:t>
            </w:r>
          </w:p>
        </w:tc>
        <w:tc>
          <w:tcPr>
            <w:tcW w:w="242"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657" w:type="dxa"/>
            <w:tcBorders/>
            <w:shd w:fill="E5FFFF" w:val="clear"/>
            <w:vAlign w:val="bottom"/>
          </w:tcPr>
          <w:p>
            <w:pPr>
              <w:pStyle w:val="TableContents"/>
              <w:spacing w:before="0" w:after="283"/>
              <w:jc w:val="right"/>
              <w:rPr>
                <w:rFonts w:ascii="Arial" w:hAnsi="Arial"/>
              </w:rPr>
            </w:pPr>
            <w:r>
              <w:rPr>
                <w:rFonts w:ascii="Arial" w:hAnsi="Arial"/>
              </w:rPr>
              <w:t>219</w:t>
            </w:r>
          </w:p>
        </w:tc>
        <w:tc>
          <w:tcPr>
            <w:tcW w:w="145" w:type="dxa"/>
            <w:tcBorders/>
            <w:shd w:fill="E5FFFF" w:val="clear"/>
            <w:vAlign w:val="center"/>
          </w:tcPr>
          <w:p>
            <w:pPr>
              <w:pStyle w:val="TableContents"/>
              <w:spacing w:before="0" w:after="283"/>
              <w:rPr/>
            </w:pPr>
            <w:r>
              <w:rPr/>
              <w:t> </w:t>
            </w:r>
          </w:p>
        </w:tc>
      </w:tr>
      <w:tr>
        <w:trPr/>
        <w:tc>
          <w:tcPr>
            <w:tcW w:w="61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HorizontalLine"/>
              <w:pBdr>
                <w:bottom w:val="single" w:sz="18" w:space="0" w:color="000000"/>
              </w:pBdr>
              <w:spacing w:before="0" w:after="283"/>
              <w:rPr/>
            </w:pPr>
            <w:r>
              <w:rPr/>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HorizontalLine"/>
              <w:pBdr>
                <w:bottom w:val="single" w:sz="18" w:space="0" w:color="000000"/>
              </w:pBdr>
              <w:spacing w:before="0" w:after="283"/>
              <w:rPr/>
            </w:pPr>
            <w:r>
              <w:rPr/>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bottom"/>
          </w:tcPr>
          <w:p>
            <w:pPr>
              <w:pStyle w:val="HorizontalLine"/>
              <w:pBdr>
                <w:bottom w:val="single" w:sz="18" w:space="0" w:color="000000"/>
              </w:pBdr>
              <w:spacing w:before="0" w:after="283"/>
              <w:rPr/>
            </w:pPr>
            <w:r>
              <w:rPr/>
            </w:r>
          </w:p>
        </w:tc>
        <w:tc>
          <w:tcPr>
            <w:tcW w:w="145" w:type="dxa"/>
            <w:tcBorders/>
            <w:shd w:fill="FFFFFF" w:val="clear"/>
            <w:vAlign w:val="center"/>
          </w:tcPr>
          <w:p>
            <w:pPr>
              <w:pStyle w:val="TableContents"/>
              <w:spacing w:before="0" w:after="283"/>
              <w:rPr/>
            </w:pPr>
            <w:r>
              <w:rPr/>
              <w:t> </w:t>
            </w:r>
          </w:p>
        </w:tc>
      </w:tr>
      <w:tr>
        <w:trPr/>
        <w:tc>
          <w:tcPr>
            <w:tcW w:w="610" w:type="dxa"/>
            <w:tcBorders/>
            <w:shd w:fill="FFFFFF" w:val="clear"/>
            <w:vAlign w:val="bottom"/>
          </w:tcPr>
          <w:p>
            <w:pPr>
              <w:pStyle w:val="TableContents"/>
              <w:spacing w:before="0" w:after="283"/>
              <w:jc w:val="left"/>
              <w:rPr/>
            </w:pPr>
            <w:r>
              <w:rPr/>
              <w:t>      </w:t>
            </w:r>
          </w:p>
        </w:tc>
        <w:tc>
          <w:tcPr>
            <w:tcW w:w="5934" w:type="dxa"/>
            <w:tcBorders/>
            <w:shd w:fill="FFFFFF" w:val="clear"/>
            <w:vAlign w:val="bottom"/>
          </w:tcPr>
          <w:p>
            <w:pPr>
              <w:pStyle w:val="TableContents"/>
              <w:spacing w:before="0" w:after="283"/>
              <w:rPr>
                <w:sz w:val="4"/>
                <w:szCs w:val="4"/>
              </w:rPr>
            </w:pPr>
            <w:r>
              <w:rPr>
                <w:sz w:val="4"/>
                <w:szCs w:val="4"/>
              </w:rPr>
            </w:r>
          </w:p>
        </w:tc>
        <w:tc>
          <w:tcPr>
            <w:tcW w:w="242"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657"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estimated net loss and prior service cost for pension benefits that will be amortized from accumulated other comprehensive income (loss) into net periodic benefit cost over the next fiscal year are expected to be $193 and $27 million, respectively. The estimated net loss and prior service credit for other postretirement benefits that will be amortized from accumulated other comprehensive income (loss) into net periodic benefit cost over the next fiscal year are expected to be $45 and $(40) million, respectively.</w:t>
      </w:r>
    </w:p>
    <w:p>
      <w:pPr>
        <w:pStyle w:val="TextBody"/>
        <w:jc w:val="left"/>
        <w:rPr/>
      </w:pPr>
      <w:r>
        <w:rPr/>
        <w:t>      </w:t>
      </w:r>
      <w:r>
        <w:rPr>
          <w:rFonts w:ascii="Arial" w:hAnsi="Arial"/>
        </w:rPr>
        <w:t>Major actuarial assumptions used in determining the benefit obligations and net periodic benefit cost for our U.S. benefit plans are presented in the following table. For non-U.S. benefit plans, no one of which was individually material, assumptions reflect economic assumptions applicable to each country.</w:t>
      </w:r>
    </w:p>
    <w:p>
      <w:pPr>
        <w:pStyle w:val="TextBody"/>
        <w:jc w:val="center"/>
        <w:rPr>
          <w:rFonts w:ascii="Arial" w:hAnsi="Arial"/>
        </w:rPr>
      </w:pPr>
      <w:r>
        <w:rPr>
          <w:rFonts w:ascii="Arial" w:hAnsi="Arial"/>
        </w:rPr>
        <w:t>88</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tbl>
      <w:tblPr>
        <w:tblW w:w="5000" w:type="pct"/>
        <w:jc w:val="left"/>
        <w:tblInd w:w="0" w:type="dxa"/>
        <w:tblCellMar>
          <w:top w:w="0" w:type="dxa"/>
          <w:left w:w="0" w:type="dxa"/>
          <w:bottom w:w="0" w:type="dxa"/>
          <w:right w:w="0" w:type="dxa"/>
        </w:tblCellMar>
      </w:tblPr>
      <w:tblGrid>
        <w:gridCol w:w="4439"/>
        <w:gridCol w:w="240"/>
        <w:gridCol w:w="60"/>
        <w:gridCol w:w="555"/>
        <w:gridCol w:w="60"/>
        <w:gridCol w:w="240"/>
        <w:gridCol w:w="60"/>
        <w:gridCol w:w="690"/>
        <w:gridCol w:w="60"/>
        <w:gridCol w:w="240"/>
        <w:gridCol w:w="60"/>
        <w:gridCol w:w="690"/>
        <w:gridCol w:w="60"/>
        <w:gridCol w:w="240"/>
        <w:gridCol w:w="60"/>
        <w:gridCol w:w="555"/>
        <w:gridCol w:w="60"/>
        <w:gridCol w:w="240"/>
        <w:gridCol w:w="60"/>
        <w:gridCol w:w="555"/>
        <w:gridCol w:w="60"/>
        <w:gridCol w:w="240"/>
        <w:gridCol w:w="60"/>
        <w:gridCol w:w="555"/>
        <w:gridCol w:w="66"/>
      </w:tblGrid>
      <w:tr>
        <w:trPr/>
        <w:tc>
          <w:tcPr>
            <w:tcW w:w="443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2775" w:type="dxa"/>
            <w:gridSpan w:val="11"/>
            <w:tcBorders/>
            <w:shd w:fill="FFFFFF" w:val="clear"/>
            <w:vAlign w:val="bottom"/>
          </w:tcPr>
          <w:p>
            <w:pPr>
              <w:pStyle w:val="TableContents"/>
              <w:spacing w:before="0" w:after="0"/>
              <w:jc w:val="center"/>
              <w:rPr>
                <w:rFonts w:ascii="Arial" w:hAnsi="Arial"/>
                <w:b/>
              </w:rPr>
            </w:pPr>
            <w:r>
              <w:rPr>
                <w:rFonts w:ascii="Arial" w:hAnsi="Arial"/>
                <w:b/>
              </w:rPr>
              <w:t>Pension Benefits</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2511" w:type="dxa"/>
            <w:gridSpan w:val="11"/>
            <w:tcBorders/>
            <w:shd w:fill="FFFFFF" w:val="clear"/>
            <w:vAlign w:val="bottom"/>
          </w:tcPr>
          <w:p>
            <w:pPr>
              <w:pStyle w:val="TableContents"/>
              <w:spacing w:before="0" w:after="0"/>
              <w:jc w:val="center"/>
              <w:rPr>
                <w:rFonts w:ascii="Arial" w:hAnsi="Arial"/>
                <w:b/>
              </w:rPr>
            </w:pPr>
            <w:r>
              <w:rPr>
                <w:rFonts w:ascii="Arial" w:hAnsi="Arial"/>
                <w:b/>
              </w:rPr>
              <w:t>Other Postretirement</w:t>
              <w:br/>
              <w:t>Benefits</w:t>
            </w:r>
          </w:p>
          <w:p>
            <w:pPr>
              <w:pStyle w:val="HorizontalLine"/>
              <w:pBdr>
                <w:bottom w:val="single" w:sz="6" w:space="0" w:color="000000"/>
              </w:pBdr>
              <w:spacing w:before="0" w:after="283"/>
              <w:rPr/>
            </w:pPr>
            <w:r>
              <w:rPr/>
            </w:r>
          </w:p>
        </w:tc>
      </w:tr>
      <w:tr>
        <w:trPr/>
        <w:tc>
          <w:tcPr>
            <w:tcW w:w="4439"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7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1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1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67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675"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68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439" w:type="dxa"/>
            <w:tcBorders/>
            <w:shd w:fill="E5FFFF" w:val="clear"/>
            <w:vAlign w:val="bottom"/>
          </w:tcPr>
          <w:p>
            <w:pPr>
              <w:pStyle w:val="TableContents"/>
              <w:spacing w:before="0" w:after="283"/>
              <w:jc w:val="left"/>
              <w:rPr>
                <w:rFonts w:ascii="Arial" w:hAnsi="Arial"/>
              </w:rPr>
            </w:pPr>
            <w:r>
              <w:rPr>
                <w:rFonts w:ascii="Arial" w:hAnsi="Arial"/>
              </w:rPr>
              <w:t>Actuarial assumptions used to determine benefit obligations as of December 31:</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center"/>
          </w:tcPr>
          <w:p>
            <w:pPr>
              <w:pStyle w:val="TableContents"/>
              <w:spacing w:before="0" w:after="283"/>
              <w:rPr/>
            </w:pPr>
            <w:r>
              <w:rPr/>
              <w:t> </w:t>
            </w:r>
          </w:p>
        </w:tc>
        <w:tc>
          <w:tcPr>
            <w:tcW w:w="66" w:type="dxa"/>
            <w:tcBorders/>
            <w:shd w:fill="E5FFFF" w:val="clear"/>
            <w:vAlign w:val="center"/>
          </w:tcPr>
          <w:p>
            <w:pPr>
              <w:pStyle w:val="TableContents"/>
              <w:spacing w:before="0" w:after="283"/>
              <w:rPr/>
            </w:pPr>
            <w:r>
              <w:rPr/>
              <w:t> </w:t>
            </w:r>
          </w:p>
        </w:tc>
      </w:tr>
      <w:tr>
        <w:trPr/>
        <w:tc>
          <w:tcPr>
            <w:tcW w:w="4439" w:type="dxa"/>
            <w:tcBorders/>
            <w:shd w:fill="FFFFFF" w:val="clear"/>
            <w:vAlign w:val="bottom"/>
          </w:tcPr>
          <w:p>
            <w:pPr>
              <w:pStyle w:val="TableContents"/>
              <w:spacing w:before="0" w:after="283"/>
              <w:jc w:val="left"/>
              <w:rPr>
                <w:rFonts w:ascii="Arial" w:hAnsi="Arial"/>
              </w:rPr>
            </w:pPr>
            <w:r>
              <w:rPr>
                <w:rFonts w:ascii="Arial" w:hAnsi="Arial"/>
              </w:rPr>
              <w:t>Discount rate</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rFonts w:ascii="Arial" w:hAnsi="Arial"/>
              </w:rPr>
            </w:pPr>
            <w:r>
              <w:rPr>
                <w:rFonts w:ascii="Arial" w:hAnsi="Arial"/>
              </w:rPr>
              <w:t>6.00%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Arial" w:hAnsi="Arial"/>
              </w:rPr>
            </w:pPr>
            <w:r>
              <w:rPr>
                <w:rFonts w:ascii="Arial" w:hAnsi="Arial"/>
              </w:rPr>
              <w:t>5.75%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Arial" w:hAnsi="Arial"/>
              </w:rPr>
            </w:pPr>
            <w:r>
              <w:rPr>
                <w:rFonts w:ascii="Arial" w:hAnsi="Arial"/>
              </w:rPr>
              <w:t>5.875%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rFonts w:ascii="Arial" w:hAnsi="Arial"/>
              </w:rPr>
            </w:pPr>
            <w:r>
              <w:rPr>
                <w:rFonts w:ascii="Arial" w:hAnsi="Arial"/>
              </w:rPr>
              <w:t>5.70%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rFonts w:ascii="Arial" w:hAnsi="Arial"/>
              </w:rPr>
            </w:pPr>
            <w:r>
              <w:rPr>
                <w:rFonts w:ascii="Arial" w:hAnsi="Arial"/>
              </w:rPr>
              <w:t>5.50%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rFonts w:ascii="Arial" w:hAnsi="Arial"/>
              </w:rPr>
            </w:pPr>
            <w:r>
              <w:rPr>
                <w:rFonts w:ascii="Arial" w:hAnsi="Arial"/>
              </w:rPr>
              <w:t>5.50%</w:t>
            </w:r>
          </w:p>
        </w:tc>
        <w:tc>
          <w:tcPr>
            <w:tcW w:w="66" w:type="dxa"/>
            <w:tcBorders/>
            <w:shd w:fill="FFFFFF" w:val="clear"/>
            <w:vAlign w:val="center"/>
          </w:tcPr>
          <w:p>
            <w:pPr>
              <w:pStyle w:val="TableContents"/>
              <w:spacing w:before="0" w:after="283"/>
              <w:rPr/>
            </w:pPr>
            <w:r>
              <w:rPr/>
              <w:t> </w:t>
            </w:r>
          </w:p>
        </w:tc>
      </w:tr>
      <w:tr>
        <w:trPr/>
        <w:tc>
          <w:tcPr>
            <w:tcW w:w="4439" w:type="dxa"/>
            <w:tcBorders/>
            <w:shd w:fill="E5FFFF" w:val="clear"/>
            <w:vAlign w:val="bottom"/>
          </w:tcPr>
          <w:p>
            <w:pPr>
              <w:pStyle w:val="TableContents"/>
              <w:spacing w:before="0" w:after="283"/>
              <w:jc w:val="left"/>
              <w:rPr>
                <w:rFonts w:ascii="Arial" w:hAnsi="Arial"/>
              </w:rPr>
            </w:pPr>
            <w:r>
              <w:rPr>
                <w:rFonts w:ascii="Arial" w:hAnsi="Arial"/>
              </w:rPr>
              <w:t>Expected annual rate of compensation increase</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rFonts w:ascii="Arial" w:hAnsi="Arial"/>
              </w:rPr>
            </w:pPr>
            <w:r>
              <w:rPr>
                <w:rFonts w:ascii="Arial" w:hAnsi="Arial"/>
              </w:rPr>
              <w:t>4.00%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bottom"/>
          </w:tcPr>
          <w:p>
            <w:pPr>
              <w:pStyle w:val="TableContents"/>
              <w:spacing w:before="0" w:after="283"/>
              <w:jc w:val="right"/>
              <w:rPr>
                <w:rFonts w:ascii="Arial" w:hAnsi="Arial"/>
              </w:rPr>
            </w:pPr>
            <w:r>
              <w:rPr>
                <w:rFonts w:ascii="Arial" w:hAnsi="Arial"/>
              </w:rPr>
              <w:t>4.00%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bottom"/>
          </w:tcPr>
          <w:p>
            <w:pPr>
              <w:pStyle w:val="TableContents"/>
              <w:spacing w:before="0" w:after="283"/>
              <w:jc w:val="right"/>
              <w:rPr>
                <w:rFonts w:ascii="Arial" w:hAnsi="Arial"/>
              </w:rPr>
            </w:pPr>
            <w:r>
              <w:rPr>
                <w:rFonts w:ascii="Arial" w:hAnsi="Arial"/>
              </w:rPr>
              <w:t>4.00%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pPr>
            <w:r>
              <w:rPr/>
              <w:t>—</w:t>
            </w:r>
          </w:p>
        </w:tc>
        <w:tc>
          <w:tcPr>
            <w:tcW w:w="66" w:type="dxa"/>
            <w:tcBorders/>
            <w:shd w:fill="E5FFFF" w:val="clear"/>
            <w:vAlign w:val="center"/>
          </w:tcPr>
          <w:p>
            <w:pPr>
              <w:pStyle w:val="TableContents"/>
              <w:spacing w:before="0" w:after="283"/>
              <w:rPr/>
            </w:pPr>
            <w:r>
              <w:rPr/>
              <w:t> </w:t>
            </w:r>
          </w:p>
        </w:tc>
      </w:tr>
      <w:tr>
        <w:trPr/>
        <w:tc>
          <w:tcPr>
            <w:tcW w:w="4439" w:type="dxa"/>
            <w:tcBorders/>
            <w:shd w:fill="FFFFFF" w:val="clear"/>
            <w:vAlign w:val="bottom"/>
          </w:tcPr>
          <w:p>
            <w:pPr>
              <w:pStyle w:val="TableContents"/>
              <w:spacing w:before="0" w:after="283"/>
              <w:jc w:val="left"/>
              <w:rPr>
                <w:rFonts w:ascii="Arial" w:hAnsi="Arial"/>
              </w:rPr>
            </w:pPr>
            <w:r>
              <w:rPr>
                <w:rFonts w:ascii="Arial" w:hAnsi="Arial"/>
              </w:rPr>
              <w:t>Actuarial assumptions used to determine net periodic benefit cost for years ended December 31:</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r>
      <w:tr>
        <w:trPr/>
        <w:tc>
          <w:tcPr>
            <w:tcW w:w="4439" w:type="dxa"/>
            <w:tcBorders/>
            <w:shd w:fill="E5FFFF" w:val="clear"/>
            <w:vAlign w:val="bottom"/>
          </w:tcPr>
          <w:p>
            <w:pPr>
              <w:pStyle w:val="TableContents"/>
              <w:spacing w:before="0" w:after="283"/>
              <w:jc w:val="left"/>
              <w:rPr>
                <w:rFonts w:ascii="Arial" w:hAnsi="Arial"/>
              </w:rPr>
            </w:pPr>
            <w:r>
              <w:rPr>
                <w:rFonts w:ascii="Arial" w:hAnsi="Arial"/>
              </w:rPr>
              <w:t>Discount rate</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rFonts w:ascii="Arial" w:hAnsi="Arial"/>
              </w:rPr>
            </w:pPr>
            <w:r>
              <w:rPr>
                <w:rFonts w:ascii="Arial" w:hAnsi="Arial"/>
              </w:rPr>
              <w:t>5.75%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bottom"/>
          </w:tcPr>
          <w:p>
            <w:pPr>
              <w:pStyle w:val="TableContents"/>
              <w:spacing w:before="0" w:after="283"/>
              <w:jc w:val="right"/>
              <w:rPr>
                <w:rFonts w:ascii="Arial" w:hAnsi="Arial"/>
              </w:rPr>
            </w:pPr>
            <w:r>
              <w:rPr>
                <w:rFonts w:ascii="Arial" w:hAnsi="Arial"/>
              </w:rPr>
              <w:t>5.875%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bottom"/>
          </w:tcPr>
          <w:p>
            <w:pPr>
              <w:pStyle w:val="TableContents"/>
              <w:spacing w:before="0" w:after="283"/>
              <w:jc w:val="right"/>
              <w:rPr>
                <w:rFonts w:ascii="Arial" w:hAnsi="Arial"/>
              </w:rPr>
            </w:pPr>
            <w:r>
              <w:rPr>
                <w:rFonts w:ascii="Arial" w:hAnsi="Arial"/>
              </w:rPr>
              <w:t>6.00%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rFonts w:ascii="Arial" w:hAnsi="Arial"/>
              </w:rPr>
            </w:pPr>
            <w:r>
              <w:rPr>
                <w:rFonts w:ascii="Arial" w:hAnsi="Arial"/>
              </w:rPr>
              <w:t>5.50%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rFonts w:ascii="Arial" w:hAnsi="Arial"/>
              </w:rPr>
            </w:pPr>
            <w:r>
              <w:rPr>
                <w:rFonts w:ascii="Arial" w:hAnsi="Arial"/>
              </w:rPr>
              <w:t>5.50%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rFonts w:ascii="Arial" w:hAnsi="Arial"/>
              </w:rPr>
            </w:pPr>
            <w:r>
              <w:rPr>
                <w:rFonts w:ascii="Arial" w:hAnsi="Arial"/>
              </w:rPr>
              <w:t>6.00%</w:t>
            </w:r>
          </w:p>
        </w:tc>
        <w:tc>
          <w:tcPr>
            <w:tcW w:w="66" w:type="dxa"/>
            <w:tcBorders/>
            <w:shd w:fill="E5FFFF" w:val="clear"/>
            <w:vAlign w:val="center"/>
          </w:tcPr>
          <w:p>
            <w:pPr>
              <w:pStyle w:val="TableContents"/>
              <w:spacing w:before="0" w:after="283"/>
              <w:rPr/>
            </w:pPr>
            <w:r>
              <w:rPr/>
              <w:t> </w:t>
            </w:r>
          </w:p>
        </w:tc>
      </w:tr>
      <w:tr>
        <w:trPr/>
        <w:tc>
          <w:tcPr>
            <w:tcW w:w="4439" w:type="dxa"/>
            <w:tcBorders/>
            <w:shd w:fill="FFFFFF" w:val="clear"/>
            <w:vAlign w:val="bottom"/>
          </w:tcPr>
          <w:p>
            <w:pPr>
              <w:pStyle w:val="TableContents"/>
              <w:spacing w:before="0" w:after="283"/>
              <w:jc w:val="left"/>
              <w:rPr>
                <w:rFonts w:ascii="Arial" w:hAnsi="Arial"/>
              </w:rPr>
            </w:pPr>
            <w:r>
              <w:rPr>
                <w:rFonts w:ascii="Arial" w:hAnsi="Arial"/>
              </w:rPr>
              <w:t>Expected rate of return on plan assets</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rFonts w:ascii="Arial" w:hAnsi="Arial"/>
              </w:rPr>
            </w:pPr>
            <w:r>
              <w:rPr>
                <w:rFonts w:ascii="Arial" w:hAnsi="Arial"/>
              </w:rPr>
              <w:t>9.00%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Arial" w:hAnsi="Arial"/>
              </w:rPr>
            </w:pPr>
            <w:r>
              <w:rPr>
                <w:rFonts w:ascii="Arial" w:hAnsi="Arial"/>
              </w:rPr>
              <w:t>9.00%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bottom"/>
          </w:tcPr>
          <w:p>
            <w:pPr>
              <w:pStyle w:val="TableContents"/>
              <w:spacing w:before="0" w:after="283"/>
              <w:jc w:val="right"/>
              <w:rPr>
                <w:rFonts w:ascii="Arial" w:hAnsi="Arial"/>
              </w:rPr>
            </w:pPr>
            <w:r>
              <w:rPr>
                <w:rFonts w:ascii="Arial" w:hAnsi="Arial"/>
              </w:rPr>
              <w:t>9.00%</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bottom"/>
          </w:tcPr>
          <w:p>
            <w:pPr>
              <w:pStyle w:val="TableContents"/>
              <w:spacing w:before="0" w:after="283"/>
              <w:jc w:val="right"/>
              <w:rPr/>
            </w:pPr>
            <w:r>
              <w:rPr/>
              <w:t>—</w:t>
            </w:r>
          </w:p>
        </w:tc>
        <w:tc>
          <w:tcPr>
            <w:tcW w:w="66" w:type="dxa"/>
            <w:tcBorders/>
            <w:shd w:fill="FFFFFF" w:val="clear"/>
            <w:vAlign w:val="center"/>
          </w:tcPr>
          <w:p>
            <w:pPr>
              <w:pStyle w:val="TableContents"/>
              <w:spacing w:before="0" w:after="283"/>
              <w:rPr/>
            </w:pPr>
            <w:r>
              <w:rPr/>
              <w:t> </w:t>
            </w:r>
          </w:p>
        </w:tc>
      </w:tr>
      <w:tr>
        <w:trPr/>
        <w:tc>
          <w:tcPr>
            <w:tcW w:w="4439" w:type="dxa"/>
            <w:tcBorders/>
            <w:shd w:fill="E5FFFF" w:val="clear"/>
            <w:vAlign w:val="bottom"/>
          </w:tcPr>
          <w:p>
            <w:pPr>
              <w:pStyle w:val="TableContents"/>
              <w:spacing w:before="0" w:after="283"/>
              <w:jc w:val="left"/>
              <w:rPr>
                <w:rFonts w:ascii="Arial" w:hAnsi="Arial"/>
              </w:rPr>
            </w:pPr>
            <w:r>
              <w:rPr>
                <w:rFonts w:ascii="Arial" w:hAnsi="Arial"/>
              </w:rPr>
              <w:t>Expected annual rate of compensation increase</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rFonts w:ascii="Arial" w:hAnsi="Arial"/>
              </w:rPr>
            </w:pPr>
            <w:r>
              <w:rPr>
                <w:rFonts w:ascii="Arial" w:hAnsi="Arial"/>
              </w:rPr>
              <w:t>4.00%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bottom"/>
          </w:tcPr>
          <w:p>
            <w:pPr>
              <w:pStyle w:val="TableContents"/>
              <w:spacing w:before="0" w:after="283"/>
              <w:jc w:val="right"/>
              <w:rPr>
                <w:rFonts w:ascii="Arial" w:hAnsi="Arial"/>
              </w:rPr>
            </w:pPr>
            <w:r>
              <w:rPr>
                <w:rFonts w:ascii="Arial" w:hAnsi="Arial"/>
              </w:rPr>
              <w:t>4.00%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690" w:type="dxa"/>
            <w:tcBorders/>
            <w:shd w:fill="E5FFFF" w:val="clear"/>
            <w:vAlign w:val="bottom"/>
          </w:tcPr>
          <w:p>
            <w:pPr>
              <w:pStyle w:val="TableContents"/>
              <w:spacing w:before="0" w:after="283"/>
              <w:jc w:val="right"/>
              <w:rPr>
                <w:rFonts w:ascii="Arial" w:hAnsi="Arial"/>
              </w:rPr>
            </w:pPr>
            <w:r>
              <w:rPr>
                <w:rFonts w:ascii="Arial" w:hAnsi="Arial"/>
              </w:rPr>
              <w:t>4.00%</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60" w:type="dxa"/>
            <w:tcBorders/>
            <w:shd w:fill="E5FFFF" w:val="clear"/>
            <w:vAlign w:val="center"/>
          </w:tcPr>
          <w:p>
            <w:pPr>
              <w:pStyle w:val="TableContents"/>
              <w:spacing w:before="0" w:after="283"/>
              <w:rPr/>
            </w:pPr>
            <w:r>
              <w:rPr/>
              <w:t> </w:t>
            </w:r>
          </w:p>
        </w:tc>
        <w:tc>
          <w:tcPr>
            <w:tcW w:w="555" w:type="dxa"/>
            <w:tcBorders/>
            <w:shd w:fill="E5FFFF" w:val="clear"/>
            <w:vAlign w:val="bottom"/>
          </w:tcPr>
          <w:p>
            <w:pPr>
              <w:pStyle w:val="TableContents"/>
              <w:spacing w:before="0" w:after="283"/>
              <w:jc w:val="right"/>
              <w:rPr/>
            </w:pPr>
            <w:r>
              <w:rPr/>
              <w:t>—</w:t>
            </w:r>
          </w:p>
        </w:tc>
        <w:tc>
          <w:tcPr>
            <w:tcW w:w="66" w:type="dxa"/>
            <w:tcBorders/>
            <w:shd w:fill="E5FFFF" w:val="clear"/>
            <w:vAlign w:val="center"/>
          </w:tcPr>
          <w:p>
            <w:pPr>
              <w:pStyle w:val="TableContents"/>
              <w:spacing w:before="0" w:after="283"/>
              <w:rPr/>
            </w:pPr>
            <w:r>
              <w:rPr/>
              <w:t> </w:t>
            </w:r>
          </w:p>
        </w:tc>
      </w:tr>
      <w:tr>
        <w:trPr/>
        <w:tc>
          <w:tcPr>
            <w:tcW w:w="4439"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To select a discount rate for our retirement benefit plans, we use a modeling process that involves matching the expected cash outflows of our benefit plans to a yield curve constructed from a portfolio of double A rated fixed-income debt instruments. We use the average yield of this hypothetical portfolio as a discount rate benchmark. The discount rate used to determine the other postretirement benefit obligation is lower due to a shorter expected duration of other postretirement plan obligations as compared to pension plan obligations.</w:t>
      </w:r>
    </w:p>
    <w:p>
      <w:pPr>
        <w:pStyle w:val="TextBody"/>
        <w:jc w:val="left"/>
        <w:rPr/>
      </w:pPr>
      <w:r>
        <w:rPr/>
        <w:t>      </w:t>
      </w:r>
      <w:r>
        <w:rPr>
          <w:rFonts w:ascii="Arial" w:hAnsi="Arial"/>
        </w:rPr>
        <w:t>Our expected rate of return on plan assets of 9 percent is a long-term rate based on historic plan asset returns over varying long-term periods combined with current market conditions and broad asset mix considerations. The expected rate of return is a long-term assumption and generally does not change annually. For our U.S. pension plans, we use the market-related value of plan assets reflecting changes in the fair value of plan assets over a three-year period.</w:t>
      </w:r>
    </w:p>
    <w:p>
      <w:pPr>
        <w:pStyle w:val="TextBody"/>
        <w:jc w:val="left"/>
        <w:rPr/>
      </w:pPr>
      <w:r>
        <w:rPr/>
        <w:t>      </w:t>
      </w:r>
      <w:r>
        <w:rPr>
          <w:rFonts w:ascii="Arial" w:hAnsi="Arial"/>
        </w:rPr>
        <w:t>For our U.S. benefit plans, actuarial losses in excess of 10 percent of the greater of the market-related value of plan assets or the plans projected benefit obligation are amortized over a six-year period.</w:t>
      </w:r>
    </w:p>
    <w:p>
      <w:pPr>
        <w:pStyle w:val="TextBody"/>
        <w:jc w:val="left"/>
        <w:rPr/>
      </w:pPr>
      <w:r>
        <w:rPr/>
        <w:t>      </w:t>
      </w:r>
      <w:r>
        <w:rPr>
          <w:rFonts w:ascii="Arial" w:hAnsi="Arial"/>
        </w:rPr>
        <w:t>Mortality assumptions for our U.S. benefit plans were updated as of December 31, 2005 using the RP2000 Mortality table for all participants.</w:t>
      </w:r>
    </w:p>
    <w:p>
      <w:pPr>
        <w:pStyle w:val="TextBody"/>
        <w:jc w:val="left"/>
        <w:rPr>
          <w:rFonts w:ascii="Arial" w:hAnsi="Arial"/>
          <w:b/>
        </w:rPr>
      </w:pPr>
      <w:r>
        <w:rPr>
          <w:rFonts w:ascii="Arial" w:hAnsi="Arial"/>
          <w:b/>
        </w:rPr>
        <w:t>Pension Benefits</w:t>
      </w:r>
    </w:p>
    <w:p>
      <w:pPr>
        <w:pStyle w:val="TextBody"/>
        <w:jc w:val="left"/>
        <w:rPr/>
      </w:pPr>
      <w:r>
        <w:rPr/>
        <w:t>      </w:t>
      </w:r>
      <w:r>
        <w:rPr>
          <w:rFonts w:ascii="Arial" w:hAnsi="Arial"/>
        </w:rPr>
        <w:t>Pension plans with accumulated benefit obligations exceeding the fair value of plan assets were as follows:</w:t>
      </w:r>
    </w:p>
    <w:tbl>
      <w:tblPr>
        <w:tblW w:w="5000" w:type="pct"/>
        <w:jc w:val="left"/>
        <w:tblInd w:w="0" w:type="dxa"/>
        <w:tblCellMar>
          <w:top w:w="0" w:type="dxa"/>
          <w:left w:w="0" w:type="dxa"/>
          <w:bottom w:w="0" w:type="dxa"/>
          <w:right w:w="0" w:type="dxa"/>
        </w:tblCellMar>
      </w:tblPr>
      <w:tblGrid>
        <w:gridCol w:w="631"/>
        <w:gridCol w:w="5801"/>
        <w:gridCol w:w="421"/>
        <w:gridCol w:w="272"/>
        <w:gridCol w:w="1088"/>
        <w:gridCol w:w="105"/>
        <w:gridCol w:w="421"/>
        <w:gridCol w:w="272"/>
        <w:gridCol w:w="1088"/>
        <w:gridCol w:w="106"/>
      </w:tblGrid>
      <w:tr>
        <w:trPr/>
        <w:tc>
          <w:tcPr>
            <w:tcW w:w="631" w:type="dxa"/>
            <w:tcBorders/>
            <w:shd w:fill="FFFFFF" w:val="clear"/>
            <w:vAlign w:val="center"/>
          </w:tcPr>
          <w:p>
            <w:pPr>
              <w:pStyle w:val="TableContents"/>
              <w:spacing w:before="0" w:after="283"/>
              <w:rPr/>
            </w:pPr>
            <w:r>
              <w:rPr/>
              <w:t> </w:t>
            </w:r>
          </w:p>
        </w:tc>
        <w:tc>
          <w:tcPr>
            <w:tcW w:w="5801" w:type="dxa"/>
            <w:tcBorders/>
            <w:shd w:fill="FFFFFF" w:val="clear"/>
            <w:vAlign w:val="center"/>
          </w:tcPr>
          <w:p>
            <w:pPr>
              <w:pStyle w:val="TableContents"/>
              <w:spacing w:before="0" w:after="283"/>
              <w:rPr/>
            </w:pPr>
            <w:r>
              <w:rPr/>
              <w:t> </w:t>
            </w:r>
          </w:p>
        </w:tc>
        <w:tc>
          <w:tcPr>
            <w:tcW w:w="421" w:type="dxa"/>
            <w:tcBorders/>
            <w:shd w:fill="FFFFFF" w:val="clear"/>
            <w:vAlign w:val="center"/>
          </w:tcPr>
          <w:p>
            <w:pPr>
              <w:pStyle w:val="TableContents"/>
              <w:spacing w:before="0" w:after="283"/>
              <w:rPr/>
            </w:pPr>
            <w:r>
              <w:rPr/>
              <w:t> </w:t>
            </w:r>
          </w:p>
        </w:tc>
        <w:tc>
          <w:tcPr>
            <w:tcW w:w="3352"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31" w:type="dxa"/>
            <w:tcBorders/>
            <w:shd w:fill="FFFFFF" w:val="clear"/>
            <w:vAlign w:val="center"/>
          </w:tcPr>
          <w:p>
            <w:pPr>
              <w:pStyle w:val="TableContents"/>
              <w:spacing w:before="0" w:after="283"/>
              <w:rPr/>
            </w:pPr>
            <w:r>
              <w:rPr/>
              <w:t> </w:t>
            </w:r>
          </w:p>
        </w:tc>
        <w:tc>
          <w:tcPr>
            <w:tcW w:w="5801" w:type="dxa"/>
            <w:tcBorders/>
            <w:shd w:fill="FFFFFF" w:val="clear"/>
            <w:vAlign w:val="center"/>
          </w:tcPr>
          <w:p>
            <w:pPr>
              <w:pStyle w:val="TableContents"/>
              <w:spacing w:before="0" w:after="283"/>
              <w:rPr/>
            </w:pPr>
            <w:r>
              <w:rPr/>
              <w:t> </w:t>
            </w:r>
          </w:p>
        </w:tc>
        <w:tc>
          <w:tcPr>
            <w:tcW w:w="421" w:type="dxa"/>
            <w:tcBorders/>
            <w:shd w:fill="FFFFFF" w:val="clear"/>
            <w:vAlign w:val="center"/>
          </w:tcPr>
          <w:p>
            <w:pPr>
              <w:pStyle w:val="TableContents"/>
              <w:spacing w:before="0" w:after="283"/>
              <w:rPr/>
            </w:pPr>
            <w:r>
              <w:rPr/>
              <w:t> </w:t>
            </w:r>
          </w:p>
        </w:tc>
        <w:tc>
          <w:tcPr>
            <w:tcW w:w="146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21" w:type="dxa"/>
            <w:tcBorders/>
            <w:shd w:fill="FFFFFF" w:val="clear"/>
            <w:vAlign w:val="center"/>
          </w:tcPr>
          <w:p>
            <w:pPr>
              <w:pStyle w:val="TableContents"/>
              <w:spacing w:before="0" w:after="283"/>
              <w:rPr/>
            </w:pPr>
            <w:r>
              <w:rPr/>
              <w:t> </w:t>
            </w:r>
          </w:p>
        </w:tc>
        <w:tc>
          <w:tcPr>
            <w:tcW w:w="1466"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31" w:type="dxa"/>
            <w:tcBorders/>
            <w:shd w:fill="FFFFFF" w:val="clear"/>
            <w:vAlign w:val="bottom"/>
          </w:tcPr>
          <w:p>
            <w:pPr>
              <w:pStyle w:val="TableContents"/>
              <w:spacing w:before="0" w:after="283"/>
              <w:jc w:val="left"/>
              <w:rPr/>
            </w:pPr>
            <w:r>
              <w:rPr/>
              <w:t>      </w:t>
            </w:r>
          </w:p>
        </w:tc>
        <w:tc>
          <w:tcPr>
            <w:tcW w:w="5801" w:type="dxa"/>
            <w:tcBorders/>
            <w:shd w:fill="FFFFFF" w:val="clear"/>
            <w:vAlign w:val="bottom"/>
          </w:tcPr>
          <w:p>
            <w:pPr>
              <w:pStyle w:val="TableContents"/>
              <w:spacing w:before="0" w:after="283"/>
              <w:jc w:val="left"/>
              <w:rPr>
                <w:rFonts w:ascii="Arial" w:hAnsi="Arial"/>
              </w:rPr>
            </w:pPr>
            <w:r>
              <w:rPr>
                <w:rFonts w:ascii="Arial" w:hAnsi="Arial"/>
              </w:rPr>
              <w:t>Projected benefit obligation</w:t>
            </w:r>
          </w:p>
        </w:tc>
        <w:tc>
          <w:tcPr>
            <w:tcW w:w="421" w:type="dxa"/>
            <w:tcBorders/>
            <w:shd w:fill="FFFFFF" w:val="clear"/>
            <w:vAlign w:val="bottom"/>
          </w:tcPr>
          <w:p>
            <w:pPr>
              <w:pStyle w:val="TableContents"/>
              <w:spacing w:before="0" w:after="283"/>
              <w:jc w:val="right"/>
              <w:rPr/>
            </w:pPr>
            <w:r>
              <w:rPr/>
              <w:t>    </w:t>
            </w:r>
          </w:p>
        </w:tc>
        <w:tc>
          <w:tcPr>
            <w:tcW w:w="272" w:type="dxa"/>
            <w:tcBorders/>
            <w:shd w:fill="FFFFFF" w:val="clear"/>
            <w:vAlign w:val="bottom"/>
          </w:tcPr>
          <w:p>
            <w:pPr>
              <w:pStyle w:val="TableContents"/>
              <w:spacing w:before="0" w:after="283"/>
              <w:jc w:val="right"/>
              <w:rPr>
                <w:rFonts w:ascii="Arial" w:hAnsi="Arial"/>
              </w:rPr>
            </w:pPr>
            <w:r>
              <w:rPr>
                <w:rFonts w:ascii="Arial" w:hAnsi="Arial"/>
              </w:rPr>
              <w:t>$</w:t>
            </w:r>
          </w:p>
        </w:tc>
        <w:tc>
          <w:tcPr>
            <w:tcW w:w="1088" w:type="dxa"/>
            <w:tcBorders/>
            <w:shd w:fill="FFFFFF" w:val="clear"/>
            <w:vAlign w:val="bottom"/>
          </w:tcPr>
          <w:p>
            <w:pPr>
              <w:pStyle w:val="TableContents"/>
              <w:spacing w:before="0" w:after="283"/>
              <w:jc w:val="right"/>
              <w:rPr>
                <w:rFonts w:ascii="Arial" w:hAnsi="Arial"/>
              </w:rPr>
            </w:pPr>
            <w:r>
              <w:rPr>
                <w:rFonts w:ascii="Arial" w:hAnsi="Arial"/>
              </w:rPr>
              <w:t>2,055</w:t>
            </w:r>
          </w:p>
        </w:tc>
        <w:tc>
          <w:tcPr>
            <w:tcW w:w="105" w:type="dxa"/>
            <w:tcBorders/>
            <w:shd w:fill="FFFFFF" w:val="clear"/>
            <w:vAlign w:val="center"/>
          </w:tcPr>
          <w:p>
            <w:pPr>
              <w:pStyle w:val="TableContents"/>
              <w:spacing w:before="0" w:after="283"/>
              <w:rPr/>
            </w:pPr>
            <w:r>
              <w:rPr/>
              <w:t> </w:t>
            </w:r>
          </w:p>
        </w:tc>
        <w:tc>
          <w:tcPr>
            <w:tcW w:w="421" w:type="dxa"/>
            <w:tcBorders/>
            <w:shd w:fill="FFFFFF" w:val="clear"/>
            <w:vAlign w:val="bottom"/>
          </w:tcPr>
          <w:p>
            <w:pPr>
              <w:pStyle w:val="TableContents"/>
              <w:spacing w:before="0" w:after="283"/>
              <w:jc w:val="right"/>
              <w:rPr/>
            </w:pPr>
            <w:r>
              <w:rPr/>
              <w:t>    </w:t>
            </w:r>
          </w:p>
        </w:tc>
        <w:tc>
          <w:tcPr>
            <w:tcW w:w="272" w:type="dxa"/>
            <w:tcBorders/>
            <w:shd w:fill="FFFFFF" w:val="clear"/>
            <w:vAlign w:val="bottom"/>
          </w:tcPr>
          <w:p>
            <w:pPr>
              <w:pStyle w:val="TableContents"/>
              <w:spacing w:before="0" w:after="283"/>
              <w:jc w:val="right"/>
              <w:rPr>
                <w:rFonts w:ascii="Arial" w:hAnsi="Arial"/>
              </w:rPr>
            </w:pPr>
            <w:r>
              <w:rPr>
                <w:rFonts w:ascii="Arial" w:hAnsi="Arial"/>
              </w:rPr>
              <w:t>$</w:t>
            </w:r>
          </w:p>
        </w:tc>
        <w:tc>
          <w:tcPr>
            <w:tcW w:w="1088" w:type="dxa"/>
            <w:tcBorders/>
            <w:shd w:fill="FFFFFF" w:val="clear"/>
            <w:vAlign w:val="bottom"/>
          </w:tcPr>
          <w:p>
            <w:pPr>
              <w:pStyle w:val="TableContents"/>
              <w:spacing w:before="0" w:after="283"/>
              <w:jc w:val="right"/>
              <w:rPr>
                <w:rFonts w:ascii="Arial" w:hAnsi="Arial"/>
              </w:rPr>
            </w:pPr>
            <w:r>
              <w:rPr>
                <w:rFonts w:ascii="Arial" w:hAnsi="Arial"/>
              </w:rPr>
              <w:t>2,746</w:t>
            </w:r>
          </w:p>
        </w:tc>
        <w:tc>
          <w:tcPr>
            <w:tcW w:w="106" w:type="dxa"/>
            <w:tcBorders/>
            <w:shd w:fill="FFFFFF" w:val="clear"/>
            <w:vAlign w:val="center"/>
          </w:tcPr>
          <w:p>
            <w:pPr>
              <w:pStyle w:val="TableContents"/>
              <w:spacing w:before="0" w:after="283"/>
              <w:rPr/>
            </w:pPr>
            <w:r>
              <w:rPr/>
              <w:t> </w:t>
            </w:r>
          </w:p>
        </w:tc>
      </w:tr>
      <w:tr>
        <w:trPr/>
        <w:tc>
          <w:tcPr>
            <w:tcW w:w="631" w:type="dxa"/>
            <w:tcBorders/>
            <w:shd w:fill="E5FFFF" w:val="clear"/>
            <w:vAlign w:val="bottom"/>
          </w:tcPr>
          <w:p>
            <w:pPr>
              <w:pStyle w:val="TableContents"/>
              <w:spacing w:before="0" w:after="283"/>
              <w:jc w:val="left"/>
              <w:rPr/>
            </w:pPr>
            <w:r>
              <w:rPr/>
              <w:t>      </w:t>
            </w:r>
          </w:p>
        </w:tc>
        <w:tc>
          <w:tcPr>
            <w:tcW w:w="5801" w:type="dxa"/>
            <w:tcBorders/>
            <w:shd w:fill="E5FFFF" w:val="clear"/>
            <w:vAlign w:val="bottom"/>
          </w:tcPr>
          <w:p>
            <w:pPr>
              <w:pStyle w:val="TableContents"/>
              <w:spacing w:before="0" w:after="283"/>
              <w:jc w:val="left"/>
              <w:rPr>
                <w:rFonts w:ascii="Arial" w:hAnsi="Arial"/>
              </w:rPr>
            </w:pPr>
            <w:r>
              <w:rPr>
                <w:rFonts w:ascii="Arial" w:hAnsi="Arial"/>
              </w:rPr>
              <w:t>Accumulated benefit obligation</w:t>
            </w:r>
          </w:p>
        </w:tc>
        <w:tc>
          <w:tcPr>
            <w:tcW w:w="421" w:type="dxa"/>
            <w:tcBorders/>
            <w:shd w:fill="E5FFFF" w:val="clear"/>
            <w:vAlign w:val="bottom"/>
          </w:tcPr>
          <w:p>
            <w:pPr>
              <w:pStyle w:val="TableContents"/>
              <w:spacing w:before="0" w:after="283"/>
              <w:jc w:val="right"/>
              <w:rPr/>
            </w:pPr>
            <w:r>
              <w:rPr/>
              <w:t>    </w:t>
            </w:r>
          </w:p>
        </w:tc>
        <w:tc>
          <w:tcPr>
            <w:tcW w:w="272" w:type="dxa"/>
            <w:tcBorders/>
            <w:shd w:fill="E5FFFF" w:val="clear"/>
            <w:vAlign w:val="center"/>
          </w:tcPr>
          <w:p>
            <w:pPr>
              <w:pStyle w:val="TableContents"/>
              <w:spacing w:before="0" w:after="283"/>
              <w:rPr/>
            </w:pPr>
            <w:r>
              <w:rPr/>
              <w:t> </w:t>
            </w:r>
          </w:p>
        </w:tc>
        <w:tc>
          <w:tcPr>
            <w:tcW w:w="1088" w:type="dxa"/>
            <w:tcBorders/>
            <w:shd w:fill="E5FFFF" w:val="clear"/>
            <w:vAlign w:val="bottom"/>
          </w:tcPr>
          <w:p>
            <w:pPr>
              <w:pStyle w:val="TableContents"/>
              <w:spacing w:before="0" w:after="283"/>
              <w:jc w:val="right"/>
              <w:rPr>
                <w:rFonts w:ascii="Arial" w:hAnsi="Arial"/>
              </w:rPr>
            </w:pPr>
            <w:r>
              <w:rPr>
                <w:rFonts w:ascii="Arial" w:hAnsi="Arial"/>
              </w:rPr>
              <w:t>1,875</w:t>
            </w:r>
          </w:p>
        </w:tc>
        <w:tc>
          <w:tcPr>
            <w:tcW w:w="105" w:type="dxa"/>
            <w:tcBorders/>
            <w:shd w:fill="E5FFFF" w:val="clear"/>
            <w:vAlign w:val="center"/>
          </w:tcPr>
          <w:p>
            <w:pPr>
              <w:pStyle w:val="TableContents"/>
              <w:spacing w:before="0" w:after="283"/>
              <w:rPr/>
            </w:pPr>
            <w:r>
              <w:rPr/>
              <w:t> </w:t>
            </w:r>
          </w:p>
        </w:tc>
        <w:tc>
          <w:tcPr>
            <w:tcW w:w="421" w:type="dxa"/>
            <w:tcBorders/>
            <w:shd w:fill="E5FFFF" w:val="clear"/>
            <w:vAlign w:val="bottom"/>
          </w:tcPr>
          <w:p>
            <w:pPr>
              <w:pStyle w:val="TableContents"/>
              <w:spacing w:before="0" w:after="283"/>
              <w:jc w:val="right"/>
              <w:rPr/>
            </w:pPr>
            <w:r>
              <w:rPr/>
              <w:t>    </w:t>
            </w:r>
          </w:p>
        </w:tc>
        <w:tc>
          <w:tcPr>
            <w:tcW w:w="272" w:type="dxa"/>
            <w:tcBorders/>
            <w:shd w:fill="E5FFFF" w:val="clear"/>
            <w:vAlign w:val="center"/>
          </w:tcPr>
          <w:p>
            <w:pPr>
              <w:pStyle w:val="TableContents"/>
              <w:spacing w:before="0" w:after="283"/>
              <w:rPr/>
            </w:pPr>
            <w:r>
              <w:rPr/>
              <w:t> </w:t>
            </w:r>
          </w:p>
        </w:tc>
        <w:tc>
          <w:tcPr>
            <w:tcW w:w="1088" w:type="dxa"/>
            <w:tcBorders/>
            <w:shd w:fill="E5FFFF" w:val="clear"/>
            <w:vAlign w:val="bottom"/>
          </w:tcPr>
          <w:p>
            <w:pPr>
              <w:pStyle w:val="TableContents"/>
              <w:spacing w:before="0" w:after="283"/>
              <w:jc w:val="right"/>
              <w:rPr>
                <w:rFonts w:ascii="Arial" w:hAnsi="Arial"/>
              </w:rPr>
            </w:pPr>
            <w:r>
              <w:rPr>
                <w:rFonts w:ascii="Arial" w:hAnsi="Arial"/>
              </w:rPr>
              <w:t>2,541</w:t>
            </w:r>
          </w:p>
        </w:tc>
        <w:tc>
          <w:tcPr>
            <w:tcW w:w="106" w:type="dxa"/>
            <w:tcBorders/>
            <w:shd w:fill="E5FFFF" w:val="clear"/>
            <w:vAlign w:val="center"/>
          </w:tcPr>
          <w:p>
            <w:pPr>
              <w:pStyle w:val="TableContents"/>
              <w:spacing w:before="0" w:after="283"/>
              <w:rPr/>
            </w:pPr>
            <w:r>
              <w:rPr/>
              <w:t> </w:t>
            </w:r>
          </w:p>
        </w:tc>
      </w:tr>
      <w:tr>
        <w:trPr/>
        <w:tc>
          <w:tcPr>
            <w:tcW w:w="631" w:type="dxa"/>
            <w:tcBorders/>
            <w:shd w:fill="FFFFFF" w:val="clear"/>
            <w:vAlign w:val="bottom"/>
          </w:tcPr>
          <w:p>
            <w:pPr>
              <w:pStyle w:val="TableContents"/>
              <w:spacing w:before="0" w:after="283"/>
              <w:jc w:val="left"/>
              <w:rPr/>
            </w:pPr>
            <w:r>
              <w:rPr/>
              <w:t>      </w:t>
            </w:r>
          </w:p>
        </w:tc>
        <w:tc>
          <w:tcPr>
            <w:tcW w:w="5801" w:type="dxa"/>
            <w:tcBorders/>
            <w:shd w:fill="FFFFFF" w:val="clear"/>
            <w:vAlign w:val="bottom"/>
          </w:tcPr>
          <w:p>
            <w:pPr>
              <w:pStyle w:val="TableContents"/>
              <w:spacing w:before="0" w:after="283"/>
              <w:jc w:val="left"/>
              <w:rPr>
                <w:rFonts w:ascii="Arial" w:hAnsi="Arial"/>
              </w:rPr>
            </w:pPr>
            <w:r>
              <w:rPr>
                <w:rFonts w:ascii="Arial" w:hAnsi="Arial"/>
              </w:rPr>
              <w:t>Fair value of plan assets</w:t>
            </w:r>
          </w:p>
        </w:tc>
        <w:tc>
          <w:tcPr>
            <w:tcW w:w="421" w:type="dxa"/>
            <w:tcBorders/>
            <w:shd w:fill="FFFFFF" w:val="clear"/>
            <w:vAlign w:val="bottom"/>
          </w:tcPr>
          <w:p>
            <w:pPr>
              <w:pStyle w:val="TableContents"/>
              <w:spacing w:before="0" w:after="283"/>
              <w:jc w:val="right"/>
              <w:rPr/>
            </w:pPr>
            <w:r>
              <w:rPr/>
              <w:t>    </w:t>
            </w:r>
          </w:p>
        </w:tc>
        <w:tc>
          <w:tcPr>
            <w:tcW w:w="272" w:type="dxa"/>
            <w:tcBorders/>
            <w:shd w:fill="FFFFFF" w:val="clear"/>
            <w:vAlign w:val="center"/>
          </w:tcPr>
          <w:p>
            <w:pPr>
              <w:pStyle w:val="TableContents"/>
              <w:spacing w:before="0" w:after="283"/>
              <w:rPr/>
            </w:pPr>
            <w:r>
              <w:rPr/>
              <w:t> </w:t>
            </w:r>
          </w:p>
        </w:tc>
        <w:tc>
          <w:tcPr>
            <w:tcW w:w="1088" w:type="dxa"/>
            <w:tcBorders/>
            <w:shd w:fill="FFFFFF" w:val="clear"/>
            <w:vAlign w:val="bottom"/>
          </w:tcPr>
          <w:p>
            <w:pPr>
              <w:pStyle w:val="TableContents"/>
              <w:spacing w:before="0" w:after="283"/>
              <w:jc w:val="right"/>
              <w:rPr>
                <w:rFonts w:ascii="Arial" w:hAnsi="Arial"/>
              </w:rPr>
            </w:pPr>
            <w:r>
              <w:rPr>
                <w:rFonts w:ascii="Arial" w:hAnsi="Arial"/>
              </w:rPr>
              <w:t>1,321</w:t>
            </w:r>
          </w:p>
        </w:tc>
        <w:tc>
          <w:tcPr>
            <w:tcW w:w="105" w:type="dxa"/>
            <w:tcBorders/>
            <w:shd w:fill="FFFFFF" w:val="clear"/>
            <w:vAlign w:val="center"/>
          </w:tcPr>
          <w:p>
            <w:pPr>
              <w:pStyle w:val="TableContents"/>
              <w:spacing w:before="0" w:after="283"/>
              <w:rPr/>
            </w:pPr>
            <w:r>
              <w:rPr/>
              <w:t> </w:t>
            </w:r>
          </w:p>
        </w:tc>
        <w:tc>
          <w:tcPr>
            <w:tcW w:w="421" w:type="dxa"/>
            <w:tcBorders/>
            <w:shd w:fill="FFFFFF" w:val="clear"/>
            <w:vAlign w:val="bottom"/>
          </w:tcPr>
          <w:p>
            <w:pPr>
              <w:pStyle w:val="TableContents"/>
              <w:spacing w:before="0" w:after="283"/>
              <w:jc w:val="right"/>
              <w:rPr/>
            </w:pPr>
            <w:r>
              <w:rPr/>
              <w:t>    </w:t>
            </w:r>
          </w:p>
        </w:tc>
        <w:tc>
          <w:tcPr>
            <w:tcW w:w="272" w:type="dxa"/>
            <w:tcBorders/>
            <w:shd w:fill="FFFFFF" w:val="clear"/>
            <w:vAlign w:val="center"/>
          </w:tcPr>
          <w:p>
            <w:pPr>
              <w:pStyle w:val="TableContents"/>
              <w:spacing w:before="0" w:after="283"/>
              <w:rPr/>
            </w:pPr>
            <w:r>
              <w:rPr/>
              <w:t> </w:t>
            </w:r>
          </w:p>
        </w:tc>
        <w:tc>
          <w:tcPr>
            <w:tcW w:w="1088" w:type="dxa"/>
            <w:tcBorders/>
            <w:shd w:fill="FFFFFF" w:val="clear"/>
            <w:vAlign w:val="bottom"/>
          </w:tcPr>
          <w:p>
            <w:pPr>
              <w:pStyle w:val="TableContents"/>
              <w:spacing w:before="0" w:after="283"/>
              <w:jc w:val="right"/>
              <w:rPr>
                <w:rFonts w:ascii="Arial" w:hAnsi="Arial"/>
              </w:rPr>
            </w:pPr>
            <w:r>
              <w:rPr>
                <w:rFonts w:ascii="Arial" w:hAnsi="Arial"/>
              </w:rPr>
              <w:t>1,511</w:t>
            </w:r>
          </w:p>
        </w:tc>
        <w:tc>
          <w:tcPr>
            <w:tcW w:w="106" w:type="dxa"/>
            <w:tcBorders/>
            <w:shd w:fill="FFFFFF" w:val="clear"/>
            <w:vAlign w:val="center"/>
          </w:tcPr>
          <w:p>
            <w:pPr>
              <w:pStyle w:val="TableContents"/>
              <w:spacing w:before="0" w:after="283"/>
              <w:rPr/>
            </w:pPr>
            <w:r>
              <w:rPr/>
              <w:t> </w:t>
            </w:r>
          </w:p>
        </w:tc>
      </w:tr>
      <w:tr>
        <w:trPr/>
        <w:tc>
          <w:tcPr>
            <w:tcW w:w="631" w:type="dxa"/>
            <w:tcBorders/>
            <w:shd w:fill="FFFFFF" w:val="clear"/>
            <w:vAlign w:val="bottom"/>
          </w:tcPr>
          <w:p>
            <w:pPr>
              <w:pStyle w:val="TableContents"/>
              <w:spacing w:before="0" w:after="283"/>
              <w:jc w:val="left"/>
              <w:rPr/>
            </w:pPr>
            <w:r>
              <w:rPr/>
              <w:t>      </w:t>
            </w:r>
          </w:p>
        </w:tc>
        <w:tc>
          <w:tcPr>
            <w:tcW w:w="5801" w:type="dxa"/>
            <w:tcBorders/>
            <w:shd w:fill="FFFFFF" w:val="clear"/>
            <w:vAlign w:val="bottom"/>
          </w:tcPr>
          <w:p>
            <w:pPr>
              <w:pStyle w:val="TableContents"/>
              <w:spacing w:before="0" w:after="283"/>
              <w:rPr>
                <w:sz w:val="4"/>
                <w:szCs w:val="4"/>
              </w:rPr>
            </w:pPr>
            <w:r>
              <w:rPr>
                <w:sz w:val="4"/>
                <w:szCs w:val="4"/>
              </w:rPr>
            </w:r>
          </w:p>
        </w:tc>
        <w:tc>
          <w:tcPr>
            <w:tcW w:w="421"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088"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rPr/>
            </w:pPr>
            <w:r>
              <w:rPr/>
              <w:t> </w:t>
            </w:r>
          </w:p>
        </w:tc>
        <w:tc>
          <w:tcPr>
            <w:tcW w:w="421" w:type="dxa"/>
            <w:tcBorders/>
            <w:shd w:fill="FFFFFF" w:val="clear"/>
            <w:vAlign w:val="center"/>
          </w:tcPr>
          <w:p>
            <w:pPr>
              <w:pStyle w:val="TableContents"/>
              <w:spacing w:before="0" w:after="283"/>
              <w:rPr/>
            </w:pPr>
            <w:r>
              <w:rPr/>
              <w:t> </w:t>
            </w:r>
          </w:p>
        </w:tc>
        <w:tc>
          <w:tcPr>
            <w:tcW w:w="272" w:type="dxa"/>
            <w:tcBorders/>
            <w:shd w:fill="FFFFFF" w:val="clear"/>
            <w:vAlign w:val="center"/>
          </w:tcPr>
          <w:p>
            <w:pPr>
              <w:pStyle w:val="TableContents"/>
              <w:spacing w:before="0" w:after="283"/>
              <w:rPr/>
            </w:pPr>
            <w:r>
              <w:rPr/>
              <w:t> </w:t>
            </w:r>
          </w:p>
        </w:tc>
        <w:tc>
          <w:tcPr>
            <w:tcW w:w="1088"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89</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Our U.S. pension plans assets were $12.8 and $12.0 billion and our non-U.S. pension plans assets were $3.8 and $2.6 billion at December 31, 2006 and 2005, respectively. Our asset allocation and target allocation for our pension plans assets are as follows:</w:t>
      </w:r>
    </w:p>
    <w:tbl>
      <w:tblPr>
        <w:tblW w:w="5000" w:type="pct"/>
        <w:jc w:val="left"/>
        <w:tblInd w:w="0" w:type="dxa"/>
        <w:tblCellMar>
          <w:top w:w="0" w:type="dxa"/>
          <w:left w:w="0" w:type="dxa"/>
          <w:bottom w:w="0" w:type="dxa"/>
          <w:right w:w="0" w:type="dxa"/>
        </w:tblCellMar>
      </w:tblPr>
      <w:tblGrid>
        <w:gridCol w:w="481"/>
        <w:gridCol w:w="4380"/>
        <w:gridCol w:w="320"/>
        <w:gridCol w:w="111"/>
        <w:gridCol w:w="788"/>
        <w:gridCol w:w="425"/>
        <w:gridCol w:w="444"/>
        <w:gridCol w:w="111"/>
        <w:gridCol w:w="787"/>
        <w:gridCol w:w="426"/>
        <w:gridCol w:w="320"/>
        <w:gridCol w:w="147"/>
        <w:gridCol w:w="898"/>
        <w:gridCol w:w="567"/>
      </w:tblGrid>
      <w:tr>
        <w:trPr/>
        <w:tc>
          <w:tcPr>
            <w:tcW w:w="481" w:type="dxa"/>
            <w:tcBorders/>
            <w:shd w:fill="FFFFFF" w:val="clear"/>
            <w:vAlign w:val="center"/>
          </w:tcPr>
          <w:p>
            <w:pPr>
              <w:pStyle w:val="TableContents"/>
              <w:spacing w:before="0" w:after="283"/>
              <w:rPr/>
            </w:pPr>
            <w:r>
              <w:rPr/>
              <w:t> </w:t>
            </w:r>
          </w:p>
        </w:tc>
        <w:tc>
          <w:tcPr>
            <w:tcW w:w="4380" w:type="dxa"/>
            <w:tcBorders/>
            <w:shd w:fill="FFFFFF" w:val="clear"/>
            <w:vAlign w:val="center"/>
          </w:tcPr>
          <w:p>
            <w:pPr>
              <w:pStyle w:val="TableContents"/>
              <w:spacing w:before="0" w:after="283"/>
              <w:rPr/>
            </w:pPr>
            <w:r>
              <w:rPr/>
              <w:t> </w:t>
            </w:r>
          </w:p>
        </w:tc>
        <w:tc>
          <w:tcPr>
            <w:tcW w:w="320" w:type="dxa"/>
            <w:tcBorders/>
            <w:shd w:fill="FFFFFF" w:val="clear"/>
            <w:vAlign w:val="center"/>
          </w:tcPr>
          <w:p>
            <w:pPr>
              <w:pStyle w:val="TableContents"/>
              <w:spacing w:before="0" w:after="283"/>
              <w:rPr/>
            </w:pPr>
            <w:r>
              <w:rPr/>
              <w:t> </w:t>
            </w:r>
          </w:p>
        </w:tc>
        <w:tc>
          <w:tcPr>
            <w:tcW w:w="3092" w:type="dxa"/>
            <w:gridSpan w:val="7"/>
            <w:tcBorders/>
            <w:shd w:fill="FFFFFF" w:val="clear"/>
            <w:vAlign w:val="bottom"/>
          </w:tcPr>
          <w:p>
            <w:pPr>
              <w:pStyle w:val="TableContents"/>
              <w:spacing w:before="0" w:after="0"/>
              <w:jc w:val="center"/>
              <w:rPr>
                <w:rFonts w:ascii="Arial" w:hAnsi="Arial"/>
                <w:b/>
              </w:rPr>
            </w:pPr>
            <w:r>
              <w:rPr>
                <w:rFonts w:ascii="Arial" w:hAnsi="Arial"/>
                <w:b/>
              </w:rPr>
              <w:t>Percentage of Plans</w:t>
              <w:br/>
              <w:t>Assets at</w:t>
              <w:br/>
              <w:t>December 31,</w:t>
            </w:r>
          </w:p>
          <w:p>
            <w:pPr>
              <w:pStyle w:val="HorizontalLine"/>
              <w:pBdr>
                <w:bottom w:val="single" w:sz="6" w:space="0" w:color="000000"/>
              </w:pBdr>
              <w:spacing w:before="0" w:after="283"/>
              <w:rPr/>
            </w:pPr>
            <w:r>
              <w:rPr/>
            </w:r>
          </w:p>
        </w:tc>
        <w:tc>
          <w:tcPr>
            <w:tcW w:w="320" w:type="dxa"/>
            <w:tcBorders/>
            <w:shd w:fill="FFFFFF" w:val="clear"/>
            <w:vAlign w:val="center"/>
          </w:tcPr>
          <w:p>
            <w:pPr>
              <w:pStyle w:val="TableContents"/>
              <w:spacing w:before="0" w:after="283"/>
              <w:rPr/>
            </w:pPr>
            <w:r>
              <w:rPr/>
              <w:t> </w:t>
            </w:r>
          </w:p>
        </w:tc>
        <w:tc>
          <w:tcPr>
            <w:tcW w:w="1612" w:type="dxa"/>
            <w:gridSpan w:val="3"/>
            <w:tcBorders/>
            <w:shd w:fill="FFFFFF" w:val="clear"/>
            <w:vAlign w:val="bottom"/>
          </w:tcPr>
          <w:p>
            <w:pPr>
              <w:pStyle w:val="TableContents"/>
              <w:spacing w:before="0" w:after="0"/>
              <w:jc w:val="center"/>
              <w:rPr>
                <w:rFonts w:ascii="Arial" w:hAnsi="Arial"/>
                <w:b/>
              </w:rPr>
            </w:pPr>
            <w:r>
              <w:rPr>
                <w:rFonts w:ascii="Arial" w:hAnsi="Arial"/>
                <w:b/>
              </w:rPr>
              <w:t>Long-term</w:t>
              <w:br/>
              <w:t>Target</w:t>
              <w:br/>
              <w:t>Allocation</w:t>
            </w:r>
          </w:p>
          <w:p>
            <w:pPr>
              <w:pStyle w:val="HorizontalLine"/>
              <w:pBdr>
                <w:bottom w:val="single" w:sz="6" w:space="0" w:color="000000"/>
              </w:pBdr>
              <w:spacing w:before="0" w:after="283"/>
              <w:rPr/>
            </w:pPr>
            <w:r>
              <w:rPr/>
            </w:r>
          </w:p>
        </w:tc>
      </w:tr>
      <w:tr>
        <w:trPr/>
        <w:tc>
          <w:tcPr>
            <w:tcW w:w="481" w:type="dxa"/>
            <w:tcBorders/>
            <w:shd w:fill="FFFFFF" w:val="clear"/>
            <w:vAlign w:val="bottom"/>
          </w:tcPr>
          <w:p>
            <w:pPr>
              <w:pStyle w:val="TableContents"/>
              <w:spacing w:before="0" w:after="283"/>
              <w:jc w:val="center"/>
              <w:rPr/>
            </w:pPr>
            <w:r>
              <w:rPr/>
              <w:t>      </w:t>
            </w:r>
          </w:p>
        </w:tc>
        <w:tc>
          <w:tcPr>
            <w:tcW w:w="4380" w:type="dxa"/>
            <w:tcBorders/>
            <w:shd w:fill="FFFFFF" w:val="clear"/>
            <w:vAlign w:val="bottom"/>
          </w:tcPr>
          <w:p>
            <w:pPr>
              <w:pStyle w:val="TableContents"/>
              <w:spacing w:before="0" w:after="0"/>
              <w:jc w:val="center"/>
              <w:rPr>
                <w:rFonts w:ascii="Arial" w:hAnsi="Arial"/>
                <w:b/>
              </w:rPr>
            </w:pPr>
            <w:r>
              <w:rPr>
                <w:rFonts w:ascii="Arial" w:hAnsi="Arial"/>
                <w:b/>
              </w:rPr>
              <w:t>Asset Category</w:t>
            </w:r>
          </w:p>
          <w:p>
            <w:pPr>
              <w:pStyle w:val="HorizontalLine"/>
              <w:pBdr>
                <w:bottom w:val="single" w:sz="6" w:space="0" w:color="000000"/>
              </w:pBdr>
              <w:spacing w:before="0" w:after="283"/>
              <w:rPr/>
            </w:pPr>
            <w:r>
              <w:rPr/>
            </w:r>
          </w:p>
        </w:tc>
        <w:tc>
          <w:tcPr>
            <w:tcW w:w="320" w:type="dxa"/>
            <w:tcBorders/>
            <w:shd w:fill="FFFFFF" w:val="clear"/>
            <w:vAlign w:val="center"/>
          </w:tcPr>
          <w:p>
            <w:pPr>
              <w:pStyle w:val="TableContents"/>
              <w:spacing w:before="0" w:after="283"/>
              <w:rPr/>
            </w:pPr>
            <w:r>
              <w:rPr/>
              <w:t> </w:t>
            </w:r>
          </w:p>
        </w:tc>
        <w:tc>
          <w:tcPr>
            <w:tcW w:w="132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444" w:type="dxa"/>
            <w:tcBorders/>
            <w:shd w:fill="FFFFFF" w:val="clear"/>
            <w:vAlign w:val="center"/>
          </w:tcPr>
          <w:p>
            <w:pPr>
              <w:pStyle w:val="TableContents"/>
              <w:spacing w:before="0" w:after="283"/>
              <w:rPr/>
            </w:pPr>
            <w:r>
              <w:rPr/>
              <w:t> </w:t>
            </w:r>
          </w:p>
        </w:tc>
        <w:tc>
          <w:tcPr>
            <w:tcW w:w="132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2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rPr/>
            </w:pPr>
            <w:r>
              <w:rPr/>
              <w:t> </w:t>
            </w:r>
          </w:p>
        </w:tc>
        <w:tc>
          <w:tcPr>
            <w:tcW w:w="898" w:type="dxa"/>
            <w:tcBorders/>
            <w:shd w:fill="FFFFFF" w:val="clear"/>
            <w:vAlign w:val="center"/>
          </w:tcPr>
          <w:p>
            <w:pPr>
              <w:pStyle w:val="TableContents"/>
              <w:spacing w:before="0" w:after="283"/>
              <w:rPr/>
            </w:pPr>
            <w:r>
              <w:rPr/>
              <w:t> </w:t>
            </w:r>
          </w:p>
        </w:tc>
        <w:tc>
          <w:tcPr>
            <w:tcW w:w="567" w:type="dxa"/>
            <w:tcBorders/>
            <w:shd w:fill="FFFFFF" w:val="clear"/>
            <w:vAlign w:val="center"/>
          </w:tcPr>
          <w:p>
            <w:pPr>
              <w:pStyle w:val="TableContents"/>
              <w:spacing w:before="0" w:after="283"/>
              <w:rPr/>
            </w:pPr>
            <w:r>
              <w:rPr/>
              <w:t> </w:t>
            </w:r>
          </w:p>
        </w:tc>
      </w:tr>
      <w:tr>
        <w:trPr/>
        <w:tc>
          <w:tcPr>
            <w:tcW w:w="481" w:type="dxa"/>
            <w:tcBorders/>
            <w:shd w:fill="E5FFFF" w:val="clear"/>
            <w:vAlign w:val="bottom"/>
          </w:tcPr>
          <w:p>
            <w:pPr>
              <w:pStyle w:val="TableContents"/>
              <w:spacing w:before="0" w:after="283"/>
              <w:jc w:val="left"/>
              <w:rPr/>
            </w:pPr>
            <w:r>
              <w:rPr/>
              <w:t>      </w:t>
            </w:r>
          </w:p>
        </w:tc>
        <w:tc>
          <w:tcPr>
            <w:tcW w:w="4380" w:type="dxa"/>
            <w:tcBorders/>
            <w:shd w:fill="E5FFFF" w:val="clear"/>
            <w:vAlign w:val="bottom"/>
          </w:tcPr>
          <w:p>
            <w:pPr>
              <w:pStyle w:val="TableContents"/>
              <w:spacing w:before="0" w:after="283"/>
              <w:jc w:val="left"/>
              <w:rPr>
                <w:rFonts w:ascii="Arial" w:hAnsi="Arial"/>
              </w:rPr>
            </w:pPr>
            <w:r>
              <w:rPr>
                <w:rFonts w:ascii="Arial" w:hAnsi="Arial"/>
              </w:rPr>
              <w:t>Equity securities</w:t>
            </w:r>
          </w:p>
        </w:tc>
        <w:tc>
          <w:tcPr>
            <w:tcW w:w="320"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8" w:type="dxa"/>
            <w:tcBorders/>
            <w:shd w:fill="E5FFFF" w:val="clear"/>
            <w:vAlign w:val="bottom"/>
          </w:tcPr>
          <w:p>
            <w:pPr>
              <w:pStyle w:val="TableContents"/>
              <w:spacing w:before="0" w:after="283"/>
              <w:jc w:val="right"/>
              <w:rPr>
                <w:rFonts w:ascii="Arial" w:hAnsi="Arial"/>
              </w:rPr>
            </w:pPr>
            <w:r>
              <w:rPr>
                <w:rFonts w:ascii="Arial" w:hAnsi="Arial"/>
              </w:rPr>
              <w:t>63</w:t>
            </w:r>
          </w:p>
        </w:tc>
        <w:tc>
          <w:tcPr>
            <w:tcW w:w="425" w:type="dxa"/>
            <w:tcBorders/>
            <w:shd w:fill="E5FFFF" w:val="clear"/>
            <w:vAlign w:val="bottom"/>
          </w:tcPr>
          <w:p>
            <w:pPr>
              <w:pStyle w:val="TableContents"/>
              <w:spacing w:before="0" w:after="283"/>
              <w:jc w:val="left"/>
              <w:rPr>
                <w:rFonts w:ascii="Arial" w:hAnsi="Arial"/>
              </w:rPr>
            </w:pPr>
            <w:r>
              <w:rPr>
                <w:rFonts w:ascii="Arial" w:hAnsi="Arial"/>
              </w:rPr>
              <w:t>%</w:t>
            </w:r>
          </w:p>
        </w:tc>
        <w:tc>
          <w:tcPr>
            <w:tcW w:w="444"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7" w:type="dxa"/>
            <w:tcBorders/>
            <w:shd w:fill="E5FFFF" w:val="clear"/>
            <w:vAlign w:val="bottom"/>
          </w:tcPr>
          <w:p>
            <w:pPr>
              <w:pStyle w:val="TableContents"/>
              <w:spacing w:before="0" w:after="283"/>
              <w:jc w:val="right"/>
              <w:rPr>
                <w:rFonts w:ascii="Arial" w:hAnsi="Arial"/>
              </w:rPr>
            </w:pPr>
            <w:r>
              <w:rPr>
                <w:rFonts w:ascii="Arial" w:hAnsi="Arial"/>
              </w:rPr>
              <w:t>63</w:t>
            </w:r>
          </w:p>
        </w:tc>
        <w:tc>
          <w:tcPr>
            <w:tcW w:w="426" w:type="dxa"/>
            <w:tcBorders/>
            <w:shd w:fill="E5FFFF" w:val="clear"/>
            <w:vAlign w:val="bottom"/>
          </w:tcPr>
          <w:p>
            <w:pPr>
              <w:pStyle w:val="TableContents"/>
              <w:spacing w:before="0" w:after="283"/>
              <w:jc w:val="left"/>
              <w:rPr>
                <w:rFonts w:ascii="Arial" w:hAnsi="Arial"/>
              </w:rPr>
            </w:pPr>
            <w:r>
              <w:rPr>
                <w:rFonts w:ascii="Arial" w:hAnsi="Arial"/>
              </w:rPr>
              <w:t>%</w:t>
            </w:r>
          </w:p>
        </w:tc>
        <w:tc>
          <w:tcPr>
            <w:tcW w:w="320" w:type="dxa"/>
            <w:tcBorders/>
            <w:shd w:fill="E5FFFF" w:val="clear"/>
            <w:vAlign w:val="bottom"/>
          </w:tcPr>
          <w:p>
            <w:pPr>
              <w:pStyle w:val="TableContents"/>
              <w:spacing w:before="0" w:after="283"/>
              <w:jc w:val="right"/>
              <w:rPr/>
            </w:pPr>
            <w:r>
              <w:rPr/>
              <w:t>    </w:t>
            </w:r>
          </w:p>
        </w:tc>
        <w:tc>
          <w:tcPr>
            <w:tcW w:w="147" w:type="dxa"/>
            <w:tcBorders/>
            <w:shd w:fill="E5FFFF" w:val="clear"/>
            <w:vAlign w:val="center"/>
          </w:tcPr>
          <w:p>
            <w:pPr>
              <w:pStyle w:val="TableContents"/>
              <w:spacing w:before="0" w:after="283"/>
              <w:rPr/>
            </w:pPr>
            <w:r>
              <w:rPr/>
              <w:t> </w:t>
            </w:r>
          </w:p>
        </w:tc>
        <w:tc>
          <w:tcPr>
            <w:tcW w:w="898" w:type="dxa"/>
            <w:tcBorders/>
            <w:shd w:fill="E5FFFF" w:val="clear"/>
            <w:vAlign w:val="bottom"/>
          </w:tcPr>
          <w:p>
            <w:pPr>
              <w:pStyle w:val="TableContents"/>
              <w:spacing w:before="0" w:after="283"/>
              <w:jc w:val="right"/>
              <w:rPr>
                <w:rFonts w:ascii="Arial" w:hAnsi="Arial"/>
              </w:rPr>
            </w:pPr>
            <w:r>
              <w:rPr>
                <w:rFonts w:ascii="Arial" w:hAnsi="Arial"/>
              </w:rPr>
              <w:t>40-65</w:t>
            </w:r>
          </w:p>
        </w:tc>
        <w:tc>
          <w:tcPr>
            <w:tcW w:w="567"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81" w:type="dxa"/>
            <w:tcBorders/>
            <w:shd w:fill="FFFFFF" w:val="clear"/>
            <w:vAlign w:val="bottom"/>
          </w:tcPr>
          <w:p>
            <w:pPr>
              <w:pStyle w:val="TableContents"/>
              <w:spacing w:before="0" w:after="283"/>
              <w:jc w:val="left"/>
              <w:rPr/>
            </w:pPr>
            <w:r>
              <w:rPr/>
              <w:t>      </w:t>
            </w:r>
          </w:p>
        </w:tc>
        <w:tc>
          <w:tcPr>
            <w:tcW w:w="4380" w:type="dxa"/>
            <w:tcBorders/>
            <w:shd w:fill="FFFFFF" w:val="clear"/>
            <w:vAlign w:val="bottom"/>
          </w:tcPr>
          <w:p>
            <w:pPr>
              <w:pStyle w:val="TableContents"/>
              <w:spacing w:before="0" w:after="283"/>
              <w:jc w:val="left"/>
              <w:rPr>
                <w:rFonts w:ascii="Arial" w:hAnsi="Arial"/>
              </w:rPr>
            </w:pPr>
            <w:r>
              <w:rPr>
                <w:rFonts w:ascii="Arial" w:hAnsi="Arial"/>
              </w:rPr>
              <w:t>Debt securities, including cash</w:t>
            </w:r>
          </w:p>
        </w:tc>
        <w:tc>
          <w:tcPr>
            <w:tcW w:w="320" w:type="dxa"/>
            <w:tcBorders/>
            <w:shd w:fill="FFFFFF" w:val="clear"/>
            <w:vAlign w:val="bottom"/>
          </w:tcPr>
          <w:p>
            <w:pPr>
              <w:pStyle w:val="TableContents"/>
              <w:spacing w:before="0" w:after="283"/>
              <w:jc w:val="right"/>
              <w:rPr/>
            </w:pPr>
            <w:r>
              <w:rPr/>
              <w:t>    </w:t>
            </w:r>
          </w:p>
        </w:tc>
        <w:tc>
          <w:tcPr>
            <w:tcW w:w="111" w:type="dxa"/>
            <w:tcBorders/>
            <w:shd w:fill="FFFFFF" w:val="clear"/>
            <w:vAlign w:val="center"/>
          </w:tcPr>
          <w:p>
            <w:pPr>
              <w:pStyle w:val="TableContents"/>
              <w:spacing w:before="0" w:after="283"/>
              <w:rPr/>
            </w:pPr>
            <w:r>
              <w:rPr/>
              <w:t> </w:t>
            </w:r>
          </w:p>
        </w:tc>
        <w:tc>
          <w:tcPr>
            <w:tcW w:w="788" w:type="dxa"/>
            <w:tcBorders/>
            <w:shd w:fill="FFFFFF" w:val="clear"/>
            <w:vAlign w:val="bottom"/>
          </w:tcPr>
          <w:p>
            <w:pPr>
              <w:pStyle w:val="TableContents"/>
              <w:spacing w:before="0" w:after="283"/>
              <w:jc w:val="right"/>
              <w:rPr>
                <w:rFonts w:ascii="Arial" w:hAnsi="Arial"/>
              </w:rPr>
            </w:pPr>
            <w:r>
              <w:rPr>
                <w:rFonts w:ascii="Arial" w:hAnsi="Arial"/>
              </w:rPr>
              <w:t>29</w:t>
            </w:r>
          </w:p>
        </w:tc>
        <w:tc>
          <w:tcPr>
            <w:tcW w:w="425" w:type="dxa"/>
            <w:tcBorders/>
            <w:shd w:fill="FFFFFF" w:val="clear"/>
            <w:vAlign w:val="center"/>
          </w:tcPr>
          <w:p>
            <w:pPr>
              <w:pStyle w:val="TableContents"/>
              <w:spacing w:before="0" w:after="283"/>
              <w:rPr/>
            </w:pPr>
            <w:r>
              <w:rPr/>
              <w:t> </w:t>
            </w:r>
          </w:p>
        </w:tc>
        <w:tc>
          <w:tcPr>
            <w:tcW w:w="444" w:type="dxa"/>
            <w:tcBorders/>
            <w:shd w:fill="FFFFFF" w:val="clear"/>
            <w:vAlign w:val="bottom"/>
          </w:tcPr>
          <w:p>
            <w:pPr>
              <w:pStyle w:val="TableContents"/>
              <w:spacing w:before="0" w:after="283"/>
              <w:jc w:val="right"/>
              <w:rPr/>
            </w:pPr>
            <w:r>
              <w:rPr/>
              <w:t>    </w:t>
            </w:r>
          </w:p>
        </w:tc>
        <w:tc>
          <w:tcPr>
            <w:tcW w:w="111" w:type="dxa"/>
            <w:tcBorders/>
            <w:shd w:fill="FFFFFF" w:val="clear"/>
            <w:vAlign w:val="center"/>
          </w:tcPr>
          <w:p>
            <w:pPr>
              <w:pStyle w:val="TableContents"/>
              <w:spacing w:before="0" w:after="283"/>
              <w:rPr/>
            </w:pPr>
            <w:r>
              <w:rPr/>
              <w:t> </w:t>
            </w:r>
          </w:p>
        </w:tc>
        <w:tc>
          <w:tcPr>
            <w:tcW w:w="787" w:type="dxa"/>
            <w:tcBorders/>
            <w:shd w:fill="FFFFFF" w:val="clear"/>
            <w:vAlign w:val="bottom"/>
          </w:tcPr>
          <w:p>
            <w:pPr>
              <w:pStyle w:val="TableContents"/>
              <w:spacing w:before="0" w:after="283"/>
              <w:jc w:val="right"/>
              <w:rPr>
                <w:rFonts w:ascii="Arial" w:hAnsi="Arial"/>
              </w:rPr>
            </w:pPr>
            <w:r>
              <w:rPr>
                <w:rFonts w:ascii="Arial" w:hAnsi="Arial"/>
              </w:rPr>
              <w:t>31</w:t>
            </w:r>
          </w:p>
        </w:tc>
        <w:tc>
          <w:tcPr>
            <w:tcW w:w="426" w:type="dxa"/>
            <w:tcBorders/>
            <w:shd w:fill="FFFFFF" w:val="clear"/>
            <w:vAlign w:val="center"/>
          </w:tcPr>
          <w:p>
            <w:pPr>
              <w:pStyle w:val="TableContents"/>
              <w:spacing w:before="0" w:after="283"/>
              <w:rPr/>
            </w:pPr>
            <w:r>
              <w:rPr/>
              <w:t> </w:t>
            </w:r>
          </w:p>
        </w:tc>
        <w:tc>
          <w:tcPr>
            <w:tcW w:w="320" w:type="dxa"/>
            <w:tcBorders/>
            <w:shd w:fill="FFFFFF" w:val="clear"/>
            <w:vAlign w:val="bottom"/>
          </w:tcPr>
          <w:p>
            <w:pPr>
              <w:pStyle w:val="TableContents"/>
              <w:spacing w:before="0" w:after="283"/>
              <w:jc w:val="right"/>
              <w:rPr/>
            </w:pPr>
            <w:r>
              <w:rPr/>
              <w:t>    </w:t>
            </w:r>
          </w:p>
        </w:tc>
        <w:tc>
          <w:tcPr>
            <w:tcW w:w="147" w:type="dxa"/>
            <w:tcBorders/>
            <w:shd w:fill="FFFFFF" w:val="clear"/>
            <w:vAlign w:val="center"/>
          </w:tcPr>
          <w:p>
            <w:pPr>
              <w:pStyle w:val="TableContents"/>
              <w:spacing w:before="0" w:after="283"/>
              <w:rPr/>
            </w:pPr>
            <w:r>
              <w:rPr/>
              <w:t> </w:t>
            </w:r>
          </w:p>
        </w:tc>
        <w:tc>
          <w:tcPr>
            <w:tcW w:w="898" w:type="dxa"/>
            <w:tcBorders/>
            <w:shd w:fill="FFFFFF" w:val="clear"/>
            <w:vAlign w:val="bottom"/>
          </w:tcPr>
          <w:p>
            <w:pPr>
              <w:pStyle w:val="TableContents"/>
              <w:spacing w:before="0" w:after="283"/>
              <w:jc w:val="right"/>
              <w:rPr>
                <w:rFonts w:ascii="Arial" w:hAnsi="Arial"/>
              </w:rPr>
            </w:pPr>
            <w:r>
              <w:rPr>
                <w:rFonts w:ascii="Arial" w:hAnsi="Arial"/>
              </w:rPr>
              <w:t>25-45</w:t>
            </w:r>
          </w:p>
        </w:tc>
        <w:tc>
          <w:tcPr>
            <w:tcW w:w="567" w:type="dxa"/>
            <w:tcBorders/>
            <w:shd w:fill="FFFFFF" w:val="clear"/>
            <w:vAlign w:val="center"/>
          </w:tcPr>
          <w:p>
            <w:pPr>
              <w:pStyle w:val="TableContents"/>
              <w:spacing w:before="0" w:after="283"/>
              <w:rPr/>
            </w:pPr>
            <w:r>
              <w:rPr/>
              <w:t> </w:t>
            </w:r>
          </w:p>
        </w:tc>
      </w:tr>
      <w:tr>
        <w:trPr/>
        <w:tc>
          <w:tcPr>
            <w:tcW w:w="481" w:type="dxa"/>
            <w:tcBorders/>
            <w:shd w:fill="E5FFFF" w:val="clear"/>
            <w:vAlign w:val="bottom"/>
          </w:tcPr>
          <w:p>
            <w:pPr>
              <w:pStyle w:val="TableContents"/>
              <w:spacing w:before="0" w:after="283"/>
              <w:jc w:val="left"/>
              <w:rPr/>
            </w:pPr>
            <w:r>
              <w:rPr/>
              <w:t>      </w:t>
            </w:r>
          </w:p>
        </w:tc>
        <w:tc>
          <w:tcPr>
            <w:tcW w:w="4380" w:type="dxa"/>
            <w:tcBorders/>
            <w:shd w:fill="E5FFFF" w:val="clear"/>
            <w:vAlign w:val="bottom"/>
          </w:tcPr>
          <w:p>
            <w:pPr>
              <w:pStyle w:val="TableContents"/>
              <w:spacing w:before="0" w:after="283"/>
              <w:jc w:val="left"/>
              <w:rPr>
                <w:rFonts w:ascii="Arial" w:hAnsi="Arial"/>
              </w:rPr>
            </w:pPr>
            <w:r>
              <w:rPr>
                <w:rFonts w:ascii="Arial" w:hAnsi="Arial"/>
              </w:rPr>
              <w:t>Real estate</w:t>
            </w:r>
          </w:p>
        </w:tc>
        <w:tc>
          <w:tcPr>
            <w:tcW w:w="320"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8" w:type="dxa"/>
            <w:tcBorders/>
            <w:shd w:fill="E5FFFF" w:val="clear"/>
            <w:vAlign w:val="bottom"/>
          </w:tcPr>
          <w:p>
            <w:pPr>
              <w:pStyle w:val="TableContents"/>
              <w:spacing w:before="0" w:after="283"/>
              <w:jc w:val="right"/>
              <w:rPr>
                <w:rFonts w:ascii="Arial" w:hAnsi="Arial"/>
              </w:rPr>
            </w:pPr>
            <w:r>
              <w:rPr>
                <w:rFonts w:ascii="Arial" w:hAnsi="Arial"/>
              </w:rPr>
              <w:t>5</w:t>
            </w:r>
          </w:p>
        </w:tc>
        <w:tc>
          <w:tcPr>
            <w:tcW w:w="425" w:type="dxa"/>
            <w:tcBorders/>
            <w:shd w:fill="E5FFFF" w:val="clear"/>
            <w:vAlign w:val="center"/>
          </w:tcPr>
          <w:p>
            <w:pPr>
              <w:pStyle w:val="TableContents"/>
              <w:spacing w:before="0" w:after="283"/>
              <w:rPr/>
            </w:pPr>
            <w:r>
              <w:rPr/>
              <w:t> </w:t>
            </w:r>
          </w:p>
        </w:tc>
        <w:tc>
          <w:tcPr>
            <w:tcW w:w="444"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7" w:type="dxa"/>
            <w:tcBorders/>
            <w:shd w:fill="E5FFFF" w:val="clear"/>
            <w:vAlign w:val="bottom"/>
          </w:tcPr>
          <w:p>
            <w:pPr>
              <w:pStyle w:val="TableContents"/>
              <w:spacing w:before="0" w:after="283"/>
              <w:jc w:val="right"/>
              <w:rPr>
                <w:rFonts w:ascii="Arial" w:hAnsi="Arial"/>
              </w:rPr>
            </w:pPr>
            <w:r>
              <w:rPr>
                <w:rFonts w:ascii="Arial" w:hAnsi="Arial"/>
              </w:rPr>
              <w:t>4</w:t>
            </w:r>
          </w:p>
        </w:tc>
        <w:tc>
          <w:tcPr>
            <w:tcW w:w="426" w:type="dxa"/>
            <w:tcBorders/>
            <w:shd w:fill="E5FFFF" w:val="clear"/>
            <w:vAlign w:val="center"/>
          </w:tcPr>
          <w:p>
            <w:pPr>
              <w:pStyle w:val="TableContents"/>
              <w:spacing w:before="0" w:after="283"/>
              <w:rPr/>
            </w:pPr>
            <w:r>
              <w:rPr/>
              <w:t> </w:t>
            </w:r>
          </w:p>
        </w:tc>
        <w:tc>
          <w:tcPr>
            <w:tcW w:w="320" w:type="dxa"/>
            <w:tcBorders/>
            <w:shd w:fill="E5FFFF" w:val="clear"/>
            <w:vAlign w:val="bottom"/>
          </w:tcPr>
          <w:p>
            <w:pPr>
              <w:pStyle w:val="TableContents"/>
              <w:spacing w:before="0" w:after="283"/>
              <w:jc w:val="right"/>
              <w:rPr/>
            </w:pPr>
            <w:r>
              <w:rPr/>
              <w:t>    </w:t>
            </w:r>
          </w:p>
        </w:tc>
        <w:tc>
          <w:tcPr>
            <w:tcW w:w="147" w:type="dxa"/>
            <w:tcBorders/>
            <w:shd w:fill="E5FFFF" w:val="clear"/>
            <w:vAlign w:val="center"/>
          </w:tcPr>
          <w:p>
            <w:pPr>
              <w:pStyle w:val="TableContents"/>
              <w:spacing w:before="0" w:after="283"/>
              <w:rPr/>
            </w:pPr>
            <w:r>
              <w:rPr/>
              <w:t> </w:t>
            </w:r>
          </w:p>
        </w:tc>
        <w:tc>
          <w:tcPr>
            <w:tcW w:w="898" w:type="dxa"/>
            <w:tcBorders/>
            <w:shd w:fill="E5FFFF" w:val="clear"/>
            <w:vAlign w:val="bottom"/>
          </w:tcPr>
          <w:p>
            <w:pPr>
              <w:pStyle w:val="TableContents"/>
              <w:spacing w:before="0" w:after="283"/>
              <w:jc w:val="right"/>
              <w:rPr>
                <w:rFonts w:ascii="Arial" w:hAnsi="Arial"/>
              </w:rPr>
            </w:pPr>
            <w:r>
              <w:rPr>
                <w:rFonts w:ascii="Arial" w:hAnsi="Arial"/>
              </w:rPr>
              <w:t>2-8</w:t>
            </w:r>
          </w:p>
        </w:tc>
        <w:tc>
          <w:tcPr>
            <w:tcW w:w="567" w:type="dxa"/>
            <w:tcBorders/>
            <w:shd w:fill="E5FFFF" w:val="clear"/>
            <w:vAlign w:val="center"/>
          </w:tcPr>
          <w:p>
            <w:pPr>
              <w:pStyle w:val="TableContents"/>
              <w:spacing w:before="0" w:after="283"/>
              <w:rPr/>
            </w:pPr>
            <w:r>
              <w:rPr/>
              <w:t> </w:t>
            </w:r>
          </w:p>
        </w:tc>
      </w:tr>
      <w:tr>
        <w:trPr/>
        <w:tc>
          <w:tcPr>
            <w:tcW w:w="481" w:type="dxa"/>
            <w:tcBorders/>
            <w:shd w:fill="FFFFFF" w:val="clear"/>
            <w:vAlign w:val="bottom"/>
          </w:tcPr>
          <w:p>
            <w:pPr>
              <w:pStyle w:val="TableContents"/>
              <w:spacing w:before="0" w:after="283"/>
              <w:jc w:val="left"/>
              <w:rPr/>
            </w:pPr>
            <w:r>
              <w:rPr/>
              <w:t>      </w:t>
            </w:r>
          </w:p>
        </w:tc>
        <w:tc>
          <w:tcPr>
            <w:tcW w:w="4380" w:type="dxa"/>
            <w:tcBorders/>
            <w:shd w:fill="FFFFFF" w:val="clear"/>
            <w:vAlign w:val="bottom"/>
          </w:tcPr>
          <w:p>
            <w:pPr>
              <w:pStyle w:val="TableContents"/>
              <w:spacing w:before="0" w:after="283"/>
              <w:jc w:val="left"/>
              <w:rPr>
                <w:rFonts w:ascii="Arial" w:hAnsi="Arial"/>
              </w:rPr>
            </w:pPr>
            <w:r>
              <w:rPr>
                <w:rFonts w:ascii="Arial" w:hAnsi="Arial"/>
              </w:rPr>
              <w:t>Other</w:t>
            </w:r>
          </w:p>
        </w:tc>
        <w:tc>
          <w:tcPr>
            <w:tcW w:w="320" w:type="dxa"/>
            <w:tcBorders/>
            <w:shd w:fill="FFFFFF" w:val="clear"/>
            <w:vAlign w:val="bottom"/>
          </w:tcPr>
          <w:p>
            <w:pPr>
              <w:pStyle w:val="TableContents"/>
              <w:spacing w:before="0" w:after="283"/>
              <w:jc w:val="right"/>
              <w:rPr/>
            </w:pPr>
            <w:r>
              <w:rPr/>
              <w:t>    </w:t>
            </w:r>
          </w:p>
        </w:tc>
        <w:tc>
          <w:tcPr>
            <w:tcW w:w="111" w:type="dxa"/>
            <w:tcBorders/>
            <w:shd w:fill="FFFFFF" w:val="clear"/>
            <w:vAlign w:val="center"/>
          </w:tcPr>
          <w:p>
            <w:pPr>
              <w:pStyle w:val="TableContents"/>
              <w:spacing w:before="0" w:after="283"/>
              <w:rPr/>
            </w:pPr>
            <w:r>
              <w:rPr/>
              <w:t> </w:t>
            </w:r>
          </w:p>
        </w:tc>
        <w:tc>
          <w:tcPr>
            <w:tcW w:w="788" w:type="dxa"/>
            <w:tcBorders/>
            <w:shd w:fill="FFFFFF" w:val="clear"/>
            <w:vAlign w:val="bottom"/>
          </w:tcPr>
          <w:p>
            <w:pPr>
              <w:pStyle w:val="TableContents"/>
              <w:spacing w:before="0" w:after="283"/>
              <w:jc w:val="right"/>
              <w:rPr>
                <w:rFonts w:ascii="Arial" w:hAnsi="Arial"/>
              </w:rPr>
            </w:pPr>
            <w:r>
              <w:rPr>
                <w:rFonts w:ascii="Arial" w:hAnsi="Arial"/>
              </w:rPr>
              <w:t>3</w:t>
            </w:r>
          </w:p>
        </w:tc>
        <w:tc>
          <w:tcPr>
            <w:tcW w:w="425" w:type="dxa"/>
            <w:tcBorders/>
            <w:shd w:fill="FFFFFF" w:val="clear"/>
            <w:vAlign w:val="center"/>
          </w:tcPr>
          <w:p>
            <w:pPr>
              <w:pStyle w:val="TableContents"/>
              <w:spacing w:before="0" w:after="283"/>
              <w:rPr/>
            </w:pPr>
            <w:r>
              <w:rPr/>
              <w:t> </w:t>
            </w:r>
          </w:p>
        </w:tc>
        <w:tc>
          <w:tcPr>
            <w:tcW w:w="444" w:type="dxa"/>
            <w:tcBorders/>
            <w:shd w:fill="FFFFFF" w:val="clear"/>
            <w:vAlign w:val="bottom"/>
          </w:tcPr>
          <w:p>
            <w:pPr>
              <w:pStyle w:val="TableContents"/>
              <w:spacing w:before="0" w:after="283"/>
              <w:jc w:val="right"/>
              <w:rPr/>
            </w:pPr>
            <w:r>
              <w:rPr/>
              <w:t>    </w:t>
            </w:r>
          </w:p>
        </w:tc>
        <w:tc>
          <w:tcPr>
            <w:tcW w:w="111" w:type="dxa"/>
            <w:tcBorders/>
            <w:shd w:fill="FFFFFF" w:val="clear"/>
            <w:vAlign w:val="center"/>
          </w:tcPr>
          <w:p>
            <w:pPr>
              <w:pStyle w:val="TableContents"/>
              <w:spacing w:before="0" w:after="283"/>
              <w:rPr/>
            </w:pPr>
            <w:r>
              <w:rPr/>
              <w:t> </w:t>
            </w:r>
          </w:p>
        </w:tc>
        <w:tc>
          <w:tcPr>
            <w:tcW w:w="787" w:type="dxa"/>
            <w:tcBorders/>
            <w:shd w:fill="FFFFFF" w:val="clear"/>
            <w:vAlign w:val="bottom"/>
          </w:tcPr>
          <w:p>
            <w:pPr>
              <w:pStyle w:val="TableContents"/>
              <w:spacing w:before="0" w:after="283"/>
              <w:jc w:val="right"/>
              <w:rPr>
                <w:rFonts w:ascii="Arial" w:hAnsi="Arial"/>
              </w:rPr>
            </w:pPr>
            <w:r>
              <w:rPr>
                <w:rFonts w:ascii="Arial" w:hAnsi="Arial"/>
              </w:rPr>
              <w:t>2</w:t>
            </w:r>
          </w:p>
        </w:tc>
        <w:tc>
          <w:tcPr>
            <w:tcW w:w="426" w:type="dxa"/>
            <w:tcBorders/>
            <w:shd w:fill="FFFFFF" w:val="clear"/>
            <w:vAlign w:val="center"/>
          </w:tcPr>
          <w:p>
            <w:pPr>
              <w:pStyle w:val="TableContents"/>
              <w:spacing w:before="0" w:after="283"/>
              <w:rPr/>
            </w:pPr>
            <w:r>
              <w:rPr/>
              <w:t> </w:t>
            </w:r>
          </w:p>
        </w:tc>
        <w:tc>
          <w:tcPr>
            <w:tcW w:w="320" w:type="dxa"/>
            <w:tcBorders/>
            <w:shd w:fill="FFFFFF" w:val="clear"/>
            <w:vAlign w:val="bottom"/>
          </w:tcPr>
          <w:p>
            <w:pPr>
              <w:pStyle w:val="TableContents"/>
              <w:spacing w:before="0" w:after="283"/>
              <w:jc w:val="right"/>
              <w:rPr/>
            </w:pPr>
            <w:r>
              <w:rPr/>
              <w:t>    </w:t>
            </w:r>
          </w:p>
        </w:tc>
        <w:tc>
          <w:tcPr>
            <w:tcW w:w="147" w:type="dxa"/>
            <w:tcBorders/>
            <w:shd w:fill="FFFFFF" w:val="clear"/>
            <w:vAlign w:val="center"/>
          </w:tcPr>
          <w:p>
            <w:pPr>
              <w:pStyle w:val="TableContents"/>
              <w:spacing w:before="0" w:after="283"/>
              <w:rPr/>
            </w:pPr>
            <w:r>
              <w:rPr/>
              <w:t> </w:t>
            </w:r>
          </w:p>
        </w:tc>
        <w:tc>
          <w:tcPr>
            <w:tcW w:w="898" w:type="dxa"/>
            <w:tcBorders/>
            <w:shd w:fill="FFFFFF" w:val="clear"/>
            <w:vAlign w:val="bottom"/>
          </w:tcPr>
          <w:p>
            <w:pPr>
              <w:pStyle w:val="TableContents"/>
              <w:spacing w:before="0" w:after="283"/>
              <w:jc w:val="right"/>
              <w:rPr>
                <w:rFonts w:ascii="Arial" w:hAnsi="Arial"/>
              </w:rPr>
            </w:pPr>
            <w:r>
              <w:rPr>
                <w:rFonts w:ascii="Arial" w:hAnsi="Arial"/>
              </w:rPr>
              <w:t>2-6</w:t>
            </w:r>
          </w:p>
        </w:tc>
        <w:tc>
          <w:tcPr>
            <w:tcW w:w="567" w:type="dxa"/>
            <w:tcBorders/>
            <w:shd w:fill="FFFFFF" w:val="clear"/>
            <w:vAlign w:val="center"/>
          </w:tcPr>
          <w:p>
            <w:pPr>
              <w:pStyle w:val="TableContents"/>
              <w:spacing w:before="0" w:after="283"/>
              <w:rPr/>
            </w:pPr>
            <w:r>
              <w:rPr/>
              <w:t> </w:t>
            </w:r>
          </w:p>
        </w:tc>
      </w:tr>
      <w:tr>
        <w:trPr/>
        <w:tc>
          <w:tcPr>
            <w:tcW w:w="481" w:type="dxa"/>
            <w:tcBorders/>
            <w:shd w:fill="E5FFFF" w:val="clear"/>
            <w:vAlign w:val="center"/>
          </w:tcPr>
          <w:p>
            <w:pPr>
              <w:pStyle w:val="TableContents"/>
              <w:spacing w:before="0" w:after="283"/>
              <w:rPr/>
            </w:pPr>
            <w:r>
              <w:rPr/>
              <w:t> </w:t>
            </w:r>
          </w:p>
        </w:tc>
        <w:tc>
          <w:tcPr>
            <w:tcW w:w="4380" w:type="dxa"/>
            <w:tcBorders/>
            <w:shd w:fill="E5FFFF" w:val="clear"/>
            <w:vAlign w:val="center"/>
          </w:tcPr>
          <w:p>
            <w:pPr>
              <w:pStyle w:val="TableContents"/>
              <w:spacing w:before="0" w:after="283"/>
              <w:rPr/>
            </w:pPr>
            <w:r>
              <w:rPr/>
              <w:t> </w:t>
            </w:r>
          </w:p>
        </w:tc>
        <w:tc>
          <w:tcPr>
            <w:tcW w:w="320"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8" w:type="dxa"/>
            <w:tcBorders/>
            <w:shd w:fill="E5FFFF" w:val="clear"/>
            <w:vAlign w:val="bottom"/>
          </w:tcPr>
          <w:p>
            <w:pPr>
              <w:pStyle w:val="HorizontalLine"/>
              <w:pBdr>
                <w:bottom w:val="single" w:sz="6" w:space="0" w:color="000000"/>
              </w:pBdr>
              <w:spacing w:before="0" w:after="283"/>
              <w:rPr/>
            </w:pPr>
            <w:r>
              <w:rPr/>
            </w:r>
          </w:p>
        </w:tc>
        <w:tc>
          <w:tcPr>
            <w:tcW w:w="425" w:type="dxa"/>
            <w:tcBorders/>
            <w:shd w:fill="E5FFFF" w:val="clear"/>
            <w:vAlign w:val="center"/>
          </w:tcPr>
          <w:p>
            <w:pPr>
              <w:pStyle w:val="TableContents"/>
              <w:spacing w:before="0" w:after="283"/>
              <w:rPr/>
            </w:pPr>
            <w:r>
              <w:rPr/>
              <w:t> </w:t>
            </w:r>
          </w:p>
        </w:tc>
        <w:tc>
          <w:tcPr>
            <w:tcW w:w="444"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7" w:type="dxa"/>
            <w:tcBorders/>
            <w:shd w:fill="E5FFFF" w:val="clear"/>
            <w:vAlign w:val="bottom"/>
          </w:tcPr>
          <w:p>
            <w:pPr>
              <w:pStyle w:val="HorizontalLine"/>
              <w:pBdr>
                <w:bottom w:val="single" w:sz="6" w:space="0" w:color="000000"/>
              </w:pBdr>
              <w:spacing w:before="0" w:after="283"/>
              <w:rPr/>
            </w:pPr>
            <w:r>
              <w:rPr/>
            </w:r>
          </w:p>
        </w:tc>
        <w:tc>
          <w:tcPr>
            <w:tcW w:w="426" w:type="dxa"/>
            <w:tcBorders/>
            <w:shd w:fill="E5FFFF" w:val="clear"/>
            <w:vAlign w:val="center"/>
          </w:tcPr>
          <w:p>
            <w:pPr>
              <w:pStyle w:val="TableContents"/>
              <w:spacing w:before="0" w:after="283"/>
              <w:rPr/>
            </w:pPr>
            <w:r>
              <w:rPr/>
              <w:t> </w:t>
            </w:r>
          </w:p>
        </w:tc>
        <w:tc>
          <w:tcPr>
            <w:tcW w:w="320" w:type="dxa"/>
            <w:tcBorders/>
            <w:shd w:fill="E5FFFF" w:val="clear"/>
            <w:vAlign w:val="center"/>
          </w:tcPr>
          <w:p>
            <w:pPr>
              <w:pStyle w:val="TableContents"/>
              <w:spacing w:before="0" w:after="283"/>
              <w:rPr/>
            </w:pPr>
            <w:r>
              <w:rPr/>
              <w:t> </w:t>
            </w:r>
          </w:p>
        </w:tc>
        <w:tc>
          <w:tcPr>
            <w:tcW w:w="147" w:type="dxa"/>
            <w:tcBorders/>
            <w:shd w:fill="E5FFFF" w:val="clear"/>
            <w:vAlign w:val="center"/>
          </w:tcPr>
          <w:p>
            <w:pPr>
              <w:pStyle w:val="TableContents"/>
              <w:spacing w:before="0" w:after="283"/>
              <w:rPr/>
            </w:pPr>
            <w:r>
              <w:rPr/>
              <w:t> </w:t>
            </w:r>
          </w:p>
        </w:tc>
        <w:tc>
          <w:tcPr>
            <w:tcW w:w="898" w:type="dxa"/>
            <w:tcBorders/>
            <w:shd w:fill="E5FFFF" w:val="clear"/>
            <w:vAlign w:val="center"/>
          </w:tcPr>
          <w:p>
            <w:pPr>
              <w:pStyle w:val="TableContents"/>
              <w:spacing w:before="0" w:after="283"/>
              <w:rPr/>
            </w:pPr>
            <w:r>
              <w:rPr/>
              <w:t> </w:t>
            </w:r>
          </w:p>
        </w:tc>
        <w:tc>
          <w:tcPr>
            <w:tcW w:w="567" w:type="dxa"/>
            <w:tcBorders/>
            <w:shd w:fill="E5FFFF" w:val="clear"/>
            <w:vAlign w:val="center"/>
          </w:tcPr>
          <w:p>
            <w:pPr>
              <w:pStyle w:val="TableContents"/>
              <w:spacing w:before="0" w:after="283"/>
              <w:rPr/>
            </w:pPr>
            <w:r>
              <w:rPr/>
              <w:t> </w:t>
            </w:r>
          </w:p>
        </w:tc>
      </w:tr>
      <w:tr>
        <w:trPr/>
        <w:tc>
          <w:tcPr>
            <w:tcW w:w="481" w:type="dxa"/>
            <w:tcBorders/>
            <w:shd w:fill="FFFFFF" w:val="clear"/>
            <w:vAlign w:val="bottom"/>
          </w:tcPr>
          <w:p>
            <w:pPr>
              <w:pStyle w:val="TableContents"/>
              <w:spacing w:before="0" w:after="283"/>
              <w:jc w:val="left"/>
              <w:rPr/>
            </w:pPr>
            <w:r>
              <w:rPr/>
              <w:t>      </w:t>
            </w:r>
          </w:p>
        </w:tc>
        <w:tc>
          <w:tcPr>
            <w:tcW w:w="4380" w:type="dxa"/>
            <w:tcBorders/>
            <w:shd w:fill="FFFFFF" w:val="clear"/>
            <w:vAlign w:val="bottom"/>
          </w:tcPr>
          <w:p>
            <w:pPr>
              <w:pStyle w:val="TableContents"/>
              <w:spacing w:before="0" w:after="283"/>
              <w:rPr>
                <w:sz w:val="4"/>
                <w:szCs w:val="4"/>
              </w:rPr>
            </w:pPr>
            <w:r>
              <w:rPr>
                <w:sz w:val="4"/>
                <w:szCs w:val="4"/>
              </w:rPr>
            </w:r>
          </w:p>
        </w:tc>
        <w:tc>
          <w:tcPr>
            <w:tcW w:w="320" w:type="dxa"/>
            <w:tcBorders/>
            <w:shd w:fill="FFFFFF" w:val="clear"/>
            <w:vAlign w:val="bottom"/>
          </w:tcPr>
          <w:p>
            <w:pPr>
              <w:pStyle w:val="TableContents"/>
              <w:spacing w:before="0" w:after="283"/>
              <w:jc w:val="right"/>
              <w:rPr/>
            </w:pPr>
            <w:r>
              <w:rPr/>
              <w:t>    </w:t>
            </w:r>
          </w:p>
        </w:tc>
        <w:tc>
          <w:tcPr>
            <w:tcW w:w="111" w:type="dxa"/>
            <w:tcBorders/>
            <w:shd w:fill="FFFFFF" w:val="clear"/>
            <w:vAlign w:val="center"/>
          </w:tcPr>
          <w:p>
            <w:pPr>
              <w:pStyle w:val="TableContents"/>
              <w:spacing w:before="0" w:after="283"/>
              <w:rPr/>
            </w:pPr>
            <w:r>
              <w:rPr/>
              <w:t> </w:t>
            </w:r>
          </w:p>
        </w:tc>
        <w:tc>
          <w:tcPr>
            <w:tcW w:w="788" w:type="dxa"/>
            <w:tcBorders/>
            <w:shd w:fill="FFFFFF" w:val="clear"/>
            <w:vAlign w:val="bottom"/>
          </w:tcPr>
          <w:p>
            <w:pPr>
              <w:pStyle w:val="TableContents"/>
              <w:spacing w:before="0" w:after="283"/>
              <w:jc w:val="right"/>
              <w:rPr>
                <w:rFonts w:ascii="Arial" w:hAnsi="Arial"/>
              </w:rPr>
            </w:pPr>
            <w:r>
              <w:rPr>
                <w:rFonts w:ascii="Arial" w:hAnsi="Arial"/>
              </w:rPr>
              <w:t>100</w:t>
            </w:r>
          </w:p>
        </w:tc>
        <w:tc>
          <w:tcPr>
            <w:tcW w:w="425" w:type="dxa"/>
            <w:tcBorders/>
            <w:shd w:fill="FFFFFF" w:val="clear"/>
            <w:vAlign w:val="bottom"/>
          </w:tcPr>
          <w:p>
            <w:pPr>
              <w:pStyle w:val="TableContents"/>
              <w:spacing w:before="0" w:after="283"/>
              <w:jc w:val="left"/>
              <w:rPr>
                <w:rFonts w:ascii="Arial" w:hAnsi="Arial"/>
              </w:rPr>
            </w:pPr>
            <w:r>
              <w:rPr>
                <w:rFonts w:ascii="Arial" w:hAnsi="Arial"/>
              </w:rPr>
              <w:t>%</w:t>
            </w:r>
          </w:p>
        </w:tc>
        <w:tc>
          <w:tcPr>
            <w:tcW w:w="444" w:type="dxa"/>
            <w:tcBorders/>
            <w:shd w:fill="FFFFFF" w:val="clear"/>
            <w:vAlign w:val="bottom"/>
          </w:tcPr>
          <w:p>
            <w:pPr>
              <w:pStyle w:val="TableContents"/>
              <w:spacing w:before="0" w:after="283"/>
              <w:jc w:val="right"/>
              <w:rPr/>
            </w:pPr>
            <w:r>
              <w:rPr/>
              <w:t>    </w:t>
            </w:r>
          </w:p>
        </w:tc>
        <w:tc>
          <w:tcPr>
            <w:tcW w:w="111" w:type="dxa"/>
            <w:tcBorders/>
            <w:shd w:fill="FFFFFF" w:val="clear"/>
            <w:vAlign w:val="center"/>
          </w:tcPr>
          <w:p>
            <w:pPr>
              <w:pStyle w:val="TableContents"/>
              <w:spacing w:before="0" w:after="283"/>
              <w:rPr/>
            </w:pPr>
            <w:r>
              <w:rPr/>
              <w:t> </w:t>
            </w:r>
          </w:p>
        </w:tc>
        <w:tc>
          <w:tcPr>
            <w:tcW w:w="787" w:type="dxa"/>
            <w:tcBorders/>
            <w:shd w:fill="FFFFFF" w:val="clear"/>
            <w:vAlign w:val="bottom"/>
          </w:tcPr>
          <w:p>
            <w:pPr>
              <w:pStyle w:val="TableContents"/>
              <w:spacing w:before="0" w:after="283"/>
              <w:jc w:val="right"/>
              <w:rPr>
                <w:rFonts w:ascii="Arial" w:hAnsi="Arial"/>
              </w:rPr>
            </w:pPr>
            <w:r>
              <w:rPr>
                <w:rFonts w:ascii="Arial" w:hAnsi="Arial"/>
              </w:rPr>
              <w:t>100</w:t>
            </w:r>
          </w:p>
        </w:tc>
        <w:tc>
          <w:tcPr>
            <w:tcW w:w="426" w:type="dxa"/>
            <w:tcBorders/>
            <w:shd w:fill="FFFFFF" w:val="clear"/>
            <w:vAlign w:val="bottom"/>
          </w:tcPr>
          <w:p>
            <w:pPr>
              <w:pStyle w:val="TableContents"/>
              <w:spacing w:before="0" w:after="283"/>
              <w:jc w:val="left"/>
              <w:rPr>
                <w:rFonts w:ascii="Arial" w:hAnsi="Arial"/>
              </w:rPr>
            </w:pPr>
            <w:r>
              <w:rPr>
                <w:rFonts w:ascii="Arial" w:hAnsi="Arial"/>
              </w:rPr>
              <w:t>%</w:t>
            </w:r>
          </w:p>
        </w:tc>
        <w:tc>
          <w:tcPr>
            <w:tcW w:w="32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rPr/>
            </w:pPr>
            <w:r>
              <w:rPr/>
              <w:t> </w:t>
            </w:r>
          </w:p>
        </w:tc>
        <w:tc>
          <w:tcPr>
            <w:tcW w:w="898" w:type="dxa"/>
            <w:tcBorders/>
            <w:shd w:fill="FFFFFF" w:val="clear"/>
            <w:vAlign w:val="center"/>
          </w:tcPr>
          <w:p>
            <w:pPr>
              <w:pStyle w:val="TableContents"/>
              <w:spacing w:before="0" w:after="283"/>
              <w:rPr/>
            </w:pPr>
            <w:r>
              <w:rPr/>
              <w:t> </w:t>
            </w:r>
          </w:p>
        </w:tc>
        <w:tc>
          <w:tcPr>
            <w:tcW w:w="567" w:type="dxa"/>
            <w:tcBorders/>
            <w:shd w:fill="FFFFFF" w:val="clear"/>
            <w:vAlign w:val="center"/>
          </w:tcPr>
          <w:p>
            <w:pPr>
              <w:pStyle w:val="TableContents"/>
              <w:spacing w:before="0" w:after="283"/>
              <w:rPr/>
            </w:pPr>
            <w:r>
              <w:rPr/>
              <w:t> </w:t>
            </w:r>
          </w:p>
        </w:tc>
      </w:tr>
      <w:tr>
        <w:trPr/>
        <w:tc>
          <w:tcPr>
            <w:tcW w:w="481" w:type="dxa"/>
            <w:tcBorders/>
            <w:shd w:fill="E5FFFF" w:val="clear"/>
            <w:vAlign w:val="center"/>
          </w:tcPr>
          <w:p>
            <w:pPr>
              <w:pStyle w:val="TableContents"/>
              <w:spacing w:before="0" w:after="283"/>
              <w:rPr/>
            </w:pPr>
            <w:r>
              <w:rPr/>
              <w:t> </w:t>
            </w:r>
          </w:p>
        </w:tc>
        <w:tc>
          <w:tcPr>
            <w:tcW w:w="4380" w:type="dxa"/>
            <w:tcBorders/>
            <w:shd w:fill="E5FFFF" w:val="clear"/>
            <w:vAlign w:val="center"/>
          </w:tcPr>
          <w:p>
            <w:pPr>
              <w:pStyle w:val="TableContents"/>
              <w:spacing w:before="0" w:after="283"/>
              <w:rPr/>
            </w:pPr>
            <w:r>
              <w:rPr/>
              <w:t> </w:t>
            </w:r>
          </w:p>
        </w:tc>
        <w:tc>
          <w:tcPr>
            <w:tcW w:w="320"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8" w:type="dxa"/>
            <w:tcBorders/>
            <w:shd w:fill="E5FFFF" w:val="clear"/>
            <w:vAlign w:val="bottom"/>
          </w:tcPr>
          <w:p>
            <w:pPr>
              <w:pStyle w:val="HorizontalLine"/>
              <w:pBdr>
                <w:bottom w:val="single" w:sz="18" w:space="0" w:color="000000"/>
              </w:pBdr>
              <w:spacing w:before="0" w:after="283"/>
              <w:rPr/>
            </w:pPr>
            <w:r>
              <w:rPr/>
            </w:r>
          </w:p>
        </w:tc>
        <w:tc>
          <w:tcPr>
            <w:tcW w:w="425" w:type="dxa"/>
            <w:tcBorders/>
            <w:shd w:fill="E5FFFF" w:val="clear"/>
            <w:vAlign w:val="center"/>
          </w:tcPr>
          <w:p>
            <w:pPr>
              <w:pStyle w:val="TableContents"/>
              <w:spacing w:before="0" w:after="283"/>
              <w:rPr/>
            </w:pPr>
            <w:r>
              <w:rPr/>
              <w:t> </w:t>
            </w:r>
          </w:p>
        </w:tc>
        <w:tc>
          <w:tcPr>
            <w:tcW w:w="444" w:type="dxa"/>
            <w:tcBorders/>
            <w:shd w:fill="E5FFFF" w:val="clear"/>
            <w:vAlign w:val="bottom"/>
          </w:tcPr>
          <w:p>
            <w:pPr>
              <w:pStyle w:val="TableContents"/>
              <w:spacing w:before="0" w:after="283"/>
              <w:jc w:val="right"/>
              <w:rPr/>
            </w:pPr>
            <w:r>
              <w:rPr/>
              <w:t>    </w:t>
            </w:r>
          </w:p>
        </w:tc>
        <w:tc>
          <w:tcPr>
            <w:tcW w:w="111" w:type="dxa"/>
            <w:tcBorders/>
            <w:shd w:fill="E5FFFF" w:val="clear"/>
            <w:vAlign w:val="center"/>
          </w:tcPr>
          <w:p>
            <w:pPr>
              <w:pStyle w:val="TableContents"/>
              <w:spacing w:before="0" w:after="283"/>
              <w:rPr/>
            </w:pPr>
            <w:r>
              <w:rPr/>
              <w:t> </w:t>
            </w:r>
          </w:p>
        </w:tc>
        <w:tc>
          <w:tcPr>
            <w:tcW w:w="787" w:type="dxa"/>
            <w:tcBorders/>
            <w:shd w:fill="E5FFFF" w:val="clear"/>
            <w:vAlign w:val="bottom"/>
          </w:tcPr>
          <w:p>
            <w:pPr>
              <w:pStyle w:val="HorizontalLine"/>
              <w:pBdr>
                <w:bottom w:val="single" w:sz="18" w:space="0" w:color="000000"/>
              </w:pBdr>
              <w:spacing w:before="0" w:after="283"/>
              <w:rPr/>
            </w:pPr>
            <w:r>
              <w:rPr/>
            </w:r>
          </w:p>
        </w:tc>
        <w:tc>
          <w:tcPr>
            <w:tcW w:w="426" w:type="dxa"/>
            <w:tcBorders/>
            <w:shd w:fill="E5FFFF" w:val="clear"/>
            <w:vAlign w:val="center"/>
          </w:tcPr>
          <w:p>
            <w:pPr>
              <w:pStyle w:val="TableContents"/>
              <w:spacing w:before="0" w:after="283"/>
              <w:rPr/>
            </w:pPr>
            <w:r>
              <w:rPr/>
              <w:t> </w:t>
            </w:r>
          </w:p>
        </w:tc>
        <w:tc>
          <w:tcPr>
            <w:tcW w:w="320" w:type="dxa"/>
            <w:tcBorders/>
            <w:shd w:fill="E5FFFF" w:val="clear"/>
            <w:vAlign w:val="center"/>
          </w:tcPr>
          <w:p>
            <w:pPr>
              <w:pStyle w:val="TableContents"/>
              <w:spacing w:before="0" w:after="283"/>
              <w:rPr/>
            </w:pPr>
            <w:r>
              <w:rPr/>
              <w:t> </w:t>
            </w:r>
          </w:p>
        </w:tc>
        <w:tc>
          <w:tcPr>
            <w:tcW w:w="147" w:type="dxa"/>
            <w:tcBorders/>
            <w:shd w:fill="E5FFFF" w:val="clear"/>
            <w:vAlign w:val="center"/>
          </w:tcPr>
          <w:p>
            <w:pPr>
              <w:pStyle w:val="TableContents"/>
              <w:spacing w:before="0" w:after="283"/>
              <w:rPr/>
            </w:pPr>
            <w:r>
              <w:rPr/>
              <w:t> </w:t>
            </w:r>
          </w:p>
        </w:tc>
        <w:tc>
          <w:tcPr>
            <w:tcW w:w="898" w:type="dxa"/>
            <w:tcBorders/>
            <w:shd w:fill="E5FFFF" w:val="clear"/>
            <w:vAlign w:val="center"/>
          </w:tcPr>
          <w:p>
            <w:pPr>
              <w:pStyle w:val="TableContents"/>
              <w:spacing w:before="0" w:after="283"/>
              <w:rPr/>
            </w:pPr>
            <w:r>
              <w:rPr/>
              <w:t> </w:t>
            </w:r>
          </w:p>
        </w:tc>
        <w:tc>
          <w:tcPr>
            <w:tcW w:w="567" w:type="dxa"/>
            <w:tcBorders/>
            <w:shd w:fill="E5FFFF" w:val="clear"/>
            <w:vAlign w:val="center"/>
          </w:tcPr>
          <w:p>
            <w:pPr>
              <w:pStyle w:val="TableContents"/>
              <w:spacing w:before="0" w:after="283"/>
              <w:rPr/>
            </w:pPr>
            <w:r>
              <w:rPr/>
              <w:t> </w:t>
            </w:r>
          </w:p>
        </w:tc>
      </w:tr>
      <w:tr>
        <w:trPr/>
        <w:tc>
          <w:tcPr>
            <w:tcW w:w="481" w:type="dxa"/>
            <w:tcBorders/>
            <w:shd w:fill="FFFFFF" w:val="clear"/>
            <w:vAlign w:val="bottom"/>
          </w:tcPr>
          <w:p>
            <w:pPr>
              <w:pStyle w:val="TableContents"/>
              <w:spacing w:before="0" w:after="283"/>
              <w:jc w:val="left"/>
              <w:rPr/>
            </w:pPr>
            <w:r>
              <w:rPr/>
              <w:t>      </w:t>
            </w:r>
          </w:p>
        </w:tc>
        <w:tc>
          <w:tcPr>
            <w:tcW w:w="4380" w:type="dxa"/>
            <w:tcBorders/>
            <w:shd w:fill="FFFFFF" w:val="clear"/>
            <w:vAlign w:val="bottom"/>
          </w:tcPr>
          <w:p>
            <w:pPr>
              <w:pStyle w:val="TableContents"/>
              <w:spacing w:before="0" w:after="283"/>
              <w:rPr>
                <w:sz w:val="4"/>
                <w:szCs w:val="4"/>
              </w:rPr>
            </w:pPr>
            <w:r>
              <w:rPr>
                <w:sz w:val="4"/>
                <w:szCs w:val="4"/>
              </w:rPr>
            </w:r>
          </w:p>
        </w:tc>
        <w:tc>
          <w:tcPr>
            <w:tcW w:w="320"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rPr/>
            </w:pPr>
            <w:r>
              <w:rPr/>
              <w:t> </w:t>
            </w:r>
          </w:p>
        </w:tc>
        <w:tc>
          <w:tcPr>
            <w:tcW w:w="425" w:type="dxa"/>
            <w:tcBorders/>
            <w:shd w:fill="FFFFFF" w:val="clear"/>
            <w:vAlign w:val="center"/>
          </w:tcPr>
          <w:p>
            <w:pPr>
              <w:pStyle w:val="TableContents"/>
              <w:spacing w:before="0" w:after="283"/>
              <w:rPr/>
            </w:pPr>
            <w:r>
              <w:rPr/>
              <w:t> </w:t>
            </w:r>
          </w:p>
        </w:tc>
        <w:tc>
          <w:tcPr>
            <w:tcW w:w="444"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c>
          <w:tcPr>
            <w:tcW w:w="787" w:type="dxa"/>
            <w:tcBorders/>
            <w:shd w:fill="FFFFFF" w:val="clear"/>
            <w:vAlign w:val="center"/>
          </w:tcPr>
          <w:p>
            <w:pPr>
              <w:pStyle w:val="TableContents"/>
              <w:spacing w:before="0" w:after="283"/>
              <w:rPr/>
            </w:pPr>
            <w:r>
              <w:rPr/>
              <w:t> </w:t>
            </w:r>
          </w:p>
        </w:tc>
        <w:tc>
          <w:tcPr>
            <w:tcW w:w="426" w:type="dxa"/>
            <w:tcBorders/>
            <w:shd w:fill="FFFFFF" w:val="clear"/>
            <w:vAlign w:val="center"/>
          </w:tcPr>
          <w:p>
            <w:pPr>
              <w:pStyle w:val="TableContents"/>
              <w:spacing w:before="0" w:after="283"/>
              <w:rPr/>
            </w:pPr>
            <w:r>
              <w:rPr/>
              <w:t> </w:t>
            </w:r>
          </w:p>
        </w:tc>
        <w:tc>
          <w:tcPr>
            <w:tcW w:w="320" w:type="dxa"/>
            <w:tcBorders/>
            <w:shd w:fill="FFFFFF" w:val="clear"/>
            <w:vAlign w:val="center"/>
          </w:tcPr>
          <w:p>
            <w:pPr>
              <w:pStyle w:val="TableContents"/>
              <w:spacing w:before="0" w:after="283"/>
              <w:rPr/>
            </w:pPr>
            <w:r>
              <w:rPr/>
              <w:t> </w:t>
            </w:r>
          </w:p>
        </w:tc>
        <w:tc>
          <w:tcPr>
            <w:tcW w:w="147" w:type="dxa"/>
            <w:tcBorders/>
            <w:shd w:fill="FFFFFF" w:val="clear"/>
            <w:vAlign w:val="center"/>
          </w:tcPr>
          <w:p>
            <w:pPr>
              <w:pStyle w:val="TableContents"/>
              <w:spacing w:before="0" w:after="283"/>
              <w:rPr/>
            </w:pPr>
            <w:r>
              <w:rPr/>
              <w:t> </w:t>
            </w:r>
          </w:p>
        </w:tc>
        <w:tc>
          <w:tcPr>
            <w:tcW w:w="898" w:type="dxa"/>
            <w:tcBorders/>
            <w:shd w:fill="FFFFFF" w:val="clear"/>
            <w:vAlign w:val="center"/>
          </w:tcPr>
          <w:p>
            <w:pPr>
              <w:pStyle w:val="TableContents"/>
              <w:spacing w:before="0" w:after="283"/>
              <w:rPr/>
            </w:pPr>
            <w:r>
              <w:rPr/>
              <w:t> </w:t>
            </w:r>
          </w:p>
        </w:tc>
        <w:tc>
          <w:tcPr>
            <w:tcW w:w="567"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Our asset investment strategy focuses on maintaining a diversified portfolio using various asset classes in order to achieve our long-term investment objectives on a risk adjusted basis. Our actual invested positions in various securities change over time based on short and longer-term investment opportunities. To achieve our objectives, our U.S. investment policy requires that our U.S. Master Retirement Trust be invested as follows: (a) no less than 25 percent be invested in fixed income securities; (b) no more than 10 percent in high-yield securities; (c) no more than 10 percent in private real estate investments; and (d) no more than 6 percent in other investment alternatives involving limited partnerships of various types. There is no stated limit on investments in publically-held U.S. and international equity securities. Our non-U.S. investment policies are different for each country, but the long-term investment objectives remain the same.</w:t>
      </w:r>
    </w:p>
    <w:p>
      <w:pPr>
        <w:pStyle w:val="TextBody"/>
        <w:jc w:val="left"/>
        <w:rPr/>
      </w:pPr>
      <w:r>
        <w:rPr/>
        <w:t>      </w:t>
      </w:r>
      <w:r>
        <w:rPr>
          <w:rFonts w:ascii="Arial" w:hAnsi="Arial"/>
        </w:rPr>
        <w:t>Our general funding policy for qualified pension plans is to contribute amounts at least sufficient to satisfy regulatory funding standards. In 2006 and 2004, we made voluntary contributions of $68 and $40 million, respectively, to our U.S. defined benefit pension plans primarily for government contracting purposes. Assuming that actual plan asset returns are consistent with our expected rate of 9 percent in 2007 and beyond, and that interest rates remain constant, we would not be required to make any contributions to our U.S. pension plans for the foreseeable future. We expect to make voluntary contributions of approximately $52 million in cash in 2007 to certain of our U.S. plans for government contracting purposes. We also expect to contribute approximately $155 million in cash in 2007 to our non-U.S. defined benefit pension plans to satisfy regulatory funding standards. These contributions do not reflect benefits to be paid directly from Company assets.</w:t>
      </w:r>
    </w:p>
    <w:p>
      <w:pPr>
        <w:pStyle w:val="TextBody"/>
        <w:jc w:val="left"/>
        <w:rPr/>
      </w:pPr>
      <w:r>
        <w:rPr/>
        <w:t>      </w:t>
      </w:r>
      <w:r>
        <w:rPr>
          <w:rFonts w:ascii="Arial" w:hAnsi="Arial"/>
        </w:rPr>
        <w:t>Benefit payments, including amounts to be paid from Company assets, and reflecting expected future service, as appropriate, are expected to be paid as follows:</w:t>
      </w:r>
    </w:p>
    <w:tbl>
      <w:tblPr>
        <w:tblW w:w="4000" w:type="pct"/>
        <w:jc w:val="center"/>
        <w:tblInd w:w="0" w:type="dxa"/>
        <w:tblCellMar>
          <w:top w:w="0" w:type="dxa"/>
          <w:left w:w="0" w:type="dxa"/>
          <w:bottom w:w="0" w:type="dxa"/>
          <w:right w:w="0" w:type="dxa"/>
        </w:tblCellMar>
      </w:tblPr>
      <w:tblGrid>
        <w:gridCol w:w="5114"/>
        <w:gridCol w:w="3050"/>
      </w:tblGrid>
      <w:tr>
        <w:trPr/>
        <w:tc>
          <w:tcPr>
            <w:tcW w:w="5114" w:type="dxa"/>
            <w:tcBorders/>
            <w:shd w:fill="E5FFFF" w:val="clear"/>
            <w:vAlign w:val="bottom"/>
          </w:tcPr>
          <w:p>
            <w:pPr>
              <w:pStyle w:val="TableContents"/>
              <w:spacing w:before="0" w:after="283"/>
              <w:jc w:val="left"/>
              <w:rPr>
                <w:rFonts w:ascii="Arial" w:hAnsi="Arial"/>
              </w:rPr>
            </w:pPr>
            <w:r>
              <w:rPr>
                <w:rFonts w:ascii="Arial" w:hAnsi="Arial"/>
              </w:rPr>
              <w:t>2007</w:t>
            </w:r>
          </w:p>
        </w:tc>
        <w:tc>
          <w:tcPr>
            <w:tcW w:w="3050" w:type="dxa"/>
            <w:tcBorders/>
            <w:shd w:fill="E5FFFF" w:val="clear"/>
            <w:vAlign w:val="bottom"/>
          </w:tcPr>
          <w:p>
            <w:pPr>
              <w:pStyle w:val="TableContents"/>
              <w:spacing w:before="0" w:after="283"/>
              <w:jc w:val="right"/>
              <w:rPr>
                <w:rFonts w:ascii="Arial" w:hAnsi="Arial"/>
              </w:rPr>
            </w:pPr>
            <w:r>
              <w:rPr>
                <w:rFonts w:ascii="Arial" w:hAnsi="Arial"/>
              </w:rPr>
              <w:t>$1,074</w:t>
            </w:r>
          </w:p>
        </w:tc>
      </w:tr>
      <w:tr>
        <w:trPr/>
        <w:tc>
          <w:tcPr>
            <w:tcW w:w="5114" w:type="dxa"/>
            <w:tcBorders/>
            <w:shd w:fill="FFFFFF" w:val="clear"/>
            <w:vAlign w:val="bottom"/>
          </w:tcPr>
          <w:p>
            <w:pPr>
              <w:pStyle w:val="TableContents"/>
              <w:spacing w:before="0" w:after="283"/>
              <w:jc w:val="left"/>
              <w:rPr>
                <w:rFonts w:ascii="Arial" w:hAnsi="Arial"/>
              </w:rPr>
            </w:pPr>
            <w:r>
              <w:rPr>
                <w:rFonts w:ascii="Arial" w:hAnsi="Arial"/>
              </w:rPr>
              <w:t>2008</w:t>
            </w:r>
          </w:p>
        </w:tc>
        <w:tc>
          <w:tcPr>
            <w:tcW w:w="3050" w:type="dxa"/>
            <w:tcBorders/>
            <w:shd w:fill="FFFFFF" w:val="clear"/>
            <w:vAlign w:val="bottom"/>
          </w:tcPr>
          <w:p>
            <w:pPr>
              <w:pStyle w:val="TableContents"/>
              <w:spacing w:before="0" w:after="283"/>
              <w:jc w:val="right"/>
              <w:rPr>
                <w:rFonts w:ascii="Arial" w:hAnsi="Arial"/>
              </w:rPr>
            </w:pPr>
            <w:r>
              <w:rPr>
                <w:rFonts w:ascii="Arial" w:hAnsi="Arial"/>
              </w:rPr>
              <w:t>1,083</w:t>
            </w:r>
          </w:p>
        </w:tc>
      </w:tr>
      <w:tr>
        <w:trPr/>
        <w:tc>
          <w:tcPr>
            <w:tcW w:w="5114" w:type="dxa"/>
            <w:tcBorders/>
            <w:shd w:fill="E5FFFF" w:val="clear"/>
            <w:vAlign w:val="bottom"/>
          </w:tcPr>
          <w:p>
            <w:pPr>
              <w:pStyle w:val="TableContents"/>
              <w:spacing w:before="0" w:after="283"/>
              <w:jc w:val="left"/>
              <w:rPr>
                <w:rFonts w:ascii="Arial" w:hAnsi="Arial"/>
              </w:rPr>
            </w:pPr>
            <w:r>
              <w:rPr>
                <w:rFonts w:ascii="Arial" w:hAnsi="Arial"/>
              </w:rPr>
              <w:t>2009</w:t>
            </w:r>
          </w:p>
        </w:tc>
        <w:tc>
          <w:tcPr>
            <w:tcW w:w="3050" w:type="dxa"/>
            <w:tcBorders/>
            <w:shd w:fill="E5FFFF" w:val="clear"/>
            <w:vAlign w:val="bottom"/>
          </w:tcPr>
          <w:p>
            <w:pPr>
              <w:pStyle w:val="TableContents"/>
              <w:spacing w:before="0" w:after="283"/>
              <w:jc w:val="right"/>
              <w:rPr>
                <w:rFonts w:ascii="Arial" w:hAnsi="Arial"/>
              </w:rPr>
            </w:pPr>
            <w:r>
              <w:rPr>
                <w:rFonts w:ascii="Arial" w:hAnsi="Arial"/>
              </w:rPr>
              <w:t>1,092</w:t>
            </w:r>
          </w:p>
        </w:tc>
      </w:tr>
      <w:tr>
        <w:trPr/>
        <w:tc>
          <w:tcPr>
            <w:tcW w:w="5114" w:type="dxa"/>
            <w:tcBorders/>
            <w:shd w:fill="FFFFFF" w:val="clear"/>
            <w:vAlign w:val="bottom"/>
          </w:tcPr>
          <w:p>
            <w:pPr>
              <w:pStyle w:val="TableContents"/>
              <w:spacing w:before="0" w:after="283"/>
              <w:jc w:val="left"/>
              <w:rPr>
                <w:rFonts w:ascii="Arial" w:hAnsi="Arial"/>
              </w:rPr>
            </w:pPr>
            <w:r>
              <w:rPr>
                <w:rFonts w:ascii="Arial" w:hAnsi="Arial"/>
              </w:rPr>
              <w:t>2010</w:t>
            </w:r>
          </w:p>
        </w:tc>
        <w:tc>
          <w:tcPr>
            <w:tcW w:w="3050" w:type="dxa"/>
            <w:tcBorders/>
            <w:shd w:fill="FFFFFF" w:val="clear"/>
            <w:vAlign w:val="bottom"/>
          </w:tcPr>
          <w:p>
            <w:pPr>
              <w:pStyle w:val="TableContents"/>
              <w:spacing w:before="0" w:after="283"/>
              <w:jc w:val="right"/>
              <w:rPr>
                <w:rFonts w:ascii="Arial" w:hAnsi="Arial"/>
              </w:rPr>
            </w:pPr>
            <w:r>
              <w:rPr>
                <w:rFonts w:ascii="Arial" w:hAnsi="Arial"/>
              </w:rPr>
              <w:t>1,100</w:t>
            </w:r>
          </w:p>
        </w:tc>
      </w:tr>
      <w:tr>
        <w:trPr/>
        <w:tc>
          <w:tcPr>
            <w:tcW w:w="5114" w:type="dxa"/>
            <w:tcBorders/>
            <w:shd w:fill="E5FFFF" w:val="clear"/>
            <w:vAlign w:val="bottom"/>
          </w:tcPr>
          <w:p>
            <w:pPr>
              <w:pStyle w:val="TableContents"/>
              <w:spacing w:before="0" w:after="283"/>
              <w:jc w:val="left"/>
              <w:rPr>
                <w:rFonts w:ascii="Arial" w:hAnsi="Arial"/>
              </w:rPr>
            </w:pPr>
            <w:r>
              <w:rPr>
                <w:rFonts w:ascii="Arial" w:hAnsi="Arial"/>
              </w:rPr>
              <w:t>2011</w:t>
            </w:r>
          </w:p>
        </w:tc>
        <w:tc>
          <w:tcPr>
            <w:tcW w:w="3050" w:type="dxa"/>
            <w:tcBorders/>
            <w:shd w:fill="E5FFFF" w:val="clear"/>
            <w:vAlign w:val="bottom"/>
          </w:tcPr>
          <w:p>
            <w:pPr>
              <w:pStyle w:val="TableContents"/>
              <w:spacing w:before="0" w:after="283"/>
              <w:jc w:val="right"/>
              <w:rPr>
                <w:rFonts w:ascii="Arial" w:hAnsi="Arial"/>
              </w:rPr>
            </w:pPr>
            <w:r>
              <w:rPr>
                <w:rFonts w:ascii="Arial" w:hAnsi="Arial"/>
              </w:rPr>
              <w:t>1,111</w:t>
            </w:r>
          </w:p>
        </w:tc>
      </w:tr>
      <w:tr>
        <w:trPr/>
        <w:tc>
          <w:tcPr>
            <w:tcW w:w="5114" w:type="dxa"/>
            <w:tcBorders/>
            <w:shd w:fill="FFFFFF" w:val="clear"/>
            <w:vAlign w:val="bottom"/>
          </w:tcPr>
          <w:p>
            <w:pPr>
              <w:pStyle w:val="TableContents"/>
              <w:spacing w:before="0" w:after="283"/>
              <w:jc w:val="left"/>
              <w:rPr>
                <w:rFonts w:ascii="Arial" w:hAnsi="Arial"/>
              </w:rPr>
            </w:pPr>
            <w:r>
              <w:rPr>
                <w:rFonts w:ascii="Arial" w:hAnsi="Arial"/>
              </w:rPr>
              <w:t>2012-2016</w:t>
            </w:r>
          </w:p>
        </w:tc>
        <w:tc>
          <w:tcPr>
            <w:tcW w:w="3050" w:type="dxa"/>
            <w:tcBorders/>
            <w:shd w:fill="FFFFFF" w:val="clear"/>
            <w:vAlign w:val="bottom"/>
          </w:tcPr>
          <w:p>
            <w:pPr>
              <w:pStyle w:val="TableContents"/>
              <w:spacing w:before="0" w:after="283"/>
              <w:jc w:val="right"/>
              <w:rPr>
                <w:rFonts w:ascii="Arial" w:hAnsi="Arial"/>
              </w:rPr>
            </w:pPr>
            <w:r>
              <w:rPr>
                <w:rFonts w:ascii="Arial" w:hAnsi="Arial"/>
              </w:rPr>
              <w:t>6,327</w:t>
            </w:r>
          </w:p>
        </w:tc>
      </w:tr>
      <w:tr>
        <w:trPr/>
        <w:tc>
          <w:tcPr>
            <w:tcW w:w="5114" w:type="dxa"/>
            <w:tcBorders/>
            <w:shd w:fill="FFFFFF" w:val="clear"/>
            <w:vAlign w:val="bottom"/>
          </w:tcPr>
          <w:p>
            <w:pPr>
              <w:pStyle w:val="TableContents"/>
              <w:spacing w:before="0" w:after="283"/>
              <w:rPr>
                <w:sz w:val="4"/>
                <w:szCs w:val="4"/>
              </w:rPr>
            </w:pPr>
            <w:r>
              <w:rPr>
                <w:sz w:val="4"/>
                <w:szCs w:val="4"/>
              </w:rPr>
            </w:r>
          </w:p>
        </w:tc>
        <w:tc>
          <w:tcPr>
            <w:tcW w:w="3050" w:type="dxa"/>
            <w:tcBorders/>
            <w:shd w:fill="FFFFFF" w:val="clear"/>
            <w:vAlign w:val="center"/>
          </w:tcPr>
          <w:p>
            <w:pPr>
              <w:pStyle w:val="TableContents"/>
              <w:spacing w:before="0" w:after="283"/>
              <w:rPr/>
            </w:pPr>
            <w:r>
              <w:rPr/>
              <w:t> </w:t>
            </w:r>
          </w:p>
        </w:tc>
      </w:tr>
    </w:tbl>
    <w:p>
      <w:pPr>
        <w:pStyle w:val="TextBody"/>
        <w:jc w:val="left"/>
        <w:rPr>
          <w:rFonts w:ascii="Arial" w:hAnsi="Arial"/>
          <w:b/>
        </w:rPr>
      </w:pPr>
      <w:r>
        <w:rPr>
          <w:rFonts w:ascii="Arial" w:hAnsi="Arial"/>
          <w:b/>
        </w:rPr>
        <w:t>Other Postretirement Benefits</w:t>
      </w:r>
    </w:p>
    <w:p>
      <w:pPr>
        <w:pStyle w:val="TextBody"/>
        <w:jc w:val="left"/>
        <w:rPr/>
      </w:pPr>
      <w:r>
        <w:rPr/>
        <w:t>      </w:t>
      </w:r>
      <w:r>
        <w:rPr>
          <w:rFonts w:ascii="Arial" w:hAnsi="Arial"/>
        </w:rPr>
        <w:t>Effective December 31, 2004, we adopted FASB Staff Position No. 106-2 “Accounting and Disclosure Requirements Related to the Medicare Prescription Drug, Improvement and Modernization Act of 2003” (FSP No. 106-2). FSP No. 106-2 provides guidance on accounting for the effects of the</w:t>
      </w:r>
    </w:p>
    <w:p>
      <w:pPr>
        <w:pStyle w:val="TextBody"/>
        <w:jc w:val="center"/>
        <w:rPr>
          <w:rFonts w:ascii="Arial" w:hAnsi="Arial"/>
        </w:rPr>
      </w:pPr>
      <w:r>
        <w:rPr>
          <w:rFonts w:ascii="Arial" w:hAnsi="Arial"/>
        </w:rPr>
        <w:t>90</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rPr>
      </w:pPr>
      <w:r>
        <w:rPr>
          <w:rFonts w:ascii="Arial" w:hAnsi="Arial"/>
        </w:rPr>
        <w:t>Medicare Prescription Drug, Improvement and Modernization Act of 2003 (the Act) for employers that sponsor postretirement health care plans that provide prescription drug coverage that is at least actuarially equivalent to that offered by Medicare Part D. The impact of the Act reduced other postretirement benefits expense by approximately $37 and $45 million in 2006 and 2005, respectively.</w:t>
      </w:r>
    </w:p>
    <w:tbl>
      <w:tblPr>
        <w:tblW w:w="5000" w:type="pct"/>
        <w:jc w:val="left"/>
        <w:tblInd w:w="0" w:type="dxa"/>
        <w:tblCellMar>
          <w:top w:w="0" w:type="dxa"/>
          <w:left w:w="0" w:type="dxa"/>
          <w:bottom w:w="0" w:type="dxa"/>
          <w:right w:w="0" w:type="dxa"/>
        </w:tblCellMar>
      </w:tblPr>
      <w:tblGrid>
        <w:gridCol w:w="653"/>
        <w:gridCol w:w="5949"/>
        <w:gridCol w:w="265"/>
        <w:gridCol w:w="121"/>
        <w:gridCol w:w="1107"/>
        <w:gridCol w:w="257"/>
        <w:gridCol w:w="361"/>
        <w:gridCol w:w="121"/>
        <w:gridCol w:w="1107"/>
        <w:gridCol w:w="264"/>
      </w:tblGrid>
      <w:tr>
        <w:trPr/>
        <w:tc>
          <w:tcPr>
            <w:tcW w:w="653" w:type="dxa"/>
            <w:tcBorders/>
            <w:shd w:fill="FFFFFF" w:val="clear"/>
            <w:vAlign w:val="center"/>
          </w:tcPr>
          <w:p>
            <w:pPr>
              <w:pStyle w:val="TableContents"/>
              <w:spacing w:before="0" w:after="283"/>
              <w:rPr/>
            </w:pPr>
            <w:r>
              <w:rPr/>
              <w:t> </w:t>
            </w:r>
          </w:p>
        </w:tc>
        <w:tc>
          <w:tcPr>
            <w:tcW w:w="5949"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rPr/>
            </w:pPr>
            <w:r>
              <w:rPr/>
              <w:t> </w:t>
            </w:r>
          </w:p>
        </w:tc>
        <w:tc>
          <w:tcPr>
            <w:tcW w:w="3338" w:type="dxa"/>
            <w:gridSpan w:val="7"/>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653" w:type="dxa"/>
            <w:tcBorders/>
            <w:shd w:fill="FFFFFF" w:val="clear"/>
            <w:vAlign w:val="center"/>
          </w:tcPr>
          <w:p>
            <w:pPr>
              <w:pStyle w:val="TableContents"/>
              <w:spacing w:before="0" w:after="283"/>
              <w:rPr/>
            </w:pPr>
            <w:r>
              <w:rPr/>
              <w:t> </w:t>
            </w:r>
          </w:p>
        </w:tc>
        <w:tc>
          <w:tcPr>
            <w:tcW w:w="5949"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rPr/>
            </w:pPr>
            <w:r>
              <w:rPr/>
              <w:t> </w:t>
            </w:r>
          </w:p>
        </w:tc>
        <w:tc>
          <w:tcPr>
            <w:tcW w:w="1485"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61" w:type="dxa"/>
            <w:tcBorders/>
            <w:shd w:fill="FFFFFF" w:val="clear"/>
            <w:vAlign w:val="center"/>
          </w:tcPr>
          <w:p>
            <w:pPr>
              <w:pStyle w:val="TableContents"/>
              <w:spacing w:before="0" w:after="283"/>
              <w:rPr/>
            </w:pPr>
            <w:r>
              <w:rPr/>
              <w:t> </w:t>
            </w:r>
          </w:p>
        </w:tc>
        <w:tc>
          <w:tcPr>
            <w:tcW w:w="149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r>
      <w:tr>
        <w:trPr/>
        <w:tc>
          <w:tcPr>
            <w:tcW w:w="653" w:type="dxa"/>
            <w:tcBorders/>
            <w:shd w:fill="E5FFFF" w:val="clear"/>
            <w:vAlign w:val="bottom"/>
          </w:tcPr>
          <w:p>
            <w:pPr>
              <w:pStyle w:val="TableContents"/>
              <w:spacing w:before="0" w:after="283"/>
              <w:jc w:val="left"/>
              <w:rPr/>
            </w:pPr>
            <w:r>
              <w:rPr/>
              <w:t>      </w:t>
            </w:r>
          </w:p>
        </w:tc>
        <w:tc>
          <w:tcPr>
            <w:tcW w:w="5949" w:type="dxa"/>
            <w:tcBorders/>
            <w:shd w:fill="E5FFFF" w:val="clear"/>
            <w:vAlign w:val="bottom"/>
          </w:tcPr>
          <w:p>
            <w:pPr>
              <w:pStyle w:val="TableContents"/>
              <w:spacing w:before="0" w:after="283"/>
              <w:jc w:val="left"/>
              <w:rPr>
                <w:rFonts w:ascii="Arial" w:hAnsi="Arial"/>
              </w:rPr>
            </w:pPr>
            <w:r>
              <w:rPr>
                <w:rFonts w:ascii="Arial" w:hAnsi="Arial"/>
              </w:rPr>
              <w:t>Assumed health care cost trend rate:</w:t>
            </w:r>
          </w:p>
        </w:tc>
        <w:tc>
          <w:tcPr>
            <w:tcW w:w="265" w:type="dxa"/>
            <w:tcBorders/>
            <w:shd w:fill="E5FFFF" w:val="clear"/>
            <w:vAlign w:val="center"/>
          </w:tcPr>
          <w:p>
            <w:pPr>
              <w:pStyle w:val="TableContents"/>
              <w:spacing w:before="0" w:after="283"/>
              <w:rPr/>
            </w:pPr>
            <w:r>
              <w:rPr/>
              <w:t> </w:t>
            </w:r>
          </w:p>
        </w:tc>
        <w:tc>
          <w:tcPr>
            <w:tcW w:w="121" w:type="dxa"/>
            <w:tcBorders/>
            <w:shd w:fill="E5FFFF" w:val="clear"/>
            <w:vAlign w:val="center"/>
          </w:tcPr>
          <w:p>
            <w:pPr>
              <w:pStyle w:val="TableContents"/>
              <w:spacing w:before="0" w:after="283"/>
              <w:rPr/>
            </w:pPr>
            <w:r>
              <w:rPr/>
              <w:t> </w:t>
            </w:r>
          </w:p>
        </w:tc>
        <w:tc>
          <w:tcPr>
            <w:tcW w:w="1107" w:type="dxa"/>
            <w:tcBorders/>
            <w:shd w:fill="E5FFFF" w:val="clear"/>
            <w:vAlign w:val="center"/>
          </w:tcPr>
          <w:p>
            <w:pPr>
              <w:pStyle w:val="TableContents"/>
              <w:spacing w:before="0" w:after="283"/>
              <w:rPr/>
            </w:pPr>
            <w:r>
              <w:rPr/>
              <w:t> </w:t>
            </w:r>
          </w:p>
        </w:tc>
        <w:tc>
          <w:tcPr>
            <w:tcW w:w="257" w:type="dxa"/>
            <w:tcBorders/>
            <w:shd w:fill="E5FFFF" w:val="clear"/>
            <w:vAlign w:val="center"/>
          </w:tcPr>
          <w:p>
            <w:pPr>
              <w:pStyle w:val="TableContents"/>
              <w:spacing w:before="0" w:after="283"/>
              <w:rPr/>
            </w:pPr>
            <w:r>
              <w:rPr/>
              <w:t> </w:t>
            </w:r>
          </w:p>
        </w:tc>
        <w:tc>
          <w:tcPr>
            <w:tcW w:w="361" w:type="dxa"/>
            <w:tcBorders/>
            <w:shd w:fill="E5FFFF" w:val="clear"/>
            <w:vAlign w:val="center"/>
          </w:tcPr>
          <w:p>
            <w:pPr>
              <w:pStyle w:val="TableContents"/>
              <w:spacing w:before="0" w:after="283"/>
              <w:rPr/>
            </w:pPr>
            <w:r>
              <w:rPr/>
              <w:t> </w:t>
            </w:r>
          </w:p>
        </w:tc>
        <w:tc>
          <w:tcPr>
            <w:tcW w:w="121" w:type="dxa"/>
            <w:tcBorders/>
            <w:shd w:fill="E5FFFF" w:val="clear"/>
            <w:vAlign w:val="center"/>
          </w:tcPr>
          <w:p>
            <w:pPr>
              <w:pStyle w:val="TableContents"/>
              <w:spacing w:before="0" w:after="283"/>
              <w:rPr/>
            </w:pPr>
            <w:r>
              <w:rPr/>
              <w:t> </w:t>
            </w:r>
          </w:p>
        </w:tc>
        <w:tc>
          <w:tcPr>
            <w:tcW w:w="1107" w:type="dxa"/>
            <w:tcBorders/>
            <w:shd w:fill="E5FFFF" w:val="clear"/>
            <w:vAlign w:val="center"/>
          </w:tcPr>
          <w:p>
            <w:pPr>
              <w:pStyle w:val="TableContents"/>
              <w:spacing w:before="0" w:after="283"/>
              <w:rPr/>
            </w:pPr>
            <w:r>
              <w:rPr/>
              <w:t> </w:t>
            </w:r>
          </w:p>
        </w:tc>
        <w:tc>
          <w:tcPr>
            <w:tcW w:w="264" w:type="dxa"/>
            <w:tcBorders/>
            <w:shd w:fill="E5FFFF" w:val="clear"/>
            <w:vAlign w:val="center"/>
          </w:tcPr>
          <w:p>
            <w:pPr>
              <w:pStyle w:val="TableContents"/>
              <w:spacing w:before="0" w:after="283"/>
              <w:rPr/>
            </w:pPr>
            <w:r>
              <w:rPr/>
              <w:t> </w:t>
            </w:r>
          </w:p>
        </w:tc>
      </w:tr>
      <w:tr>
        <w:trPr/>
        <w:tc>
          <w:tcPr>
            <w:tcW w:w="653" w:type="dxa"/>
            <w:tcBorders/>
            <w:shd w:fill="FFFFFF" w:val="clear"/>
            <w:vAlign w:val="bottom"/>
          </w:tcPr>
          <w:p>
            <w:pPr>
              <w:pStyle w:val="TableContents"/>
              <w:spacing w:before="0" w:after="283"/>
              <w:jc w:val="left"/>
              <w:rPr/>
            </w:pPr>
            <w:r>
              <w:rPr/>
              <w:t>      </w:t>
            </w:r>
          </w:p>
        </w:tc>
        <w:tc>
          <w:tcPr>
            <w:tcW w:w="5949" w:type="dxa"/>
            <w:tcBorders/>
            <w:shd w:fill="FFFFFF" w:val="clear"/>
            <w:vAlign w:val="bottom"/>
          </w:tcPr>
          <w:p>
            <w:pPr>
              <w:pStyle w:val="TableContents"/>
              <w:spacing w:before="0" w:after="283"/>
              <w:jc w:val="left"/>
              <w:rPr>
                <w:rFonts w:ascii="Arial" w:hAnsi="Arial"/>
              </w:rPr>
            </w:pPr>
            <w:r>
              <w:rPr>
                <w:rFonts w:ascii="Arial" w:hAnsi="Arial"/>
              </w:rPr>
              <w:t>Health care cost trend rate assumed for next year</w:t>
            </w:r>
          </w:p>
        </w:tc>
        <w:tc>
          <w:tcPr>
            <w:tcW w:w="265" w:type="dxa"/>
            <w:tcBorders/>
            <w:shd w:fill="FFFFFF" w:val="clear"/>
            <w:vAlign w:val="bottom"/>
          </w:tcPr>
          <w:p>
            <w:pPr>
              <w:pStyle w:val="TableContents"/>
              <w:spacing w:before="0" w:after="283"/>
              <w:jc w:val="right"/>
              <w:rPr/>
            </w:pPr>
            <w:r>
              <w:rPr/>
              <w:t>    </w:t>
            </w:r>
          </w:p>
        </w:tc>
        <w:tc>
          <w:tcPr>
            <w:tcW w:w="121" w:type="dxa"/>
            <w:tcBorders/>
            <w:shd w:fill="FFFFFF" w:val="clear"/>
            <w:vAlign w:val="center"/>
          </w:tcPr>
          <w:p>
            <w:pPr>
              <w:pStyle w:val="TableContents"/>
              <w:spacing w:before="0" w:after="283"/>
              <w:rPr/>
            </w:pPr>
            <w:r>
              <w:rPr/>
              <w:t> </w:t>
            </w:r>
          </w:p>
        </w:tc>
        <w:tc>
          <w:tcPr>
            <w:tcW w:w="1107" w:type="dxa"/>
            <w:tcBorders/>
            <w:shd w:fill="FFFFFF" w:val="clear"/>
            <w:vAlign w:val="bottom"/>
          </w:tcPr>
          <w:p>
            <w:pPr>
              <w:pStyle w:val="TableContents"/>
              <w:spacing w:before="0" w:after="283"/>
              <w:jc w:val="right"/>
              <w:rPr>
                <w:rFonts w:ascii="Arial" w:hAnsi="Arial"/>
              </w:rPr>
            </w:pPr>
            <w:r>
              <w:rPr>
                <w:rFonts w:ascii="Arial" w:hAnsi="Arial"/>
              </w:rPr>
              <w:t>9.0</w:t>
            </w:r>
          </w:p>
        </w:tc>
        <w:tc>
          <w:tcPr>
            <w:tcW w:w="257" w:type="dxa"/>
            <w:tcBorders/>
            <w:shd w:fill="FFFFFF" w:val="clear"/>
            <w:vAlign w:val="bottom"/>
          </w:tcPr>
          <w:p>
            <w:pPr>
              <w:pStyle w:val="TableContents"/>
              <w:spacing w:before="0" w:after="283"/>
              <w:jc w:val="left"/>
              <w:rPr>
                <w:rFonts w:ascii="Arial" w:hAnsi="Arial"/>
              </w:rPr>
            </w:pPr>
            <w:r>
              <w:rPr>
                <w:rFonts w:ascii="Arial" w:hAnsi="Arial"/>
              </w:rPr>
              <w:t>%</w:t>
            </w:r>
          </w:p>
        </w:tc>
        <w:tc>
          <w:tcPr>
            <w:tcW w:w="361" w:type="dxa"/>
            <w:tcBorders/>
            <w:shd w:fill="FFFFFF" w:val="clear"/>
            <w:vAlign w:val="bottom"/>
          </w:tcPr>
          <w:p>
            <w:pPr>
              <w:pStyle w:val="TableContents"/>
              <w:spacing w:before="0" w:after="283"/>
              <w:jc w:val="right"/>
              <w:rPr/>
            </w:pPr>
            <w:r>
              <w:rPr/>
              <w:t>      </w:t>
            </w:r>
          </w:p>
        </w:tc>
        <w:tc>
          <w:tcPr>
            <w:tcW w:w="121" w:type="dxa"/>
            <w:tcBorders/>
            <w:shd w:fill="FFFFFF" w:val="clear"/>
            <w:vAlign w:val="center"/>
          </w:tcPr>
          <w:p>
            <w:pPr>
              <w:pStyle w:val="TableContents"/>
              <w:spacing w:before="0" w:after="283"/>
              <w:rPr/>
            </w:pPr>
            <w:r>
              <w:rPr/>
              <w:t> </w:t>
            </w:r>
          </w:p>
        </w:tc>
        <w:tc>
          <w:tcPr>
            <w:tcW w:w="1107" w:type="dxa"/>
            <w:tcBorders/>
            <w:shd w:fill="FFFFFF" w:val="clear"/>
            <w:vAlign w:val="bottom"/>
          </w:tcPr>
          <w:p>
            <w:pPr>
              <w:pStyle w:val="TableContents"/>
              <w:spacing w:before="0" w:after="283"/>
              <w:jc w:val="right"/>
              <w:rPr>
                <w:rFonts w:ascii="Arial" w:hAnsi="Arial"/>
              </w:rPr>
            </w:pPr>
            <w:r>
              <w:rPr>
                <w:rFonts w:ascii="Arial" w:hAnsi="Arial"/>
              </w:rPr>
              <w:t>9.0</w:t>
            </w:r>
          </w:p>
        </w:tc>
        <w:tc>
          <w:tcPr>
            <w:tcW w:w="264"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53" w:type="dxa"/>
            <w:tcBorders/>
            <w:shd w:fill="E5FFFF" w:val="clear"/>
            <w:vAlign w:val="bottom"/>
          </w:tcPr>
          <w:p>
            <w:pPr>
              <w:pStyle w:val="TableContents"/>
              <w:spacing w:before="0" w:after="283"/>
              <w:jc w:val="left"/>
              <w:rPr/>
            </w:pPr>
            <w:r>
              <w:rPr/>
              <w:t>      </w:t>
            </w:r>
          </w:p>
        </w:tc>
        <w:tc>
          <w:tcPr>
            <w:tcW w:w="5949" w:type="dxa"/>
            <w:tcBorders/>
            <w:shd w:fill="E5FFFF" w:val="clear"/>
            <w:vAlign w:val="bottom"/>
          </w:tcPr>
          <w:p>
            <w:pPr>
              <w:pStyle w:val="TableContents"/>
              <w:spacing w:before="0" w:after="283"/>
              <w:jc w:val="left"/>
              <w:rPr>
                <w:rFonts w:ascii="Arial" w:hAnsi="Arial"/>
              </w:rPr>
            </w:pPr>
            <w:r>
              <w:rPr>
                <w:rFonts w:ascii="Arial" w:hAnsi="Arial"/>
              </w:rPr>
              <w:t>Rate that the cost trend rate gradually declines to</w:t>
            </w:r>
          </w:p>
        </w:tc>
        <w:tc>
          <w:tcPr>
            <w:tcW w:w="265" w:type="dxa"/>
            <w:tcBorders/>
            <w:shd w:fill="E5FFFF" w:val="clear"/>
            <w:vAlign w:val="bottom"/>
          </w:tcPr>
          <w:p>
            <w:pPr>
              <w:pStyle w:val="TableContents"/>
              <w:spacing w:before="0" w:after="283"/>
              <w:jc w:val="right"/>
              <w:rPr/>
            </w:pPr>
            <w:r>
              <w:rPr/>
              <w:t>    </w:t>
            </w:r>
          </w:p>
        </w:tc>
        <w:tc>
          <w:tcPr>
            <w:tcW w:w="121" w:type="dxa"/>
            <w:tcBorders/>
            <w:shd w:fill="E5FFFF" w:val="clear"/>
            <w:vAlign w:val="center"/>
          </w:tcPr>
          <w:p>
            <w:pPr>
              <w:pStyle w:val="TableContents"/>
              <w:spacing w:before="0" w:after="283"/>
              <w:rPr/>
            </w:pPr>
            <w:r>
              <w:rPr/>
              <w:t> </w:t>
            </w:r>
          </w:p>
        </w:tc>
        <w:tc>
          <w:tcPr>
            <w:tcW w:w="1107" w:type="dxa"/>
            <w:tcBorders/>
            <w:shd w:fill="E5FFFF" w:val="clear"/>
            <w:vAlign w:val="bottom"/>
          </w:tcPr>
          <w:p>
            <w:pPr>
              <w:pStyle w:val="TableContents"/>
              <w:spacing w:before="0" w:after="283"/>
              <w:jc w:val="right"/>
              <w:rPr>
                <w:rFonts w:ascii="Arial" w:hAnsi="Arial"/>
              </w:rPr>
            </w:pPr>
            <w:r>
              <w:rPr>
                <w:rFonts w:ascii="Arial" w:hAnsi="Arial"/>
              </w:rPr>
              <w:t>5.5</w:t>
            </w:r>
          </w:p>
        </w:tc>
        <w:tc>
          <w:tcPr>
            <w:tcW w:w="257" w:type="dxa"/>
            <w:tcBorders/>
            <w:shd w:fill="E5FFFF" w:val="clear"/>
            <w:vAlign w:val="bottom"/>
          </w:tcPr>
          <w:p>
            <w:pPr>
              <w:pStyle w:val="TableContents"/>
              <w:spacing w:before="0" w:after="283"/>
              <w:jc w:val="left"/>
              <w:rPr>
                <w:rFonts w:ascii="Arial" w:hAnsi="Arial"/>
              </w:rPr>
            </w:pPr>
            <w:r>
              <w:rPr>
                <w:rFonts w:ascii="Arial" w:hAnsi="Arial"/>
              </w:rPr>
              <w:t>%</w:t>
            </w:r>
          </w:p>
        </w:tc>
        <w:tc>
          <w:tcPr>
            <w:tcW w:w="361" w:type="dxa"/>
            <w:tcBorders/>
            <w:shd w:fill="E5FFFF" w:val="clear"/>
            <w:vAlign w:val="bottom"/>
          </w:tcPr>
          <w:p>
            <w:pPr>
              <w:pStyle w:val="TableContents"/>
              <w:spacing w:before="0" w:after="283"/>
              <w:jc w:val="right"/>
              <w:rPr/>
            </w:pPr>
            <w:r>
              <w:rPr/>
              <w:t>      </w:t>
            </w:r>
          </w:p>
        </w:tc>
        <w:tc>
          <w:tcPr>
            <w:tcW w:w="121" w:type="dxa"/>
            <w:tcBorders/>
            <w:shd w:fill="E5FFFF" w:val="clear"/>
            <w:vAlign w:val="center"/>
          </w:tcPr>
          <w:p>
            <w:pPr>
              <w:pStyle w:val="TableContents"/>
              <w:spacing w:before="0" w:after="283"/>
              <w:rPr/>
            </w:pPr>
            <w:r>
              <w:rPr/>
              <w:t> </w:t>
            </w:r>
          </w:p>
        </w:tc>
        <w:tc>
          <w:tcPr>
            <w:tcW w:w="1107" w:type="dxa"/>
            <w:tcBorders/>
            <w:shd w:fill="E5FFFF" w:val="clear"/>
            <w:vAlign w:val="bottom"/>
          </w:tcPr>
          <w:p>
            <w:pPr>
              <w:pStyle w:val="TableContents"/>
              <w:spacing w:before="0" w:after="283"/>
              <w:jc w:val="right"/>
              <w:rPr>
                <w:rFonts w:ascii="Arial" w:hAnsi="Arial"/>
              </w:rPr>
            </w:pPr>
            <w:r>
              <w:rPr>
                <w:rFonts w:ascii="Arial" w:hAnsi="Arial"/>
              </w:rPr>
              <w:t>5.0</w:t>
            </w:r>
          </w:p>
        </w:tc>
        <w:tc>
          <w:tcPr>
            <w:tcW w:w="264"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53" w:type="dxa"/>
            <w:tcBorders/>
            <w:shd w:fill="FFFFFF" w:val="clear"/>
            <w:vAlign w:val="bottom"/>
          </w:tcPr>
          <w:p>
            <w:pPr>
              <w:pStyle w:val="TableContents"/>
              <w:spacing w:before="0" w:after="283"/>
              <w:jc w:val="left"/>
              <w:rPr/>
            </w:pPr>
            <w:r>
              <w:rPr/>
              <w:t>      </w:t>
            </w:r>
          </w:p>
        </w:tc>
        <w:tc>
          <w:tcPr>
            <w:tcW w:w="5949" w:type="dxa"/>
            <w:tcBorders/>
            <w:shd w:fill="FFFFFF" w:val="clear"/>
            <w:vAlign w:val="bottom"/>
          </w:tcPr>
          <w:p>
            <w:pPr>
              <w:pStyle w:val="TableContents"/>
              <w:spacing w:before="0" w:after="283"/>
              <w:jc w:val="left"/>
              <w:rPr>
                <w:rFonts w:ascii="Arial" w:hAnsi="Arial"/>
              </w:rPr>
            </w:pPr>
            <w:r>
              <w:rPr>
                <w:rFonts w:ascii="Arial" w:hAnsi="Arial"/>
              </w:rPr>
              <w:t>Year that the rate reaches the rate it is assumed to remain at</w:t>
            </w:r>
          </w:p>
        </w:tc>
        <w:tc>
          <w:tcPr>
            <w:tcW w:w="265" w:type="dxa"/>
            <w:tcBorders/>
            <w:shd w:fill="FFFFFF" w:val="clear"/>
            <w:vAlign w:val="bottom"/>
          </w:tcPr>
          <w:p>
            <w:pPr>
              <w:pStyle w:val="TableContents"/>
              <w:spacing w:before="0" w:after="283"/>
              <w:jc w:val="right"/>
              <w:rPr/>
            </w:pPr>
            <w:r>
              <w:rPr/>
              <w:t>    </w:t>
            </w:r>
          </w:p>
        </w:tc>
        <w:tc>
          <w:tcPr>
            <w:tcW w:w="121" w:type="dxa"/>
            <w:tcBorders/>
            <w:shd w:fill="FFFFFF" w:val="clear"/>
            <w:vAlign w:val="center"/>
          </w:tcPr>
          <w:p>
            <w:pPr>
              <w:pStyle w:val="TableContents"/>
              <w:spacing w:before="0" w:after="283"/>
              <w:rPr/>
            </w:pPr>
            <w:r>
              <w:rPr/>
              <w:t> </w:t>
            </w:r>
          </w:p>
        </w:tc>
        <w:tc>
          <w:tcPr>
            <w:tcW w:w="1107" w:type="dxa"/>
            <w:tcBorders/>
            <w:shd w:fill="FFFFFF" w:val="clear"/>
            <w:vAlign w:val="bottom"/>
          </w:tcPr>
          <w:p>
            <w:pPr>
              <w:pStyle w:val="TableContents"/>
              <w:spacing w:before="0" w:after="283"/>
              <w:jc w:val="right"/>
              <w:rPr>
                <w:rFonts w:ascii="Arial" w:hAnsi="Arial"/>
              </w:rPr>
            </w:pPr>
            <w:r>
              <w:rPr>
                <w:rFonts w:ascii="Arial" w:hAnsi="Arial"/>
              </w:rPr>
              <w:t>2014</w:t>
            </w:r>
          </w:p>
        </w:tc>
        <w:tc>
          <w:tcPr>
            <w:tcW w:w="257" w:type="dxa"/>
            <w:tcBorders/>
            <w:shd w:fill="FFFFFF" w:val="clear"/>
            <w:vAlign w:val="center"/>
          </w:tcPr>
          <w:p>
            <w:pPr>
              <w:pStyle w:val="TableContents"/>
              <w:spacing w:before="0" w:after="283"/>
              <w:rPr/>
            </w:pPr>
            <w:r>
              <w:rPr/>
              <w:t> </w:t>
            </w:r>
          </w:p>
        </w:tc>
        <w:tc>
          <w:tcPr>
            <w:tcW w:w="361" w:type="dxa"/>
            <w:tcBorders/>
            <w:shd w:fill="FFFFFF" w:val="clear"/>
            <w:vAlign w:val="bottom"/>
          </w:tcPr>
          <w:p>
            <w:pPr>
              <w:pStyle w:val="TableContents"/>
              <w:spacing w:before="0" w:after="283"/>
              <w:jc w:val="right"/>
              <w:rPr/>
            </w:pPr>
            <w:r>
              <w:rPr/>
              <w:t>      </w:t>
            </w:r>
          </w:p>
        </w:tc>
        <w:tc>
          <w:tcPr>
            <w:tcW w:w="121" w:type="dxa"/>
            <w:tcBorders/>
            <w:shd w:fill="FFFFFF" w:val="clear"/>
            <w:vAlign w:val="center"/>
          </w:tcPr>
          <w:p>
            <w:pPr>
              <w:pStyle w:val="TableContents"/>
              <w:spacing w:before="0" w:after="283"/>
              <w:rPr/>
            </w:pPr>
            <w:r>
              <w:rPr/>
              <w:t> </w:t>
            </w:r>
          </w:p>
        </w:tc>
        <w:tc>
          <w:tcPr>
            <w:tcW w:w="1107" w:type="dxa"/>
            <w:tcBorders/>
            <w:shd w:fill="FFFFFF" w:val="clear"/>
            <w:vAlign w:val="bottom"/>
          </w:tcPr>
          <w:p>
            <w:pPr>
              <w:pStyle w:val="TableContents"/>
              <w:spacing w:before="0" w:after="283"/>
              <w:jc w:val="right"/>
              <w:rPr>
                <w:rFonts w:ascii="Arial" w:hAnsi="Arial"/>
              </w:rPr>
            </w:pPr>
            <w:r>
              <w:rPr>
                <w:rFonts w:ascii="Arial" w:hAnsi="Arial"/>
              </w:rPr>
              <w:t>2010</w:t>
            </w:r>
          </w:p>
        </w:tc>
        <w:tc>
          <w:tcPr>
            <w:tcW w:w="264" w:type="dxa"/>
            <w:tcBorders/>
            <w:shd w:fill="FFFFFF" w:val="clear"/>
            <w:vAlign w:val="center"/>
          </w:tcPr>
          <w:p>
            <w:pPr>
              <w:pStyle w:val="TableContents"/>
              <w:spacing w:before="0" w:after="283"/>
              <w:rPr/>
            </w:pPr>
            <w:r>
              <w:rPr/>
              <w:t> </w:t>
            </w:r>
          </w:p>
        </w:tc>
      </w:tr>
      <w:tr>
        <w:trPr/>
        <w:tc>
          <w:tcPr>
            <w:tcW w:w="653" w:type="dxa"/>
            <w:tcBorders/>
            <w:shd w:fill="FFFFFF" w:val="clear"/>
            <w:vAlign w:val="bottom"/>
          </w:tcPr>
          <w:p>
            <w:pPr>
              <w:pStyle w:val="TableContents"/>
              <w:spacing w:before="0" w:after="283"/>
              <w:jc w:val="left"/>
              <w:rPr/>
            </w:pPr>
            <w:r>
              <w:rPr/>
              <w:t>      </w:t>
            </w:r>
          </w:p>
        </w:tc>
        <w:tc>
          <w:tcPr>
            <w:tcW w:w="5949" w:type="dxa"/>
            <w:tcBorders/>
            <w:shd w:fill="FFFFFF" w:val="clear"/>
            <w:vAlign w:val="bottom"/>
          </w:tcPr>
          <w:p>
            <w:pPr>
              <w:pStyle w:val="TableContents"/>
              <w:spacing w:before="0" w:after="283"/>
              <w:rPr>
                <w:sz w:val="4"/>
                <w:szCs w:val="4"/>
              </w:rPr>
            </w:pPr>
            <w:r>
              <w:rPr>
                <w:sz w:val="4"/>
                <w:szCs w:val="4"/>
              </w:rPr>
            </w:r>
          </w:p>
        </w:tc>
        <w:tc>
          <w:tcPr>
            <w:tcW w:w="265"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1107"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rPr/>
            </w:pPr>
            <w:r>
              <w:rPr/>
              <w:t> </w:t>
            </w:r>
          </w:p>
        </w:tc>
        <w:tc>
          <w:tcPr>
            <w:tcW w:w="361"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rPr/>
            </w:pPr>
            <w:r>
              <w:rPr/>
              <w:t> </w:t>
            </w:r>
          </w:p>
        </w:tc>
        <w:tc>
          <w:tcPr>
            <w:tcW w:w="1107"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The assumed health care cost trend rate has a significant effect on the amounts reported. A one-percentage-point change in the assumed health care cost trend rate would have the following effects:</w:t>
      </w:r>
    </w:p>
    <w:tbl>
      <w:tblPr>
        <w:tblW w:w="5000" w:type="pct"/>
        <w:jc w:val="left"/>
        <w:tblInd w:w="0" w:type="dxa"/>
        <w:tblCellMar>
          <w:top w:w="0" w:type="dxa"/>
          <w:left w:w="0" w:type="dxa"/>
          <w:bottom w:w="0" w:type="dxa"/>
          <w:right w:w="0" w:type="dxa"/>
        </w:tblCellMar>
      </w:tblPr>
      <w:tblGrid>
        <w:gridCol w:w="620"/>
        <w:gridCol w:w="5934"/>
        <w:gridCol w:w="256"/>
        <w:gridCol w:w="307"/>
        <w:gridCol w:w="990"/>
        <w:gridCol w:w="161"/>
        <w:gridCol w:w="256"/>
        <w:gridCol w:w="285"/>
        <w:gridCol w:w="1188"/>
        <w:gridCol w:w="208"/>
      </w:tblGrid>
      <w:tr>
        <w:trPr/>
        <w:tc>
          <w:tcPr>
            <w:tcW w:w="62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3395" w:type="dxa"/>
            <w:gridSpan w:val="7"/>
            <w:tcBorders/>
            <w:shd w:fill="FFFFFF" w:val="clear"/>
            <w:vAlign w:val="bottom"/>
          </w:tcPr>
          <w:p>
            <w:pPr>
              <w:pStyle w:val="TableContents"/>
              <w:spacing w:before="0" w:after="0"/>
              <w:jc w:val="center"/>
              <w:rPr>
                <w:rFonts w:ascii="Arial" w:hAnsi="Arial"/>
                <w:b/>
              </w:rPr>
            </w:pPr>
            <w:r>
              <w:rPr>
                <w:rFonts w:ascii="Arial" w:hAnsi="Arial"/>
                <w:b/>
              </w:rPr>
              <w:t>1 percentage point</w:t>
            </w:r>
          </w:p>
          <w:p>
            <w:pPr>
              <w:pStyle w:val="HorizontalLine"/>
              <w:pBdr>
                <w:bottom w:val="single" w:sz="6" w:space="0" w:color="000000"/>
              </w:pBdr>
              <w:spacing w:before="0" w:after="283"/>
              <w:rPr/>
            </w:pPr>
            <w:r>
              <w:rPr/>
            </w:r>
          </w:p>
        </w:tc>
      </w:tr>
      <w:tr>
        <w:trPr/>
        <w:tc>
          <w:tcPr>
            <w:tcW w:w="620" w:type="dxa"/>
            <w:tcBorders/>
            <w:shd w:fill="FFFFFF" w:val="clear"/>
            <w:vAlign w:val="center"/>
          </w:tcPr>
          <w:p>
            <w:pPr>
              <w:pStyle w:val="TableContents"/>
              <w:spacing w:before="0" w:after="283"/>
              <w:rPr/>
            </w:pPr>
            <w:r>
              <w:rPr/>
              <w:t> </w:t>
            </w:r>
          </w:p>
        </w:tc>
        <w:tc>
          <w:tcPr>
            <w:tcW w:w="5934"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1458" w:type="dxa"/>
            <w:gridSpan w:val="3"/>
            <w:tcBorders/>
            <w:shd w:fill="FFFFFF" w:val="clear"/>
            <w:vAlign w:val="bottom"/>
          </w:tcPr>
          <w:p>
            <w:pPr>
              <w:pStyle w:val="TableContents"/>
              <w:spacing w:before="0" w:after="0"/>
              <w:jc w:val="center"/>
              <w:rPr>
                <w:rFonts w:ascii="Arial" w:hAnsi="Arial"/>
                <w:b/>
              </w:rPr>
            </w:pPr>
            <w:r>
              <w:rPr>
                <w:rFonts w:ascii="Arial" w:hAnsi="Arial"/>
                <w:b/>
              </w:rPr>
              <w:t>Increase</w:t>
            </w:r>
          </w:p>
          <w:p>
            <w:pPr>
              <w:pStyle w:val="HorizontalLine"/>
              <w:pBdr>
                <w:bottom w:val="single" w:sz="6" w:space="0" w:color="000000"/>
              </w:pBdr>
              <w:spacing w:before="0" w:after="283"/>
              <w:rPr/>
            </w:pPr>
            <w:r>
              <w:rPr/>
            </w:r>
          </w:p>
        </w:tc>
        <w:tc>
          <w:tcPr>
            <w:tcW w:w="256" w:type="dxa"/>
            <w:tcBorders/>
            <w:shd w:fill="FFFFFF" w:val="clear"/>
            <w:vAlign w:val="center"/>
          </w:tcPr>
          <w:p>
            <w:pPr>
              <w:pStyle w:val="TableContents"/>
              <w:spacing w:before="0" w:after="283"/>
              <w:rPr/>
            </w:pPr>
            <w:r>
              <w:rPr/>
              <w:t> </w:t>
            </w:r>
          </w:p>
        </w:tc>
        <w:tc>
          <w:tcPr>
            <w:tcW w:w="1681" w:type="dxa"/>
            <w:gridSpan w:val="3"/>
            <w:tcBorders/>
            <w:shd w:fill="FFFFFF" w:val="clear"/>
            <w:vAlign w:val="bottom"/>
          </w:tcPr>
          <w:p>
            <w:pPr>
              <w:pStyle w:val="TableContents"/>
              <w:spacing w:before="0" w:after="0"/>
              <w:jc w:val="center"/>
              <w:rPr>
                <w:rFonts w:ascii="Arial" w:hAnsi="Arial"/>
                <w:b/>
              </w:rPr>
            </w:pPr>
            <w:r>
              <w:rPr>
                <w:rFonts w:ascii="Arial" w:hAnsi="Arial"/>
                <w:b/>
              </w:rPr>
              <w:t>Decrease</w:t>
            </w:r>
          </w:p>
          <w:p>
            <w:pPr>
              <w:pStyle w:val="HorizontalLine"/>
              <w:pBdr>
                <w:bottom w:val="single" w:sz="6" w:space="0" w:color="000000"/>
              </w:pBdr>
              <w:spacing w:before="0" w:after="283"/>
              <w:rPr/>
            </w:pPr>
            <w:r>
              <w:rPr/>
            </w:r>
          </w:p>
        </w:tc>
      </w:tr>
      <w:tr>
        <w:trPr/>
        <w:tc>
          <w:tcPr>
            <w:tcW w:w="620" w:type="dxa"/>
            <w:tcBorders/>
            <w:shd w:fill="E5FFFF" w:val="clear"/>
            <w:vAlign w:val="bottom"/>
          </w:tcPr>
          <w:p>
            <w:pPr>
              <w:pStyle w:val="TableContents"/>
              <w:spacing w:before="0" w:after="283"/>
              <w:jc w:val="left"/>
              <w:rPr/>
            </w:pPr>
            <w:r>
              <w:rPr/>
              <w:t>      </w:t>
            </w:r>
          </w:p>
        </w:tc>
        <w:tc>
          <w:tcPr>
            <w:tcW w:w="5934" w:type="dxa"/>
            <w:tcBorders/>
            <w:shd w:fill="E5FFFF" w:val="clear"/>
            <w:vAlign w:val="bottom"/>
          </w:tcPr>
          <w:p>
            <w:pPr>
              <w:pStyle w:val="TableContents"/>
              <w:spacing w:before="0" w:after="283"/>
              <w:jc w:val="left"/>
              <w:rPr>
                <w:rFonts w:ascii="Arial" w:hAnsi="Arial"/>
              </w:rPr>
            </w:pPr>
            <w:r>
              <w:rPr>
                <w:rFonts w:ascii="Arial" w:hAnsi="Arial"/>
              </w:rPr>
              <w:t>Effect on total of service and interest cost components</w:t>
            </w:r>
          </w:p>
        </w:tc>
        <w:tc>
          <w:tcPr>
            <w:tcW w:w="256" w:type="dxa"/>
            <w:tcBorders/>
            <w:shd w:fill="E5FFFF" w:val="clear"/>
            <w:vAlign w:val="bottom"/>
          </w:tcPr>
          <w:p>
            <w:pPr>
              <w:pStyle w:val="TableContents"/>
              <w:spacing w:before="0" w:after="283"/>
              <w:jc w:val="right"/>
              <w:rPr/>
            </w:pPr>
            <w:r>
              <w:rPr/>
              <w:t>    </w:t>
            </w:r>
          </w:p>
        </w:tc>
        <w:tc>
          <w:tcPr>
            <w:tcW w:w="307" w:type="dxa"/>
            <w:tcBorders/>
            <w:shd w:fill="E5FFFF" w:val="clear"/>
            <w:vAlign w:val="bottom"/>
          </w:tcPr>
          <w:p>
            <w:pPr>
              <w:pStyle w:val="TableContents"/>
              <w:spacing w:before="0" w:after="283"/>
              <w:jc w:val="right"/>
              <w:rPr>
                <w:rFonts w:ascii="Arial" w:hAnsi="Arial"/>
              </w:rPr>
            </w:pPr>
            <w:r>
              <w:rPr>
                <w:rFonts w:ascii="Arial" w:hAnsi="Arial"/>
              </w:rPr>
              <w:t>$</w:t>
            </w:r>
          </w:p>
        </w:tc>
        <w:tc>
          <w:tcPr>
            <w:tcW w:w="990" w:type="dxa"/>
            <w:tcBorders/>
            <w:shd w:fill="E5FFFF" w:val="clear"/>
            <w:vAlign w:val="bottom"/>
          </w:tcPr>
          <w:p>
            <w:pPr>
              <w:pStyle w:val="TableContents"/>
              <w:spacing w:before="0" w:after="283"/>
              <w:jc w:val="right"/>
              <w:rPr>
                <w:rFonts w:ascii="Arial" w:hAnsi="Arial"/>
              </w:rPr>
            </w:pPr>
            <w:r>
              <w:rPr>
                <w:rFonts w:ascii="Arial" w:hAnsi="Arial"/>
              </w:rPr>
              <w:t>6</w:t>
            </w:r>
          </w:p>
        </w:tc>
        <w:tc>
          <w:tcPr>
            <w:tcW w:w="161" w:type="dxa"/>
            <w:tcBorders/>
            <w:shd w:fill="E5FFFF" w:val="clear"/>
            <w:vAlign w:val="center"/>
          </w:tcPr>
          <w:p>
            <w:pPr>
              <w:pStyle w:val="TableContents"/>
              <w:spacing w:before="0" w:after="283"/>
              <w:rPr/>
            </w:pPr>
            <w:r>
              <w:rPr/>
              <w:t> </w:t>
            </w:r>
          </w:p>
        </w:tc>
        <w:tc>
          <w:tcPr>
            <w:tcW w:w="256" w:type="dxa"/>
            <w:tcBorders/>
            <w:shd w:fill="E5FFFF" w:val="clear"/>
            <w:vAlign w:val="bottom"/>
          </w:tcPr>
          <w:p>
            <w:pPr>
              <w:pStyle w:val="TableContents"/>
              <w:spacing w:before="0" w:after="283"/>
              <w:jc w:val="right"/>
              <w:rPr/>
            </w:pPr>
            <w:r>
              <w:rPr/>
              <w:t>    </w:t>
            </w:r>
          </w:p>
        </w:tc>
        <w:tc>
          <w:tcPr>
            <w:tcW w:w="285" w:type="dxa"/>
            <w:tcBorders/>
            <w:shd w:fill="E5FFFF" w:val="clear"/>
            <w:vAlign w:val="bottom"/>
          </w:tcPr>
          <w:p>
            <w:pPr>
              <w:pStyle w:val="TableContents"/>
              <w:spacing w:before="0" w:after="283"/>
              <w:jc w:val="right"/>
              <w:rPr>
                <w:rFonts w:ascii="Arial" w:hAnsi="Arial"/>
              </w:rPr>
            </w:pPr>
            <w:r>
              <w:rPr>
                <w:rFonts w:ascii="Arial" w:hAnsi="Arial"/>
              </w:rPr>
              <w:t>$</w:t>
            </w:r>
          </w:p>
        </w:tc>
        <w:tc>
          <w:tcPr>
            <w:tcW w:w="1188" w:type="dxa"/>
            <w:tcBorders/>
            <w:shd w:fill="E5FFFF" w:val="clear"/>
            <w:vAlign w:val="bottom"/>
          </w:tcPr>
          <w:p>
            <w:pPr>
              <w:pStyle w:val="TableContents"/>
              <w:spacing w:before="0" w:after="283"/>
              <w:jc w:val="right"/>
              <w:rPr>
                <w:rFonts w:ascii="Arial" w:hAnsi="Arial"/>
              </w:rPr>
            </w:pPr>
            <w:r>
              <w:rPr>
                <w:rFonts w:ascii="Arial" w:hAnsi="Arial"/>
              </w:rPr>
              <w:t>(5</w:t>
            </w:r>
          </w:p>
        </w:tc>
        <w:tc>
          <w:tcPr>
            <w:tcW w:w="208"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620" w:type="dxa"/>
            <w:tcBorders/>
            <w:shd w:fill="FFFFFF" w:val="clear"/>
            <w:vAlign w:val="bottom"/>
          </w:tcPr>
          <w:p>
            <w:pPr>
              <w:pStyle w:val="TableContents"/>
              <w:spacing w:before="0" w:after="283"/>
              <w:jc w:val="left"/>
              <w:rPr/>
            </w:pPr>
            <w:r>
              <w:rPr/>
              <w:t>      </w:t>
            </w:r>
          </w:p>
        </w:tc>
        <w:tc>
          <w:tcPr>
            <w:tcW w:w="5934" w:type="dxa"/>
            <w:tcBorders/>
            <w:shd w:fill="FFFFFF" w:val="clear"/>
            <w:vAlign w:val="bottom"/>
          </w:tcPr>
          <w:p>
            <w:pPr>
              <w:pStyle w:val="TableContents"/>
              <w:spacing w:before="0" w:after="283"/>
              <w:jc w:val="left"/>
              <w:rPr>
                <w:rFonts w:ascii="Arial" w:hAnsi="Arial"/>
              </w:rPr>
            </w:pPr>
            <w:r>
              <w:rPr>
                <w:rFonts w:ascii="Arial" w:hAnsi="Arial"/>
              </w:rPr>
              <w:t>Effect on postretirement benefit obligation</w:t>
            </w:r>
          </w:p>
        </w:tc>
        <w:tc>
          <w:tcPr>
            <w:tcW w:w="256" w:type="dxa"/>
            <w:tcBorders/>
            <w:shd w:fill="FFFFFF" w:val="clear"/>
            <w:vAlign w:val="bottom"/>
          </w:tcPr>
          <w:p>
            <w:pPr>
              <w:pStyle w:val="TableContents"/>
              <w:spacing w:before="0" w:after="283"/>
              <w:jc w:val="right"/>
              <w:rPr/>
            </w:pPr>
            <w:r>
              <w:rPr/>
              <w:t>    </w:t>
            </w:r>
          </w:p>
        </w:tc>
        <w:tc>
          <w:tcPr>
            <w:tcW w:w="307" w:type="dxa"/>
            <w:tcBorders/>
            <w:shd w:fill="FFFFFF" w:val="clear"/>
            <w:vAlign w:val="bottom"/>
          </w:tcPr>
          <w:p>
            <w:pPr>
              <w:pStyle w:val="TableContents"/>
              <w:spacing w:before="0" w:after="283"/>
              <w:jc w:val="right"/>
              <w:rPr>
                <w:rFonts w:ascii="Arial" w:hAnsi="Arial"/>
              </w:rPr>
            </w:pPr>
            <w:r>
              <w:rPr>
                <w:rFonts w:ascii="Arial" w:hAnsi="Arial"/>
              </w:rPr>
              <w:t>$</w:t>
            </w:r>
          </w:p>
        </w:tc>
        <w:tc>
          <w:tcPr>
            <w:tcW w:w="990" w:type="dxa"/>
            <w:tcBorders/>
            <w:shd w:fill="FFFFFF" w:val="clear"/>
            <w:vAlign w:val="bottom"/>
          </w:tcPr>
          <w:p>
            <w:pPr>
              <w:pStyle w:val="TableContents"/>
              <w:spacing w:before="0" w:after="283"/>
              <w:jc w:val="right"/>
              <w:rPr>
                <w:rFonts w:ascii="Arial" w:hAnsi="Arial"/>
              </w:rPr>
            </w:pPr>
            <w:r>
              <w:rPr>
                <w:rFonts w:ascii="Arial" w:hAnsi="Arial"/>
              </w:rPr>
              <w:t>87</w:t>
            </w:r>
          </w:p>
        </w:tc>
        <w:tc>
          <w:tcPr>
            <w:tcW w:w="161" w:type="dxa"/>
            <w:tcBorders/>
            <w:shd w:fill="FFFFFF" w:val="clear"/>
            <w:vAlign w:val="center"/>
          </w:tcPr>
          <w:p>
            <w:pPr>
              <w:pStyle w:val="TableContents"/>
              <w:spacing w:before="0" w:after="283"/>
              <w:rPr/>
            </w:pPr>
            <w:r>
              <w:rPr/>
              <w:t> </w:t>
            </w:r>
          </w:p>
        </w:tc>
        <w:tc>
          <w:tcPr>
            <w:tcW w:w="256" w:type="dxa"/>
            <w:tcBorders/>
            <w:shd w:fill="FFFFFF" w:val="clear"/>
            <w:vAlign w:val="bottom"/>
          </w:tcPr>
          <w:p>
            <w:pPr>
              <w:pStyle w:val="TableContents"/>
              <w:spacing w:before="0" w:after="283"/>
              <w:jc w:val="right"/>
              <w:rPr/>
            </w:pPr>
            <w:r>
              <w:rPr/>
              <w:t>    </w:t>
            </w:r>
          </w:p>
        </w:tc>
        <w:tc>
          <w:tcPr>
            <w:tcW w:w="285" w:type="dxa"/>
            <w:tcBorders/>
            <w:shd w:fill="FFFFFF" w:val="clear"/>
            <w:vAlign w:val="bottom"/>
          </w:tcPr>
          <w:p>
            <w:pPr>
              <w:pStyle w:val="TableContents"/>
              <w:spacing w:before="0" w:after="283"/>
              <w:jc w:val="right"/>
              <w:rPr>
                <w:rFonts w:ascii="Arial" w:hAnsi="Arial"/>
              </w:rPr>
            </w:pPr>
            <w:r>
              <w:rPr>
                <w:rFonts w:ascii="Arial" w:hAnsi="Arial"/>
              </w:rPr>
              <w:t>$</w:t>
            </w:r>
          </w:p>
        </w:tc>
        <w:tc>
          <w:tcPr>
            <w:tcW w:w="1188" w:type="dxa"/>
            <w:tcBorders/>
            <w:shd w:fill="FFFFFF" w:val="clear"/>
            <w:vAlign w:val="bottom"/>
          </w:tcPr>
          <w:p>
            <w:pPr>
              <w:pStyle w:val="TableContents"/>
              <w:spacing w:before="0" w:after="283"/>
              <w:jc w:val="right"/>
              <w:rPr>
                <w:rFonts w:ascii="Arial" w:hAnsi="Arial"/>
              </w:rPr>
            </w:pPr>
            <w:r>
              <w:rPr>
                <w:rFonts w:ascii="Arial" w:hAnsi="Arial"/>
              </w:rPr>
              <w:t>(78</w:t>
            </w:r>
          </w:p>
        </w:tc>
        <w:tc>
          <w:tcPr>
            <w:tcW w:w="208"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620" w:type="dxa"/>
            <w:tcBorders/>
            <w:shd w:fill="FFFFFF" w:val="clear"/>
            <w:vAlign w:val="bottom"/>
          </w:tcPr>
          <w:p>
            <w:pPr>
              <w:pStyle w:val="TableContents"/>
              <w:spacing w:before="0" w:after="283"/>
              <w:jc w:val="left"/>
              <w:rPr/>
            </w:pPr>
            <w:r>
              <w:rPr/>
              <w:t>      </w:t>
            </w:r>
          </w:p>
        </w:tc>
        <w:tc>
          <w:tcPr>
            <w:tcW w:w="5934" w:type="dxa"/>
            <w:tcBorders/>
            <w:shd w:fill="FFFFFF" w:val="clear"/>
            <w:vAlign w:val="bottom"/>
          </w:tcPr>
          <w:p>
            <w:pPr>
              <w:pStyle w:val="TableContents"/>
              <w:spacing w:before="0" w:after="283"/>
              <w:rPr>
                <w:sz w:val="4"/>
                <w:szCs w:val="4"/>
              </w:rPr>
            </w:pPr>
            <w:r>
              <w:rPr>
                <w:sz w:val="4"/>
                <w:szCs w:val="4"/>
              </w:rPr>
            </w:r>
          </w:p>
        </w:tc>
        <w:tc>
          <w:tcPr>
            <w:tcW w:w="256" w:type="dxa"/>
            <w:tcBorders/>
            <w:shd w:fill="FFFFFF" w:val="clear"/>
            <w:vAlign w:val="center"/>
          </w:tcPr>
          <w:p>
            <w:pPr>
              <w:pStyle w:val="TableContents"/>
              <w:spacing w:before="0" w:after="283"/>
              <w:rPr/>
            </w:pPr>
            <w:r>
              <w:rPr/>
              <w:t> </w:t>
            </w:r>
          </w:p>
        </w:tc>
        <w:tc>
          <w:tcPr>
            <w:tcW w:w="307" w:type="dxa"/>
            <w:tcBorders/>
            <w:shd w:fill="FFFFFF" w:val="clear"/>
            <w:vAlign w:val="center"/>
          </w:tcPr>
          <w:p>
            <w:pPr>
              <w:pStyle w:val="TableContents"/>
              <w:spacing w:before="0" w:after="283"/>
              <w:rPr/>
            </w:pPr>
            <w:r>
              <w:rPr/>
              <w:t> </w:t>
            </w:r>
          </w:p>
        </w:tc>
        <w:tc>
          <w:tcPr>
            <w:tcW w:w="990" w:type="dxa"/>
            <w:tcBorders/>
            <w:shd w:fill="FFFFFF" w:val="clear"/>
            <w:vAlign w:val="center"/>
          </w:tcPr>
          <w:p>
            <w:pPr>
              <w:pStyle w:val="TableContents"/>
              <w:spacing w:before="0" w:after="283"/>
              <w:rPr/>
            </w:pPr>
            <w:r>
              <w:rPr/>
              <w:t> </w:t>
            </w:r>
          </w:p>
        </w:tc>
        <w:tc>
          <w:tcPr>
            <w:tcW w:w="161"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285" w:type="dxa"/>
            <w:tcBorders/>
            <w:shd w:fill="FFFFFF" w:val="clear"/>
            <w:vAlign w:val="center"/>
          </w:tcPr>
          <w:p>
            <w:pPr>
              <w:pStyle w:val="TableContents"/>
              <w:spacing w:before="0" w:after="283"/>
              <w:rPr/>
            </w:pPr>
            <w:r>
              <w:rPr/>
              <w:t> </w:t>
            </w:r>
          </w:p>
        </w:tc>
        <w:tc>
          <w:tcPr>
            <w:tcW w:w="1188" w:type="dxa"/>
            <w:tcBorders/>
            <w:shd w:fill="FFFFFF" w:val="clear"/>
            <w:vAlign w:val="center"/>
          </w:tcPr>
          <w:p>
            <w:pPr>
              <w:pStyle w:val="TableContents"/>
              <w:spacing w:before="0" w:after="283"/>
              <w:rPr/>
            </w:pPr>
            <w:r>
              <w:rPr/>
              <w:t> </w:t>
            </w:r>
          </w:p>
        </w:tc>
        <w:tc>
          <w:tcPr>
            <w:tcW w:w="208"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Benefit payments reflecting expected future service, as appropriate, are expected to be paid as follows:</w:t>
      </w:r>
    </w:p>
    <w:tbl>
      <w:tblPr>
        <w:tblW w:w="5000" w:type="pct"/>
        <w:jc w:val="left"/>
        <w:tblInd w:w="0" w:type="dxa"/>
        <w:tblCellMar>
          <w:top w:w="0" w:type="dxa"/>
          <w:left w:w="0" w:type="dxa"/>
          <w:bottom w:w="0" w:type="dxa"/>
          <w:right w:w="0" w:type="dxa"/>
        </w:tblCellMar>
      </w:tblPr>
      <w:tblGrid>
        <w:gridCol w:w="638"/>
        <w:gridCol w:w="5894"/>
        <w:gridCol w:w="244"/>
        <w:gridCol w:w="213"/>
        <w:gridCol w:w="1323"/>
        <w:gridCol w:w="131"/>
        <w:gridCol w:w="244"/>
        <w:gridCol w:w="255"/>
        <w:gridCol w:w="1110"/>
        <w:gridCol w:w="153"/>
      </w:tblGrid>
      <w:tr>
        <w:trPr/>
        <w:tc>
          <w:tcPr>
            <w:tcW w:w="638" w:type="dxa"/>
            <w:tcBorders/>
            <w:shd w:fill="FFFFFF" w:val="clear"/>
            <w:vAlign w:val="center"/>
          </w:tcPr>
          <w:p>
            <w:pPr>
              <w:pStyle w:val="TableContents"/>
              <w:spacing w:before="0" w:after="283"/>
              <w:rPr/>
            </w:pPr>
            <w:r>
              <w:rPr/>
              <w:t> </w:t>
            </w:r>
          </w:p>
        </w:tc>
        <w:tc>
          <w:tcPr>
            <w:tcW w:w="5894"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1667" w:type="dxa"/>
            <w:gridSpan w:val="3"/>
            <w:tcBorders/>
            <w:shd w:fill="FFFFFF" w:val="clear"/>
            <w:vAlign w:val="bottom"/>
          </w:tcPr>
          <w:p>
            <w:pPr>
              <w:pStyle w:val="TableContents"/>
              <w:spacing w:before="0" w:after="0"/>
              <w:jc w:val="center"/>
              <w:rPr>
                <w:rFonts w:ascii="Arial" w:hAnsi="Arial"/>
                <w:b/>
              </w:rPr>
            </w:pPr>
            <w:r>
              <w:rPr>
                <w:rFonts w:ascii="Arial" w:hAnsi="Arial"/>
                <w:b/>
              </w:rPr>
              <w:t>Without Impact</w:t>
              <w:br/>
              <w:t>of</w:t>
              <w:br/>
              <w:t>Medicare Subsidy</w:t>
            </w:r>
          </w:p>
          <w:p>
            <w:pPr>
              <w:pStyle w:val="HorizontalLine"/>
              <w:pBdr>
                <w:bottom w:val="single" w:sz="6" w:space="0" w:color="000000"/>
              </w:pBdr>
              <w:spacing w:before="0" w:after="283"/>
              <w:rPr/>
            </w:pPr>
            <w:r>
              <w:rPr/>
            </w:r>
          </w:p>
        </w:tc>
        <w:tc>
          <w:tcPr>
            <w:tcW w:w="244" w:type="dxa"/>
            <w:tcBorders/>
            <w:shd w:fill="FFFFFF" w:val="clear"/>
            <w:vAlign w:val="center"/>
          </w:tcPr>
          <w:p>
            <w:pPr>
              <w:pStyle w:val="TableContents"/>
              <w:spacing w:before="0" w:after="283"/>
              <w:rPr/>
            </w:pPr>
            <w:r>
              <w:rPr/>
              <w:t> </w:t>
            </w:r>
          </w:p>
        </w:tc>
        <w:tc>
          <w:tcPr>
            <w:tcW w:w="1518" w:type="dxa"/>
            <w:gridSpan w:val="3"/>
            <w:tcBorders/>
            <w:shd w:fill="FFFFFF" w:val="clear"/>
            <w:vAlign w:val="bottom"/>
          </w:tcPr>
          <w:p>
            <w:pPr>
              <w:pStyle w:val="TableContents"/>
              <w:spacing w:before="0" w:after="0"/>
              <w:jc w:val="center"/>
              <w:rPr>
                <w:rFonts w:ascii="Arial" w:hAnsi="Arial"/>
                <w:b/>
              </w:rPr>
            </w:pPr>
            <w:r>
              <w:rPr>
                <w:rFonts w:ascii="Arial" w:hAnsi="Arial"/>
                <w:b/>
              </w:rPr>
              <w:t>Net of</w:t>
              <w:br/>
              <w:t>Medicare Subsidy</w:t>
            </w:r>
          </w:p>
          <w:p>
            <w:pPr>
              <w:pStyle w:val="HorizontalLine"/>
              <w:pBdr>
                <w:bottom w:val="single" w:sz="6" w:space="0" w:color="000000"/>
              </w:pBdr>
              <w:spacing w:before="0" w:after="283"/>
              <w:rPr/>
            </w:pPr>
            <w:r>
              <w:rPr/>
            </w:r>
          </w:p>
        </w:tc>
      </w:tr>
      <w:tr>
        <w:trPr/>
        <w:tc>
          <w:tcPr>
            <w:tcW w:w="638" w:type="dxa"/>
            <w:tcBorders/>
            <w:shd w:fill="E5FFFF" w:val="clear"/>
            <w:vAlign w:val="bottom"/>
          </w:tcPr>
          <w:p>
            <w:pPr>
              <w:pStyle w:val="TableContents"/>
              <w:spacing w:before="0" w:after="283"/>
              <w:jc w:val="left"/>
              <w:rPr/>
            </w:pPr>
            <w:r>
              <w:rPr/>
              <w:t>      </w:t>
            </w:r>
          </w:p>
        </w:tc>
        <w:tc>
          <w:tcPr>
            <w:tcW w:w="5894" w:type="dxa"/>
            <w:tcBorders/>
            <w:shd w:fill="E5FFFF" w:val="clear"/>
            <w:vAlign w:val="bottom"/>
          </w:tcPr>
          <w:p>
            <w:pPr>
              <w:pStyle w:val="TableContents"/>
              <w:spacing w:before="0" w:after="283"/>
              <w:jc w:val="left"/>
              <w:rPr>
                <w:rFonts w:ascii="Arial" w:hAnsi="Arial"/>
              </w:rPr>
            </w:pPr>
            <w:r>
              <w:rPr>
                <w:rFonts w:ascii="Arial" w:hAnsi="Arial"/>
              </w:rPr>
              <w:t>2007</w:t>
            </w:r>
          </w:p>
        </w:tc>
        <w:tc>
          <w:tcPr>
            <w:tcW w:w="244" w:type="dxa"/>
            <w:tcBorders/>
            <w:shd w:fill="E5FFFF" w:val="clear"/>
            <w:vAlign w:val="bottom"/>
          </w:tcPr>
          <w:p>
            <w:pPr>
              <w:pStyle w:val="TableContents"/>
              <w:spacing w:before="0" w:after="283"/>
              <w:jc w:val="right"/>
              <w:rPr/>
            </w:pPr>
            <w:r>
              <w:rPr/>
              <w:t>    </w:t>
            </w:r>
          </w:p>
        </w:tc>
        <w:tc>
          <w:tcPr>
            <w:tcW w:w="213" w:type="dxa"/>
            <w:tcBorders/>
            <w:shd w:fill="E5FFFF" w:val="clear"/>
            <w:vAlign w:val="bottom"/>
          </w:tcPr>
          <w:p>
            <w:pPr>
              <w:pStyle w:val="TableContents"/>
              <w:spacing w:before="0" w:after="283"/>
              <w:jc w:val="right"/>
              <w:rPr>
                <w:rFonts w:ascii="Arial" w:hAnsi="Arial"/>
              </w:rPr>
            </w:pPr>
            <w:r>
              <w:rPr>
                <w:rFonts w:ascii="Arial" w:hAnsi="Arial"/>
              </w:rPr>
              <w:t>$</w:t>
            </w:r>
          </w:p>
        </w:tc>
        <w:tc>
          <w:tcPr>
            <w:tcW w:w="1323" w:type="dxa"/>
            <w:tcBorders/>
            <w:shd w:fill="E5FFFF" w:val="clear"/>
            <w:vAlign w:val="bottom"/>
          </w:tcPr>
          <w:p>
            <w:pPr>
              <w:pStyle w:val="TableContents"/>
              <w:spacing w:before="0" w:after="283"/>
              <w:jc w:val="right"/>
              <w:rPr>
                <w:rFonts w:ascii="Arial" w:hAnsi="Arial"/>
              </w:rPr>
            </w:pPr>
            <w:r>
              <w:rPr>
                <w:rFonts w:ascii="Arial" w:hAnsi="Arial"/>
              </w:rPr>
              <w:t>211</w:t>
            </w:r>
          </w:p>
        </w:tc>
        <w:tc>
          <w:tcPr>
            <w:tcW w:w="131"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255" w:type="dxa"/>
            <w:tcBorders/>
            <w:shd w:fill="E5FFFF" w:val="clear"/>
            <w:vAlign w:val="bottom"/>
          </w:tcPr>
          <w:p>
            <w:pPr>
              <w:pStyle w:val="TableContents"/>
              <w:spacing w:before="0" w:after="283"/>
              <w:jc w:val="right"/>
              <w:rPr>
                <w:rFonts w:ascii="Arial" w:hAnsi="Arial"/>
              </w:rPr>
            </w:pPr>
            <w:r>
              <w:rPr>
                <w:rFonts w:ascii="Arial" w:hAnsi="Arial"/>
              </w:rPr>
              <w:t>$</w:t>
            </w:r>
          </w:p>
        </w:tc>
        <w:tc>
          <w:tcPr>
            <w:tcW w:w="1110" w:type="dxa"/>
            <w:tcBorders/>
            <w:shd w:fill="E5FFFF" w:val="clear"/>
            <w:vAlign w:val="bottom"/>
          </w:tcPr>
          <w:p>
            <w:pPr>
              <w:pStyle w:val="TableContents"/>
              <w:spacing w:before="0" w:after="283"/>
              <w:jc w:val="right"/>
              <w:rPr>
                <w:rFonts w:ascii="Arial" w:hAnsi="Arial"/>
              </w:rPr>
            </w:pPr>
            <w:r>
              <w:rPr>
                <w:rFonts w:ascii="Arial" w:hAnsi="Arial"/>
              </w:rPr>
              <w:t>189</w:t>
            </w:r>
          </w:p>
        </w:tc>
        <w:tc>
          <w:tcPr>
            <w:tcW w:w="153" w:type="dxa"/>
            <w:tcBorders/>
            <w:shd w:fill="E5FFFF" w:val="clear"/>
            <w:vAlign w:val="center"/>
          </w:tcPr>
          <w:p>
            <w:pPr>
              <w:pStyle w:val="TableContents"/>
              <w:spacing w:before="0" w:after="283"/>
              <w:rPr/>
            </w:pPr>
            <w:r>
              <w:rPr/>
              <w:t> </w:t>
            </w:r>
          </w:p>
        </w:tc>
      </w:tr>
      <w:tr>
        <w:trPr/>
        <w:tc>
          <w:tcPr>
            <w:tcW w:w="638" w:type="dxa"/>
            <w:tcBorders/>
            <w:shd w:fill="FFFFFF" w:val="clear"/>
            <w:vAlign w:val="bottom"/>
          </w:tcPr>
          <w:p>
            <w:pPr>
              <w:pStyle w:val="TableContents"/>
              <w:spacing w:before="0" w:after="283"/>
              <w:jc w:val="left"/>
              <w:rPr/>
            </w:pPr>
            <w:r>
              <w:rPr/>
              <w:t>      </w:t>
            </w:r>
          </w:p>
        </w:tc>
        <w:tc>
          <w:tcPr>
            <w:tcW w:w="5894" w:type="dxa"/>
            <w:tcBorders/>
            <w:shd w:fill="FFFFFF" w:val="clear"/>
            <w:vAlign w:val="bottom"/>
          </w:tcPr>
          <w:p>
            <w:pPr>
              <w:pStyle w:val="TableContents"/>
              <w:spacing w:before="0" w:after="283"/>
              <w:jc w:val="left"/>
              <w:rPr>
                <w:rFonts w:ascii="Arial" w:hAnsi="Arial"/>
              </w:rPr>
            </w:pPr>
            <w:r>
              <w:rPr>
                <w:rFonts w:ascii="Arial" w:hAnsi="Arial"/>
              </w:rPr>
              <w:t>2008</w:t>
            </w:r>
          </w:p>
        </w:tc>
        <w:tc>
          <w:tcPr>
            <w:tcW w:w="244" w:type="dxa"/>
            <w:tcBorders/>
            <w:shd w:fill="FFFFFF" w:val="clear"/>
            <w:vAlign w:val="bottom"/>
          </w:tcPr>
          <w:p>
            <w:pPr>
              <w:pStyle w:val="TableContents"/>
              <w:spacing w:before="0" w:after="283"/>
              <w:jc w:val="right"/>
              <w:rPr/>
            </w:pPr>
            <w:r>
              <w:rPr/>
              <w:t>    </w:t>
            </w:r>
          </w:p>
        </w:tc>
        <w:tc>
          <w:tcPr>
            <w:tcW w:w="213" w:type="dxa"/>
            <w:tcBorders/>
            <w:shd w:fill="FFFFFF" w:val="clear"/>
            <w:vAlign w:val="center"/>
          </w:tcPr>
          <w:p>
            <w:pPr>
              <w:pStyle w:val="TableContents"/>
              <w:spacing w:before="0" w:after="283"/>
              <w:rPr/>
            </w:pPr>
            <w:r>
              <w:rPr/>
              <w:t> </w:t>
            </w:r>
          </w:p>
        </w:tc>
        <w:tc>
          <w:tcPr>
            <w:tcW w:w="1323" w:type="dxa"/>
            <w:tcBorders/>
            <w:shd w:fill="FFFFFF" w:val="clear"/>
            <w:vAlign w:val="bottom"/>
          </w:tcPr>
          <w:p>
            <w:pPr>
              <w:pStyle w:val="TableContents"/>
              <w:spacing w:before="0" w:after="283"/>
              <w:jc w:val="right"/>
              <w:rPr>
                <w:rFonts w:ascii="Arial" w:hAnsi="Arial"/>
              </w:rPr>
            </w:pPr>
            <w:r>
              <w:rPr>
                <w:rFonts w:ascii="Arial" w:hAnsi="Arial"/>
              </w:rPr>
              <w:t>212</w:t>
            </w:r>
          </w:p>
        </w:tc>
        <w:tc>
          <w:tcPr>
            <w:tcW w:w="131"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255"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TableContents"/>
              <w:spacing w:before="0" w:after="283"/>
              <w:jc w:val="right"/>
              <w:rPr>
                <w:rFonts w:ascii="Arial" w:hAnsi="Arial"/>
              </w:rPr>
            </w:pPr>
            <w:r>
              <w:rPr>
                <w:rFonts w:ascii="Arial" w:hAnsi="Arial"/>
              </w:rPr>
              <w:t>192</w:t>
            </w:r>
          </w:p>
        </w:tc>
        <w:tc>
          <w:tcPr>
            <w:tcW w:w="153" w:type="dxa"/>
            <w:tcBorders/>
            <w:shd w:fill="FFFFFF" w:val="clear"/>
            <w:vAlign w:val="center"/>
          </w:tcPr>
          <w:p>
            <w:pPr>
              <w:pStyle w:val="TableContents"/>
              <w:spacing w:before="0" w:after="283"/>
              <w:rPr/>
            </w:pPr>
            <w:r>
              <w:rPr/>
              <w:t> </w:t>
            </w:r>
          </w:p>
        </w:tc>
      </w:tr>
      <w:tr>
        <w:trPr/>
        <w:tc>
          <w:tcPr>
            <w:tcW w:w="638" w:type="dxa"/>
            <w:tcBorders/>
            <w:shd w:fill="E5FFFF" w:val="clear"/>
            <w:vAlign w:val="bottom"/>
          </w:tcPr>
          <w:p>
            <w:pPr>
              <w:pStyle w:val="TableContents"/>
              <w:spacing w:before="0" w:after="283"/>
              <w:jc w:val="left"/>
              <w:rPr/>
            </w:pPr>
            <w:r>
              <w:rPr/>
              <w:t>      </w:t>
            </w:r>
          </w:p>
        </w:tc>
        <w:tc>
          <w:tcPr>
            <w:tcW w:w="5894" w:type="dxa"/>
            <w:tcBorders/>
            <w:shd w:fill="E5FFFF" w:val="clear"/>
            <w:vAlign w:val="bottom"/>
          </w:tcPr>
          <w:p>
            <w:pPr>
              <w:pStyle w:val="TableContents"/>
              <w:spacing w:before="0" w:after="283"/>
              <w:jc w:val="left"/>
              <w:rPr>
                <w:rFonts w:ascii="Arial" w:hAnsi="Arial"/>
              </w:rPr>
            </w:pPr>
            <w:r>
              <w:rPr>
                <w:rFonts w:ascii="Arial" w:hAnsi="Arial"/>
              </w:rPr>
              <w:t>2009</w:t>
            </w:r>
          </w:p>
        </w:tc>
        <w:tc>
          <w:tcPr>
            <w:tcW w:w="244" w:type="dxa"/>
            <w:tcBorders/>
            <w:shd w:fill="E5FFFF" w:val="clear"/>
            <w:vAlign w:val="bottom"/>
          </w:tcPr>
          <w:p>
            <w:pPr>
              <w:pStyle w:val="TableContents"/>
              <w:spacing w:before="0" w:after="283"/>
              <w:jc w:val="right"/>
              <w:rPr/>
            </w:pPr>
            <w:r>
              <w:rPr/>
              <w:t>    </w:t>
            </w:r>
          </w:p>
        </w:tc>
        <w:tc>
          <w:tcPr>
            <w:tcW w:w="213" w:type="dxa"/>
            <w:tcBorders/>
            <w:shd w:fill="E5FFFF" w:val="clear"/>
            <w:vAlign w:val="center"/>
          </w:tcPr>
          <w:p>
            <w:pPr>
              <w:pStyle w:val="TableContents"/>
              <w:spacing w:before="0" w:after="283"/>
              <w:rPr/>
            </w:pPr>
            <w:r>
              <w:rPr/>
              <w:t> </w:t>
            </w:r>
          </w:p>
        </w:tc>
        <w:tc>
          <w:tcPr>
            <w:tcW w:w="1323" w:type="dxa"/>
            <w:tcBorders/>
            <w:shd w:fill="E5FFFF" w:val="clear"/>
            <w:vAlign w:val="bottom"/>
          </w:tcPr>
          <w:p>
            <w:pPr>
              <w:pStyle w:val="TableContents"/>
              <w:spacing w:before="0" w:after="283"/>
              <w:jc w:val="right"/>
              <w:rPr>
                <w:rFonts w:ascii="Arial" w:hAnsi="Arial"/>
              </w:rPr>
            </w:pPr>
            <w:r>
              <w:rPr>
                <w:rFonts w:ascii="Arial" w:hAnsi="Arial"/>
              </w:rPr>
              <w:t>214</w:t>
            </w:r>
          </w:p>
        </w:tc>
        <w:tc>
          <w:tcPr>
            <w:tcW w:w="131"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255" w:type="dxa"/>
            <w:tcBorders/>
            <w:shd w:fill="E5FFFF" w:val="clear"/>
            <w:vAlign w:val="center"/>
          </w:tcPr>
          <w:p>
            <w:pPr>
              <w:pStyle w:val="TableContents"/>
              <w:spacing w:before="0" w:after="283"/>
              <w:rPr/>
            </w:pPr>
            <w:r>
              <w:rPr/>
              <w:t> </w:t>
            </w:r>
          </w:p>
        </w:tc>
        <w:tc>
          <w:tcPr>
            <w:tcW w:w="1110" w:type="dxa"/>
            <w:tcBorders/>
            <w:shd w:fill="E5FFFF" w:val="clear"/>
            <w:vAlign w:val="bottom"/>
          </w:tcPr>
          <w:p>
            <w:pPr>
              <w:pStyle w:val="TableContents"/>
              <w:spacing w:before="0" w:after="283"/>
              <w:jc w:val="right"/>
              <w:rPr>
                <w:rFonts w:ascii="Arial" w:hAnsi="Arial"/>
              </w:rPr>
            </w:pPr>
            <w:r>
              <w:rPr>
                <w:rFonts w:ascii="Arial" w:hAnsi="Arial"/>
              </w:rPr>
              <w:t>193</w:t>
            </w:r>
          </w:p>
        </w:tc>
        <w:tc>
          <w:tcPr>
            <w:tcW w:w="153" w:type="dxa"/>
            <w:tcBorders/>
            <w:shd w:fill="E5FFFF" w:val="clear"/>
            <w:vAlign w:val="center"/>
          </w:tcPr>
          <w:p>
            <w:pPr>
              <w:pStyle w:val="TableContents"/>
              <w:spacing w:before="0" w:after="283"/>
              <w:rPr/>
            </w:pPr>
            <w:r>
              <w:rPr/>
              <w:t> </w:t>
            </w:r>
          </w:p>
        </w:tc>
      </w:tr>
      <w:tr>
        <w:trPr/>
        <w:tc>
          <w:tcPr>
            <w:tcW w:w="638" w:type="dxa"/>
            <w:tcBorders/>
            <w:shd w:fill="FFFFFF" w:val="clear"/>
            <w:vAlign w:val="bottom"/>
          </w:tcPr>
          <w:p>
            <w:pPr>
              <w:pStyle w:val="TableContents"/>
              <w:spacing w:before="0" w:after="283"/>
              <w:jc w:val="left"/>
              <w:rPr/>
            </w:pPr>
            <w:r>
              <w:rPr/>
              <w:t>      </w:t>
            </w:r>
          </w:p>
        </w:tc>
        <w:tc>
          <w:tcPr>
            <w:tcW w:w="5894" w:type="dxa"/>
            <w:tcBorders/>
            <w:shd w:fill="FFFFFF" w:val="clear"/>
            <w:vAlign w:val="bottom"/>
          </w:tcPr>
          <w:p>
            <w:pPr>
              <w:pStyle w:val="TableContents"/>
              <w:spacing w:before="0" w:after="283"/>
              <w:jc w:val="left"/>
              <w:rPr>
                <w:rFonts w:ascii="Arial" w:hAnsi="Arial"/>
              </w:rPr>
            </w:pPr>
            <w:r>
              <w:rPr>
                <w:rFonts w:ascii="Arial" w:hAnsi="Arial"/>
              </w:rPr>
              <w:t>2010</w:t>
            </w:r>
          </w:p>
        </w:tc>
        <w:tc>
          <w:tcPr>
            <w:tcW w:w="244" w:type="dxa"/>
            <w:tcBorders/>
            <w:shd w:fill="FFFFFF" w:val="clear"/>
            <w:vAlign w:val="bottom"/>
          </w:tcPr>
          <w:p>
            <w:pPr>
              <w:pStyle w:val="TableContents"/>
              <w:spacing w:before="0" w:after="283"/>
              <w:jc w:val="right"/>
              <w:rPr/>
            </w:pPr>
            <w:r>
              <w:rPr/>
              <w:t>    </w:t>
            </w:r>
          </w:p>
        </w:tc>
        <w:tc>
          <w:tcPr>
            <w:tcW w:w="213" w:type="dxa"/>
            <w:tcBorders/>
            <w:shd w:fill="FFFFFF" w:val="clear"/>
            <w:vAlign w:val="center"/>
          </w:tcPr>
          <w:p>
            <w:pPr>
              <w:pStyle w:val="TableContents"/>
              <w:spacing w:before="0" w:after="283"/>
              <w:rPr/>
            </w:pPr>
            <w:r>
              <w:rPr/>
              <w:t> </w:t>
            </w:r>
          </w:p>
        </w:tc>
        <w:tc>
          <w:tcPr>
            <w:tcW w:w="1323" w:type="dxa"/>
            <w:tcBorders/>
            <w:shd w:fill="FFFFFF" w:val="clear"/>
            <w:vAlign w:val="bottom"/>
          </w:tcPr>
          <w:p>
            <w:pPr>
              <w:pStyle w:val="TableContents"/>
              <w:spacing w:before="0" w:after="283"/>
              <w:jc w:val="right"/>
              <w:rPr>
                <w:rFonts w:ascii="Arial" w:hAnsi="Arial"/>
              </w:rPr>
            </w:pPr>
            <w:r>
              <w:rPr>
                <w:rFonts w:ascii="Arial" w:hAnsi="Arial"/>
              </w:rPr>
              <w:t>214</w:t>
            </w:r>
          </w:p>
        </w:tc>
        <w:tc>
          <w:tcPr>
            <w:tcW w:w="131"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255"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TableContents"/>
              <w:spacing w:before="0" w:after="283"/>
              <w:jc w:val="right"/>
              <w:rPr>
                <w:rFonts w:ascii="Arial" w:hAnsi="Arial"/>
              </w:rPr>
            </w:pPr>
            <w:r>
              <w:rPr>
                <w:rFonts w:ascii="Arial" w:hAnsi="Arial"/>
              </w:rPr>
              <w:t>193</w:t>
            </w:r>
          </w:p>
        </w:tc>
        <w:tc>
          <w:tcPr>
            <w:tcW w:w="153" w:type="dxa"/>
            <w:tcBorders/>
            <w:shd w:fill="FFFFFF" w:val="clear"/>
            <w:vAlign w:val="center"/>
          </w:tcPr>
          <w:p>
            <w:pPr>
              <w:pStyle w:val="TableContents"/>
              <w:spacing w:before="0" w:after="283"/>
              <w:rPr/>
            </w:pPr>
            <w:r>
              <w:rPr/>
              <w:t> </w:t>
            </w:r>
          </w:p>
        </w:tc>
      </w:tr>
      <w:tr>
        <w:trPr/>
        <w:tc>
          <w:tcPr>
            <w:tcW w:w="638" w:type="dxa"/>
            <w:tcBorders/>
            <w:shd w:fill="E5FFFF" w:val="clear"/>
            <w:vAlign w:val="bottom"/>
          </w:tcPr>
          <w:p>
            <w:pPr>
              <w:pStyle w:val="TableContents"/>
              <w:spacing w:before="0" w:after="283"/>
              <w:jc w:val="left"/>
              <w:rPr/>
            </w:pPr>
            <w:r>
              <w:rPr/>
              <w:t>      </w:t>
            </w:r>
          </w:p>
        </w:tc>
        <w:tc>
          <w:tcPr>
            <w:tcW w:w="5894" w:type="dxa"/>
            <w:tcBorders/>
            <w:shd w:fill="E5FFFF" w:val="clear"/>
            <w:vAlign w:val="bottom"/>
          </w:tcPr>
          <w:p>
            <w:pPr>
              <w:pStyle w:val="TableContents"/>
              <w:spacing w:before="0" w:after="283"/>
              <w:jc w:val="left"/>
              <w:rPr>
                <w:rFonts w:ascii="Arial" w:hAnsi="Arial"/>
              </w:rPr>
            </w:pPr>
            <w:r>
              <w:rPr>
                <w:rFonts w:ascii="Arial" w:hAnsi="Arial"/>
              </w:rPr>
              <w:t>2011</w:t>
            </w:r>
          </w:p>
        </w:tc>
        <w:tc>
          <w:tcPr>
            <w:tcW w:w="244" w:type="dxa"/>
            <w:tcBorders/>
            <w:shd w:fill="E5FFFF" w:val="clear"/>
            <w:vAlign w:val="bottom"/>
          </w:tcPr>
          <w:p>
            <w:pPr>
              <w:pStyle w:val="TableContents"/>
              <w:spacing w:before="0" w:after="283"/>
              <w:jc w:val="right"/>
              <w:rPr/>
            </w:pPr>
            <w:r>
              <w:rPr/>
              <w:t>    </w:t>
            </w:r>
          </w:p>
        </w:tc>
        <w:tc>
          <w:tcPr>
            <w:tcW w:w="213" w:type="dxa"/>
            <w:tcBorders/>
            <w:shd w:fill="E5FFFF" w:val="clear"/>
            <w:vAlign w:val="center"/>
          </w:tcPr>
          <w:p>
            <w:pPr>
              <w:pStyle w:val="TableContents"/>
              <w:spacing w:before="0" w:after="283"/>
              <w:rPr/>
            </w:pPr>
            <w:r>
              <w:rPr/>
              <w:t> </w:t>
            </w:r>
          </w:p>
        </w:tc>
        <w:tc>
          <w:tcPr>
            <w:tcW w:w="1323" w:type="dxa"/>
            <w:tcBorders/>
            <w:shd w:fill="E5FFFF" w:val="clear"/>
            <w:vAlign w:val="bottom"/>
          </w:tcPr>
          <w:p>
            <w:pPr>
              <w:pStyle w:val="TableContents"/>
              <w:spacing w:before="0" w:after="283"/>
              <w:jc w:val="right"/>
              <w:rPr>
                <w:rFonts w:ascii="Arial" w:hAnsi="Arial"/>
              </w:rPr>
            </w:pPr>
            <w:r>
              <w:rPr>
                <w:rFonts w:ascii="Arial" w:hAnsi="Arial"/>
              </w:rPr>
              <w:t>215</w:t>
            </w:r>
          </w:p>
        </w:tc>
        <w:tc>
          <w:tcPr>
            <w:tcW w:w="131" w:type="dxa"/>
            <w:tcBorders/>
            <w:shd w:fill="E5FFFF" w:val="clear"/>
            <w:vAlign w:val="center"/>
          </w:tcPr>
          <w:p>
            <w:pPr>
              <w:pStyle w:val="TableContents"/>
              <w:spacing w:before="0" w:after="283"/>
              <w:rPr/>
            </w:pPr>
            <w:r>
              <w:rPr/>
              <w:t> </w:t>
            </w:r>
          </w:p>
        </w:tc>
        <w:tc>
          <w:tcPr>
            <w:tcW w:w="244" w:type="dxa"/>
            <w:tcBorders/>
            <w:shd w:fill="E5FFFF" w:val="clear"/>
            <w:vAlign w:val="bottom"/>
          </w:tcPr>
          <w:p>
            <w:pPr>
              <w:pStyle w:val="TableContents"/>
              <w:spacing w:before="0" w:after="283"/>
              <w:jc w:val="right"/>
              <w:rPr/>
            </w:pPr>
            <w:r>
              <w:rPr/>
              <w:t>    </w:t>
            </w:r>
          </w:p>
        </w:tc>
        <w:tc>
          <w:tcPr>
            <w:tcW w:w="255" w:type="dxa"/>
            <w:tcBorders/>
            <w:shd w:fill="E5FFFF" w:val="clear"/>
            <w:vAlign w:val="center"/>
          </w:tcPr>
          <w:p>
            <w:pPr>
              <w:pStyle w:val="TableContents"/>
              <w:spacing w:before="0" w:after="283"/>
              <w:rPr/>
            </w:pPr>
            <w:r>
              <w:rPr/>
              <w:t> </w:t>
            </w:r>
          </w:p>
        </w:tc>
        <w:tc>
          <w:tcPr>
            <w:tcW w:w="1110" w:type="dxa"/>
            <w:tcBorders/>
            <w:shd w:fill="E5FFFF" w:val="clear"/>
            <w:vAlign w:val="bottom"/>
          </w:tcPr>
          <w:p>
            <w:pPr>
              <w:pStyle w:val="TableContents"/>
              <w:spacing w:before="0" w:after="283"/>
              <w:jc w:val="right"/>
              <w:rPr>
                <w:rFonts w:ascii="Arial" w:hAnsi="Arial"/>
              </w:rPr>
            </w:pPr>
            <w:r>
              <w:rPr>
                <w:rFonts w:ascii="Arial" w:hAnsi="Arial"/>
              </w:rPr>
              <w:t>195</w:t>
            </w:r>
          </w:p>
        </w:tc>
        <w:tc>
          <w:tcPr>
            <w:tcW w:w="153" w:type="dxa"/>
            <w:tcBorders/>
            <w:shd w:fill="E5FFFF" w:val="clear"/>
            <w:vAlign w:val="center"/>
          </w:tcPr>
          <w:p>
            <w:pPr>
              <w:pStyle w:val="TableContents"/>
              <w:spacing w:before="0" w:after="283"/>
              <w:rPr/>
            </w:pPr>
            <w:r>
              <w:rPr/>
              <w:t> </w:t>
            </w:r>
          </w:p>
        </w:tc>
      </w:tr>
      <w:tr>
        <w:trPr/>
        <w:tc>
          <w:tcPr>
            <w:tcW w:w="638" w:type="dxa"/>
            <w:tcBorders/>
            <w:shd w:fill="FFFFFF" w:val="clear"/>
            <w:vAlign w:val="bottom"/>
          </w:tcPr>
          <w:p>
            <w:pPr>
              <w:pStyle w:val="TableContents"/>
              <w:spacing w:before="0" w:after="283"/>
              <w:jc w:val="left"/>
              <w:rPr/>
            </w:pPr>
            <w:r>
              <w:rPr/>
              <w:t>      </w:t>
            </w:r>
          </w:p>
        </w:tc>
        <w:tc>
          <w:tcPr>
            <w:tcW w:w="5894" w:type="dxa"/>
            <w:tcBorders/>
            <w:shd w:fill="FFFFFF" w:val="clear"/>
            <w:vAlign w:val="bottom"/>
          </w:tcPr>
          <w:p>
            <w:pPr>
              <w:pStyle w:val="TableContents"/>
              <w:spacing w:before="0" w:after="283"/>
              <w:jc w:val="left"/>
              <w:rPr>
                <w:rFonts w:ascii="Arial" w:hAnsi="Arial"/>
              </w:rPr>
            </w:pPr>
            <w:r>
              <w:rPr>
                <w:rFonts w:ascii="Arial" w:hAnsi="Arial"/>
              </w:rPr>
              <w:t>2012-2016</w:t>
            </w:r>
          </w:p>
        </w:tc>
        <w:tc>
          <w:tcPr>
            <w:tcW w:w="244" w:type="dxa"/>
            <w:tcBorders/>
            <w:shd w:fill="FFFFFF" w:val="clear"/>
            <w:vAlign w:val="bottom"/>
          </w:tcPr>
          <w:p>
            <w:pPr>
              <w:pStyle w:val="TableContents"/>
              <w:spacing w:before="0" w:after="283"/>
              <w:jc w:val="right"/>
              <w:rPr/>
            </w:pPr>
            <w:r>
              <w:rPr/>
              <w:t>    </w:t>
            </w:r>
          </w:p>
        </w:tc>
        <w:tc>
          <w:tcPr>
            <w:tcW w:w="213" w:type="dxa"/>
            <w:tcBorders/>
            <w:shd w:fill="FFFFFF" w:val="clear"/>
            <w:vAlign w:val="center"/>
          </w:tcPr>
          <w:p>
            <w:pPr>
              <w:pStyle w:val="TableContents"/>
              <w:spacing w:before="0" w:after="283"/>
              <w:rPr/>
            </w:pPr>
            <w:r>
              <w:rPr/>
              <w:t> </w:t>
            </w:r>
          </w:p>
        </w:tc>
        <w:tc>
          <w:tcPr>
            <w:tcW w:w="1323" w:type="dxa"/>
            <w:tcBorders/>
            <w:shd w:fill="FFFFFF" w:val="clear"/>
            <w:vAlign w:val="bottom"/>
          </w:tcPr>
          <w:p>
            <w:pPr>
              <w:pStyle w:val="TableContents"/>
              <w:spacing w:before="0" w:after="283"/>
              <w:jc w:val="right"/>
              <w:rPr>
                <w:rFonts w:ascii="Arial" w:hAnsi="Arial"/>
              </w:rPr>
            </w:pPr>
            <w:r>
              <w:rPr>
                <w:rFonts w:ascii="Arial" w:hAnsi="Arial"/>
              </w:rPr>
              <w:t>1,016</w:t>
            </w:r>
          </w:p>
        </w:tc>
        <w:tc>
          <w:tcPr>
            <w:tcW w:w="131" w:type="dxa"/>
            <w:tcBorders/>
            <w:shd w:fill="FFFFFF" w:val="clear"/>
            <w:vAlign w:val="center"/>
          </w:tcPr>
          <w:p>
            <w:pPr>
              <w:pStyle w:val="TableContents"/>
              <w:spacing w:before="0" w:after="283"/>
              <w:rPr/>
            </w:pPr>
            <w:r>
              <w:rPr/>
              <w:t> </w:t>
            </w:r>
          </w:p>
        </w:tc>
        <w:tc>
          <w:tcPr>
            <w:tcW w:w="244" w:type="dxa"/>
            <w:tcBorders/>
            <w:shd w:fill="FFFFFF" w:val="clear"/>
            <w:vAlign w:val="bottom"/>
          </w:tcPr>
          <w:p>
            <w:pPr>
              <w:pStyle w:val="TableContents"/>
              <w:spacing w:before="0" w:after="283"/>
              <w:jc w:val="right"/>
              <w:rPr/>
            </w:pPr>
            <w:r>
              <w:rPr/>
              <w:t>    </w:t>
            </w:r>
          </w:p>
        </w:tc>
        <w:tc>
          <w:tcPr>
            <w:tcW w:w="255" w:type="dxa"/>
            <w:tcBorders/>
            <w:shd w:fill="FFFFFF" w:val="clear"/>
            <w:vAlign w:val="center"/>
          </w:tcPr>
          <w:p>
            <w:pPr>
              <w:pStyle w:val="TableContents"/>
              <w:spacing w:before="0" w:after="283"/>
              <w:rPr/>
            </w:pPr>
            <w:r>
              <w:rPr/>
              <w:t> </w:t>
            </w:r>
          </w:p>
        </w:tc>
        <w:tc>
          <w:tcPr>
            <w:tcW w:w="1110" w:type="dxa"/>
            <w:tcBorders/>
            <w:shd w:fill="FFFFFF" w:val="clear"/>
            <w:vAlign w:val="bottom"/>
          </w:tcPr>
          <w:p>
            <w:pPr>
              <w:pStyle w:val="TableContents"/>
              <w:spacing w:before="0" w:after="283"/>
              <w:jc w:val="right"/>
              <w:rPr>
                <w:rFonts w:ascii="Arial" w:hAnsi="Arial"/>
              </w:rPr>
            </w:pPr>
            <w:r>
              <w:rPr>
                <w:rFonts w:ascii="Arial" w:hAnsi="Arial"/>
              </w:rPr>
              <w:t>930</w:t>
            </w:r>
          </w:p>
        </w:tc>
        <w:tc>
          <w:tcPr>
            <w:tcW w:w="153" w:type="dxa"/>
            <w:tcBorders/>
            <w:shd w:fill="FFFFFF" w:val="clear"/>
            <w:vAlign w:val="center"/>
          </w:tcPr>
          <w:p>
            <w:pPr>
              <w:pStyle w:val="TableContents"/>
              <w:spacing w:before="0" w:after="283"/>
              <w:rPr/>
            </w:pPr>
            <w:r>
              <w:rPr/>
              <w:t> </w:t>
            </w:r>
          </w:p>
        </w:tc>
      </w:tr>
      <w:tr>
        <w:trPr/>
        <w:tc>
          <w:tcPr>
            <w:tcW w:w="638" w:type="dxa"/>
            <w:tcBorders/>
            <w:shd w:fill="FFFFFF" w:val="clear"/>
            <w:vAlign w:val="bottom"/>
          </w:tcPr>
          <w:p>
            <w:pPr>
              <w:pStyle w:val="TableContents"/>
              <w:spacing w:before="0" w:after="283"/>
              <w:jc w:val="left"/>
              <w:rPr/>
            </w:pPr>
            <w:r>
              <w:rPr/>
              <w:t>      </w:t>
            </w:r>
          </w:p>
        </w:tc>
        <w:tc>
          <w:tcPr>
            <w:tcW w:w="5894" w:type="dxa"/>
            <w:tcBorders/>
            <w:shd w:fill="FFFFFF" w:val="clear"/>
            <w:vAlign w:val="bottom"/>
          </w:tcPr>
          <w:p>
            <w:pPr>
              <w:pStyle w:val="TableContents"/>
              <w:spacing w:before="0" w:after="283"/>
              <w:rPr>
                <w:sz w:val="4"/>
                <w:szCs w:val="4"/>
              </w:rPr>
            </w:pPr>
            <w:r>
              <w:rPr>
                <w:sz w:val="4"/>
                <w:szCs w:val="4"/>
              </w:rPr>
            </w:r>
          </w:p>
        </w:tc>
        <w:tc>
          <w:tcPr>
            <w:tcW w:w="244"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1323"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110"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b/>
        </w:rPr>
        <w:t>Employee Savings Plans—</w:t>
      </w:r>
      <w:r>
        <w:rPr>
          <w:rFonts w:ascii="Arial" w:hAnsi="Arial"/>
        </w:rPr>
        <w:t>We sponsor employee savings plans under which we match, in the form of our common stock, savings plan contributions for certain eligible U.S. employees. Shares issued under the stock match plans were 4.5, 4.1 and 4.3 million at a cost of $179, $153 and $151 million in 2006, 2005 and 2004, respectively.</w:t>
      </w:r>
    </w:p>
    <w:p>
      <w:pPr>
        <w:pStyle w:val="TextBody"/>
        <w:jc w:val="center"/>
        <w:rPr>
          <w:rFonts w:ascii="Arial" w:hAnsi="Arial"/>
        </w:rPr>
      </w:pPr>
      <w:r>
        <w:rPr>
          <w:rFonts w:ascii="Arial" w:hAnsi="Arial"/>
        </w:rPr>
        <w:t>91</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Note 23—Segment Financial Data</w:t>
      </w:r>
    </w:p>
    <w:p>
      <w:pPr>
        <w:pStyle w:val="TextBody"/>
        <w:jc w:val="left"/>
        <w:rPr/>
      </w:pPr>
      <w:r>
        <w:rPr/>
        <w:t>      </w:t>
      </w:r>
      <w:r>
        <w:rPr>
          <w:rFonts w:ascii="Arial" w:hAnsi="Arial"/>
        </w:rPr>
        <w:t>We globally manage our business operations through four reportable segments serving customers worldwide with aerospace products and services, control, sensing and security technologies for buildings, homes and industry, automotive products and chemicals. Segment information is consistent with how management reviews the businesses, makes investing and resource allocation decisions and assesses operating performance. Our four reportable segments are as follows:</w:t>
      </w:r>
    </w:p>
    <w:tbl>
      <w:tblPr>
        <w:tblW w:w="5000" w:type="pct"/>
        <w:jc w:val="left"/>
        <w:tblInd w:w="0" w:type="dxa"/>
        <w:tblCellMar>
          <w:top w:w="0" w:type="dxa"/>
          <w:left w:w="0" w:type="dxa"/>
          <w:bottom w:w="0" w:type="dxa"/>
          <w:right w:w="0" w:type="dxa"/>
        </w:tblCellMar>
      </w:tblPr>
      <w:tblGrid>
        <w:gridCol w:w="359"/>
        <w:gridCol w:w="116"/>
        <w:gridCol w:w="9730"/>
      </w:tblGrid>
      <w:tr>
        <w:trPr/>
        <w:tc>
          <w:tcPr>
            <w:tcW w:w="359" w:type="dxa"/>
            <w:tcBorders/>
            <w:shd w:fill="FFFFFF" w:val="clear"/>
          </w:tcPr>
          <w:p>
            <w:pPr>
              <w:pStyle w:val="TableContents"/>
              <w:spacing w:before="0" w:after="283"/>
              <w:rPr>
                <w:sz w:val="4"/>
                <w:szCs w:val="4"/>
              </w:rPr>
            </w:pPr>
            <w:r>
              <w:rPr>
                <w:sz w:val="4"/>
                <w:szCs w:val="4"/>
              </w:rPr>
            </w:r>
          </w:p>
        </w:tc>
        <w:tc>
          <w:tcPr>
            <w:tcW w:w="116" w:type="dxa"/>
            <w:tcBorders/>
            <w:shd w:fill="FFFFFF" w:val="clear"/>
          </w:tcPr>
          <w:p>
            <w:pPr>
              <w:pStyle w:val="TableContents"/>
              <w:spacing w:before="0" w:after="283"/>
              <w:jc w:val="left"/>
              <w:rPr/>
            </w:pPr>
            <w:r>
              <w:rPr/>
              <w:t>•</w:t>
            </w:r>
          </w:p>
        </w:tc>
        <w:tc>
          <w:tcPr>
            <w:tcW w:w="9730" w:type="dxa"/>
            <w:tcBorders/>
            <w:shd w:fill="FFFFFF" w:val="clear"/>
          </w:tcPr>
          <w:p>
            <w:pPr>
              <w:pStyle w:val="TableContents"/>
              <w:spacing w:before="0" w:after="283"/>
              <w:jc w:val="left"/>
              <w:rPr>
                <w:rFonts w:ascii="Arial" w:hAnsi="Arial"/>
              </w:rPr>
            </w:pPr>
            <w:r>
              <w:rPr>
                <w:rFonts w:ascii="Arial" w:hAnsi="Arial"/>
              </w:rPr>
              <w:t>Aerospace is organized by customer end-market (Air Transport and Regional, Business and General Aviation and Defense and Space) and provides products and services which include auxiliary power units; propulsion engines; environmental control systems; engine controls; repair and overhaul services; hardware; logistics; electric power systems; flight safety, communications, navigation, radar and surveillance systems; aircraft lighting; management and technical services; advanced systems and instruments; and aircraft wheels and brakes.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6" w:type="dxa"/>
            <w:tcBorders/>
            <w:shd w:fill="FFFFFF" w:val="clear"/>
          </w:tcPr>
          <w:p>
            <w:pPr>
              <w:pStyle w:val="TableContents"/>
              <w:spacing w:before="0" w:after="283"/>
              <w:jc w:val="left"/>
              <w:rPr/>
            </w:pPr>
            <w:r>
              <w:rPr/>
              <w:t>•</w:t>
            </w:r>
          </w:p>
        </w:tc>
        <w:tc>
          <w:tcPr>
            <w:tcW w:w="9730" w:type="dxa"/>
            <w:tcBorders/>
            <w:shd w:fill="FFFFFF" w:val="clear"/>
          </w:tcPr>
          <w:p>
            <w:pPr>
              <w:pStyle w:val="TableContents"/>
              <w:spacing w:before="0" w:after="283"/>
              <w:jc w:val="left"/>
              <w:rPr>
                <w:rFonts w:ascii="Arial" w:hAnsi="Arial"/>
              </w:rPr>
            </w:pPr>
            <w:r>
              <w:rPr>
                <w:rFonts w:ascii="Arial" w:hAnsi="Arial"/>
              </w:rPr>
              <w:t>Automation and Control Solutions includes Products (controls for heating, cooling, indoor air quality, ventilation, humidification and home automation; advanced software applications for home/building control and optimization; sensors, switches, control systems and instruments for measuring pressure, air flow, temperature and electrical current; security, fire and gas detection; access control; video surveillance; and remote patient monitoring systems); Building Solutions (installs, maintains and upgrades systems that keep buildings safe, comfortable and productive); and Process Solutions (provides a full range of automation and control solutions for industrial plants, offering advanced software and automation systems that integrate, control and monitor complex processes in many types of industrial settings).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6" w:type="dxa"/>
            <w:tcBorders/>
            <w:shd w:fill="FFFFFF" w:val="clear"/>
          </w:tcPr>
          <w:p>
            <w:pPr>
              <w:pStyle w:val="TableContents"/>
              <w:spacing w:before="0" w:after="283"/>
              <w:jc w:val="left"/>
              <w:rPr/>
            </w:pPr>
            <w:r>
              <w:rPr/>
              <w:t>•</w:t>
            </w:r>
          </w:p>
        </w:tc>
        <w:tc>
          <w:tcPr>
            <w:tcW w:w="9730" w:type="dxa"/>
            <w:tcBorders/>
            <w:shd w:fill="FFFFFF" w:val="clear"/>
          </w:tcPr>
          <w:p>
            <w:pPr>
              <w:pStyle w:val="TableContents"/>
              <w:spacing w:before="0" w:after="283"/>
              <w:jc w:val="left"/>
              <w:rPr>
                <w:rFonts w:ascii="Arial" w:hAnsi="Arial"/>
              </w:rPr>
            </w:pPr>
            <w:r>
              <w:rPr>
                <w:rFonts w:ascii="Arial" w:hAnsi="Arial"/>
              </w:rPr>
              <w:t>Specialty Materials includes fluorocarbons, specialty films, advanced fibers, customized research chemicals and intermediates, electronic materials and chemicals, and catalysts and adsorbents.</w:t>
            </w:r>
          </w:p>
        </w:tc>
      </w:tr>
      <w:tr>
        <w:trPr/>
        <w:tc>
          <w:tcPr>
            <w:tcW w:w="359" w:type="dxa"/>
            <w:tcBorders/>
            <w:shd w:fill="auto" w:val="clear"/>
            <w:vAlign w:val="center"/>
          </w:tcPr>
          <w:p>
            <w:pPr>
              <w:pStyle w:val="TableContents"/>
              <w:spacing w:before="0" w:after="283"/>
              <w:rPr/>
            </w:pPr>
            <w:r>
              <w:rPr/>
              <w:t> </w:t>
            </w:r>
          </w:p>
        </w:tc>
        <w:tc>
          <w:tcPr>
            <w:tcW w:w="9846" w:type="dxa"/>
            <w:gridSpan w:val="2"/>
            <w:tcBorders/>
            <w:shd w:fill="auto" w:val="clear"/>
          </w:tcPr>
          <w:p>
            <w:pPr>
              <w:pStyle w:val="TableContents"/>
              <w:spacing w:before="0" w:after="283"/>
              <w:rPr>
                <w:sz w:val="4"/>
                <w:szCs w:val="4"/>
              </w:rPr>
            </w:pPr>
            <w:r>
              <w:rPr>
                <w:sz w:val="4"/>
                <w:szCs w:val="4"/>
              </w:rPr>
            </w:r>
          </w:p>
        </w:tc>
      </w:tr>
      <w:tr>
        <w:trPr/>
        <w:tc>
          <w:tcPr>
            <w:tcW w:w="359" w:type="dxa"/>
            <w:tcBorders/>
            <w:shd w:fill="FFFFFF" w:val="clear"/>
          </w:tcPr>
          <w:p>
            <w:pPr>
              <w:pStyle w:val="TableContents"/>
              <w:spacing w:before="0" w:after="283"/>
              <w:rPr>
                <w:sz w:val="4"/>
                <w:szCs w:val="4"/>
              </w:rPr>
            </w:pPr>
            <w:r>
              <w:rPr>
                <w:sz w:val="4"/>
                <w:szCs w:val="4"/>
              </w:rPr>
            </w:r>
          </w:p>
        </w:tc>
        <w:tc>
          <w:tcPr>
            <w:tcW w:w="116" w:type="dxa"/>
            <w:tcBorders/>
            <w:shd w:fill="FFFFFF" w:val="clear"/>
          </w:tcPr>
          <w:p>
            <w:pPr>
              <w:pStyle w:val="TableContents"/>
              <w:spacing w:before="0" w:after="283"/>
              <w:jc w:val="left"/>
              <w:rPr/>
            </w:pPr>
            <w:r>
              <w:rPr/>
              <w:t>•</w:t>
            </w:r>
          </w:p>
        </w:tc>
        <w:tc>
          <w:tcPr>
            <w:tcW w:w="9730" w:type="dxa"/>
            <w:tcBorders/>
            <w:shd w:fill="FFFFFF" w:val="clear"/>
          </w:tcPr>
          <w:p>
            <w:pPr>
              <w:pStyle w:val="TableContents"/>
              <w:spacing w:before="0" w:after="283"/>
              <w:jc w:val="left"/>
              <w:rPr>
                <w:rFonts w:ascii="Arial" w:hAnsi="Arial"/>
              </w:rPr>
            </w:pPr>
            <w:r>
              <w:rPr>
                <w:rFonts w:ascii="Arial" w:hAnsi="Arial"/>
              </w:rPr>
              <w:t>Transportation Systems includes Honeywell Turbo Technologies (turbochargers and charge-air and thermal systems); and the Consumer Products Group (car care products including anti-freeze, filters, spark plugs, and cleaners, waxes and additives; and brake hard parts and other friction materials).</w:t>
            </w:r>
          </w:p>
        </w:tc>
      </w:tr>
    </w:tbl>
    <w:p>
      <w:pPr>
        <w:pStyle w:val="TextBody"/>
        <w:jc w:val="left"/>
        <w:rPr/>
      </w:pPr>
      <w:r>
        <w:rPr/>
        <w:t>      </w:t>
      </w:r>
      <w:r>
        <w:rPr>
          <w:rFonts w:ascii="Arial" w:hAnsi="Arial"/>
        </w:rPr>
        <w:t>The accounting policies of the segments are the same as those described in Note 1. Honeywell's senior management evaluates segment performance based on segment profit. Segment profit is business unit income (loss) before taxes excluding general corporate unallocated expenses, other income (expense), interest and other financial charges, pension and other postretirement benefits (expense), stock option expense, repositioning and other charges and accounting changes. Intersegment sales approximate market prices and are not significant. Reportable segment data follows:</w:t>
      </w:r>
    </w:p>
    <w:p>
      <w:pPr>
        <w:pStyle w:val="TextBody"/>
        <w:jc w:val="center"/>
        <w:rPr>
          <w:rFonts w:ascii="Arial" w:hAnsi="Arial"/>
        </w:rPr>
      </w:pPr>
      <w:r>
        <w:rPr>
          <w:rFonts w:ascii="Arial" w:hAnsi="Arial"/>
        </w:rPr>
        <w:t>92</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tbl>
      <w:tblPr>
        <w:tblW w:w="5000" w:type="pct"/>
        <w:jc w:val="left"/>
        <w:tblInd w:w="0" w:type="dxa"/>
        <w:tblCellMar>
          <w:top w:w="0" w:type="dxa"/>
          <w:left w:w="0" w:type="dxa"/>
          <w:bottom w:w="0" w:type="dxa"/>
          <w:right w:w="0" w:type="dxa"/>
        </w:tblCellMar>
      </w:tblPr>
      <w:tblGrid>
        <w:gridCol w:w="477"/>
        <w:gridCol w:w="4778"/>
        <w:gridCol w:w="318"/>
        <w:gridCol w:w="205"/>
        <w:gridCol w:w="1001"/>
        <w:gridCol w:w="126"/>
        <w:gridCol w:w="318"/>
        <w:gridCol w:w="205"/>
        <w:gridCol w:w="1001"/>
        <w:gridCol w:w="126"/>
        <w:gridCol w:w="318"/>
        <w:gridCol w:w="205"/>
        <w:gridCol w:w="1001"/>
        <w:gridCol w:w="126"/>
      </w:tblGrid>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4632"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33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33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33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Net sales</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Aerospace</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11,124</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10,496</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9,740</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Automation and Control Solutions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11,020</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9,416</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8,031</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Specialty Materials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4,631</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3,234</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3,497</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Transportation Systems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4,592</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4,505</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4,323</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Corporate</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pPr>
            <w:r>
              <w:rPr/>
              <w:t>—</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2</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31,367</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27,652</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25,593</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Depreciation and amortization</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Aerospace</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195</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188</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199</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Automation and Control Solutions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240</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202</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159</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Specialty Materials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221</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137</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141</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Transportation Systems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101</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93</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80</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Corporate</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37</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33</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35</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6"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6"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6" w:space="0" w:color="000000"/>
              </w:pBdr>
              <w:spacing w:before="0" w:after="283"/>
              <w:rPr/>
            </w:pPr>
            <w:r>
              <w:rPr/>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794</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653</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614</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18"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18"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18" w:space="0" w:color="000000"/>
              </w:pBdr>
              <w:spacing w:before="0" w:after="283"/>
              <w:rPr/>
            </w:pPr>
            <w:r>
              <w:rPr/>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Segment profit</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Aerospace</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1,892</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1,676</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1,422</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Automation and Control Solutions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1,223</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1,065</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894</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Specialty Materials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568</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257</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184</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Transportation Systems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574</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557</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575</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Corporate</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(177</w:t>
            </w:r>
          </w:p>
        </w:tc>
        <w:tc>
          <w:tcPr>
            <w:tcW w:w="126" w:type="dxa"/>
            <w:tcBorders/>
            <w:shd w:fill="FFFFFF" w:val="clear"/>
            <w:vAlign w:val="bottom"/>
          </w:tcPr>
          <w:p>
            <w:pPr>
              <w:pStyle w:val="TableContents"/>
              <w:spacing w:before="0" w:after="283"/>
              <w:jc w:val="left"/>
              <w:rPr>
                <w:rFonts w:ascii="Arial" w:hAnsi="Arial"/>
              </w:rPr>
            </w:pPr>
            <w:r>
              <w:rPr>
                <w:rFonts w:ascii="Arial" w:hAnsi="Arial"/>
              </w:rPr>
              <w:t>)</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(173</w:t>
            </w:r>
          </w:p>
        </w:tc>
        <w:tc>
          <w:tcPr>
            <w:tcW w:w="126" w:type="dxa"/>
            <w:tcBorders/>
            <w:shd w:fill="FFFFFF" w:val="clear"/>
            <w:vAlign w:val="bottom"/>
          </w:tcPr>
          <w:p>
            <w:pPr>
              <w:pStyle w:val="TableContents"/>
              <w:spacing w:before="0" w:after="283"/>
              <w:jc w:val="left"/>
              <w:rPr>
                <w:rFonts w:ascii="Arial" w:hAnsi="Arial"/>
              </w:rPr>
            </w:pPr>
            <w:r>
              <w:rPr>
                <w:rFonts w:ascii="Arial" w:hAnsi="Arial"/>
              </w:rPr>
              <w:t>)</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(158</w:t>
            </w:r>
          </w:p>
        </w:tc>
        <w:tc>
          <w:tcPr>
            <w:tcW w:w="126"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4,080</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3,382</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2,917</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Capital expenditures</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Aerospace</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178</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178</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168</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Automation and Control Solutions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165</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136</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106</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Specialty Materials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186</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155</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156</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Transportation Systems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109</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143</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137</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Corporate</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95</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72</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62</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6"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6"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6" w:space="0" w:color="000000"/>
              </w:pBdr>
              <w:spacing w:before="0" w:after="283"/>
              <w:rPr/>
            </w:pPr>
            <w:r>
              <w:rPr/>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733</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684</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bottom"/>
          </w:tcPr>
          <w:p>
            <w:pPr>
              <w:pStyle w:val="TableContents"/>
              <w:spacing w:before="0" w:after="283"/>
              <w:jc w:val="right"/>
              <w:rPr>
                <w:rFonts w:ascii="Arial" w:hAnsi="Arial"/>
              </w:rPr>
            </w:pPr>
            <w:r>
              <w:rPr>
                <w:rFonts w:ascii="Arial" w:hAnsi="Arial"/>
              </w:rPr>
              <w:t>$</w:t>
            </w:r>
          </w:p>
        </w:tc>
        <w:tc>
          <w:tcPr>
            <w:tcW w:w="1001" w:type="dxa"/>
            <w:tcBorders/>
            <w:shd w:fill="E5FFFF" w:val="clear"/>
            <w:vAlign w:val="bottom"/>
          </w:tcPr>
          <w:p>
            <w:pPr>
              <w:pStyle w:val="TableContents"/>
              <w:spacing w:before="0" w:after="283"/>
              <w:jc w:val="right"/>
              <w:rPr>
                <w:rFonts w:ascii="Arial" w:hAnsi="Arial"/>
              </w:rPr>
            </w:pPr>
            <w:r>
              <w:rPr>
                <w:rFonts w:ascii="Arial" w:hAnsi="Arial"/>
              </w:rPr>
              <w:t>629</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18"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18" w:space="0" w:color="000000"/>
              </w:pBdr>
              <w:spacing w:before="0" w:after="283"/>
              <w:rPr/>
            </w:pPr>
            <w:r>
              <w:rPr/>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HorizontalLine"/>
              <w:pBdr>
                <w:bottom w:val="single" w:sz="18" w:space="0" w:color="000000"/>
              </w:pBdr>
              <w:spacing w:before="0" w:after="283"/>
              <w:rPr/>
            </w:pPr>
            <w:r>
              <w:rPr/>
            </w:r>
          </w:p>
        </w:tc>
        <w:tc>
          <w:tcPr>
            <w:tcW w:w="126" w:type="dxa"/>
            <w:tcBorders/>
            <w:shd w:fill="FF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rPr>
                <w:sz w:val="4"/>
                <w:szCs w:val="4"/>
              </w:rPr>
            </w:pPr>
            <w:r>
              <w:rPr>
                <w:sz w:val="4"/>
                <w:szCs w:val="4"/>
              </w:rPr>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4632" w:type="dxa"/>
            <w:gridSpan w:val="11"/>
            <w:tcBorders/>
            <w:shd w:fill="FFFFFF" w:val="clear"/>
            <w:vAlign w:val="bottom"/>
          </w:tcPr>
          <w:p>
            <w:pPr>
              <w:pStyle w:val="TableContents"/>
              <w:spacing w:before="0" w:after="0"/>
              <w:jc w:val="center"/>
              <w:rPr>
                <w:rFonts w:ascii="Arial" w:hAnsi="Arial"/>
                <w:b/>
              </w:rPr>
            </w:pPr>
            <w:r>
              <w:rPr>
                <w:rFonts w:ascii="Arial" w:hAnsi="Arial"/>
                <w:b/>
              </w:rPr>
              <w:t>December 31,</w:t>
            </w:r>
          </w:p>
          <w:p>
            <w:pPr>
              <w:pStyle w:val="HorizontalLine"/>
              <w:pBdr>
                <w:bottom w:val="single" w:sz="6" w:space="0" w:color="000000"/>
              </w:pBdr>
              <w:spacing w:before="0" w:after="283"/>
              <w:rPr/>
            </w:pPr>
            <w:r>
              <w:rPr/>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332"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332"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18" w:type="dxa"/>
            <w:tcBorders/>
            <w:shd w:fill="FFFFFF" w:val="clear"/>
            <w:vAlign w:val="center"/>
          </w:tcPr>
          <w:p>
            <w:pPr>
              <w:pStyle w:val="TableContents"/>
              <w:spacing w:before="0" w:after="283"/>
              <w:rPr/>
            </w:pPr>
            <w:r>
              <w:rPr/>
              <w:t> </w:t>
            </w:r>
          </w:p>
        </w:tc>
        <w:tc>
          <w:tcPr>
            <w:tcW w:w="1332"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Total assets</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center"/>
          </w:tcPr>
          <w:p>
            <w:pPr>
              <w:pStyle w:val="TableContents"/>
              <w:spacing w:before="0" w:after="283"/>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center"/>
          </w:tcPr>
          <w:p>
            <w:pPr>
              <w:pStyle w:val="TableContents"/>
              <w:spacing w:before="0" w:after="283"/>
              <w:rPr/>
            </w:pPr>
            <w:r>
              <w:rPr/>
              <w:t> </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Aerospace</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7,914</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7,696</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7,949</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Automation and Control Solutions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11,287</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10,080</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8,128</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Specialty Materials</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4,674</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4,732</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3,239</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bottom"/>
          </w:tcPr>
          <w:p>
            <w:pPr>
              <w:pStyle w:val="TableContents"/>
              <w:spacing w:before="0" w:after="283"/>
              <w:jc w:val="left"/>
              <w:rPr/>
            </w:pPr>
            <w:r>
              <w:rPr/>
              <w:t>      </w:t>
            </w:r>
          </w:p>
        </w:tc>
        <w:tc>
          <w:tcPr>
            <w:tcW w:w="4778" w:type="dxa"/>
            <w:tcBorders/>
            <w:shd w:fill="E5FFFF" w:val="clear"/>
            <w:vAlign w:val="bottom"/>
          </w:tcPr>
          <w:p>
            <w:pPr>
              <w:pStyle w:val="TableContents"/>
              <w:spacing w:before="0" w:after="283"/>
              <w:jc w:val="left"/>
              <w:rPr>
                <w:rFonts w:ascii="Arial" w:hAnsi="Arial"/>
              </w:rPr>
            </w:pPr>
            <w:r>
              <w:rPr>
                <w:rFonts w:ascii="Arial" w:hAnsi="Arial"/>
              </w:rPr>
              <w:t>Transportation Systems</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3,038</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2,880</w:t>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TableContents"/>
              <w:spacing w:before="0" w:after="283"/>
              <w:jc w:val="right"/>
              <w:rPr>
                <w:rFonts w:ascii="Arial" w:hAnsi="Arial"/>
              </w:rPr>
            </w:pPr>
            <w:r>
              <w:rPr>
                <w:rFonts w:ascii="Arial" w:hAnsi="Arial"/>
              </w:rPr>
              <w:t>3,131</w:t>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jc w:val="left"/>
              <w:rPr>
                <w:rFonts w:ascii="Arial" w:hAnsi="Arial"/>
              </w:rPr>
            </w:pPr>
            <w:r>
              <w:rPr>
                <w:rFonts w:ascii="Arial" w:hAnsi="Arial"/>
              </w:rPr>
              <w:t>Corporate</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4,028</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6,245</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bottom"/>
          </w:tcPr>
          <w:p>
            <w:pPr>
              <w:pStyle w:val="TableContents"/>
              <w:spacing w:before="0" w:after="283"/>
              <w:jc w:val="right"/>
              <w:rPr>
                <w:rFonts w:ascii="Arial" w:hAnsi="Arial"/>
              </w:rPr>
            </w:pPr>
            <w:r>
              <w:rPr>
                <w:rFonts w:ascii="Arial" w:hAnsi="Arial"/>
              </w:rPr>
              <w:t>8,123</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6" w:space="0" w:color="000000"/>
              </w:pBdr>
              <w:spacing w:before="0" w:after="283"/>
              <w:rPr/>
            </w:pPr>
            <w:r>
              <w:rPr/>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center"/>
          </w:tcPr>
          <w:p>
            <w:pPr>
              <w:pStyle w:val="TableContents"/>
              <w:spacing w:before="0" w:after="283"/>
              <w:rPr/>
            </w:pPr>
            <w:r>
              <w:rPr/>
              <w:t> </w:t>
            </w:r>
          </w:p>
        </w:tc>
        <w:tc>
          <w:tcPr>
            <w:tcW w:w="4778"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30,941</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31,633</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bottom"/>
          </w:tcPr>
          <w:p>
            <w:pPr>
              <w:pStyle w:val="TableContents"/>
              <w:spacing w:before="0" w:after="283"/>
              <w:jc w:val="right"/>
              <w:rPr/>
            </w:pPr>
            <w:r>
              <w:rPr/>
              <w:t>    </w:t>
            </w:r>
          </w:p>
        </w:tc>
        <w:tc>
          <w:tcPr>
            <w:tcW w:w="205" w:type="dxa"/>
            <w:tcBorders/>
            <w:shd w:fill="FFFFFF" w:val="clear"/>
            <w:vAlign w:val="bottom"/>
          </w:tcPr>
          <w:p>
            <w:pPr>
              <w:pStyle w:val="TableContents"/>
              <w:spacing w:before="0" w:after="283"/>
              <w:jc w:val="right"/>
              <w:rPr>
                <w:rFonts w:ascii="Arial" w:hAnsi="Arial"/>
              </w:rPr>
            </w:pPr>
            <w:r>
              <w:rPr>
                <w:rFonts w:ascii="Arial" w:hAnsi="Arial"/>
              </w:rPr>
              <w:t>$</w:t>
            </w:r>
          </w:p>
        </w:tc>
        <w:tc>
          <w:tcPr>
            <w:tcW w:w="1001" w:type="dxa"/>
            <w:tcBorders/>
            <w:shd w:fill="FFFFFF" w:val="clear"/>
            <w:vAlign w:val="bottom"/>
          </w:tcPr>
          <w:p>
            <w:pPr>
              <w:pStyle w:val="TableContents"/>
              <w:spacing w:before="0" w:after="283"/>
              <w:jc w:val="right"/>
              <w:rPr>
                <w:rFonts w:ascii="Arial" w:hAnsi="Arial"/>
              </w:rPr>
            </w:pPr>
            <w:r>
              <w:rPr>
                <w:rFonts w:ascii="Arial" w:hAnsi="Arial"/>
              </w:rPr>
              <w:t>30,570</w:t>
            </w:r>
          </w:p>
        </w:tc>
        <w:tc>
          <w:tcPr>
            <w:tcW w:w="126" w:type="dxa"/>
            <w:tcBorders/>
            <w:shd w:fill="FFFFFF" w:val="clear"/>
            <w:vAlign w:val="center"/>
          </w:tcPr>
          <w:p>
            <w:pPr>
              <w:pStyle w:val="TableContents"/>
              <w:spacing w:before="0" w:after="283"/>
              <w:rPr/>
            </w:pPr>
            <w:r>
              <w:rPr/>
              <w:t> </w:t>
            </w:r>
          </w:p>
        </w:tc>
      </w:tr>
      <w:tr>
        <w:trPr/>
        <w:tc>
          <w:tcPr>
            <w:tcW w:w="477" w:type="dxa"/>
            <w:tcBorders/>
            <w:shd w:fill="E5FFFF" w:val="clear"/>
            <w:vAlign w:val="center"/>
          </w:tcPr>
          <w:p>
            <w:pPr>
              <w:pStyle w:val="TableContents"/>
              <w:spacing w:before="0" w:after="283"/>
              <w:rPr/>
            </w:pPr>
            <w:r>
              <w:rPr/>
              <w:t> </w:t>
            </w:r>
          </w:p>
        </w:tc>
        <w:tc>
          <w:tcPr>
            <w:tcW w:w="4778"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c>
          <w:tcPr>
            <w:tcW w:w="318" w:type="dxa"/>
            <w:tcBorders/>
            <w:shd w:fill="E5FFFF" w:val="clear"/>
            <w:vAlign w:val="bottom"/>
          </w:tcPr>
          <w:p>
            <w:pPr>
              <w:pStyle w:val="TableContents"/>
              <w:spacing w:before="0" w:after="283"/>
              <w:jc w:val="right"/>
              <w:rPr/>
            </w:pPr>
            <w:r>
              <w:rPr/>
              <w:t>    </w:t>
            </w:r>
          </w:p>
        </w:tc>
        <w:tc>
          <w:tcPr>
            <w:tcW w:w="205" w:type="dxa"/>
            <w:tcBorders/>
            <w:shd w:fill="E5FFFF" w:val="clear"/>
            <w:vAlign w:val="center"/>
          </w:tcPr>
          <w:p>
            <w:pPr>
              <w:pStyle w:val="TableContents"/>
              <w:spacing w:before="0" w:after="283"/>
              <w:rPr/>
            </w:pPr>
            <w:r>
              <w:rPr/>
              <w:t> </w:t>
            </w:r>
          </w:p>
        </w:tc>
        <w:tc>
          <w:tcPr>
            <w:tcW w:w="1001" w:type="dxa"/>
            <w:tcBorders/>
            <w:shd w:fill="E5FFFF" w:val="clear"/>
            <w:vAlign w:val="bottom"/>
          </w:tcPr>
          <w:p>
            <w:pPr>
              <w:pStyle w:val="HorizontalLine"/>
              <w:pBdr>
                <w:bottom w:val="single" w:sz="18" w:space="0" w:color="000000"/>
              </w:pBdr>
              <w:spacing w:before="0" w:after="283"/>
              <w:rPr/>
            </w:pPr>
            <w:r>
              <w:rPr/>
            </w:r>
          </w:p>
        </w:tc>
        <w:tc>
          <w:tcPr>
            <w:tcW w:w="126" w:type="dxa"/>
            <w:tcBorders/>
            <w:shd w:fill="E5FFFF" w:val="clear"/>
            <w:vAlign w:val="center"/>
          </w:tcPr>
          <w:p>
            <w:pPr>
              <w:pStyle w:val="TableContents"/>
              <w:spacing w:before="0" w:after="283"/>
              <w:rPr/>
            </w:pPr>
            <w:r>
              <w:rPr/>
              <w:t> </w:t>
            </w:r>
          </w:p>
        </w:tc>
      </w:tr>
      <w:tr>
        <w:trPr/>
        <w:tc>
          <w:tcPr>
            <w:tcW w:w="477" w:type="dxa"/>
            <w:tcBorders/>
            <w:shd w:fill="FFFFFF" w:val="clear"/>
            <w:vAlign w:val="bottom"/>
          </w:tcPr>
          <w:p>
            <w:pPr>
              <w:pStyle w:val="TableContents"/>
              <w:spacing w:before="0" w:after="283"/>
              <w:jc w:val="left"/>
              <w:rPr/>
            </w:pPr>
            <w:r>
              <w:rPr/>
              <w:t>      </w:t>
            </w:r>
          </w:p>
        </w:tc>
        <w:tc>
          <w:tcPr>
            <w:tcW w:w="4778" w:type="dxa"/>
            <w:tcBorders/>
            <w:shd w:fill="FFFFFF" w:val="clear"/>
            <w:vAlign w:val="bottom"/>
          </w:tcPr>
          <w:p>
            <w:pPr>
              <w:pStyle w:val="TableContents"/>
              <w:spacing w:before="0" w:after="283"/>
              <w:rPr>
                <w:sz w:val="4"/>
                <w:szCs w:val="4"/>
              </w:rPr>
            </w:pPr>
            <w:r>
              <w:rPr>
                <w:sz w:val="4"/>
                <w:szCs w:val="4"/>
              </w:rPr>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1001" w:type="dxa"/>
            <w:tcBorders/>
            <w:shd w:fill="FFFFFF" w:val="clear"/>
            <w:vAlign w:val="center"/>
          </w:tcPr>
          <w:p>
            <w:pPr>
              <w:pStyle w:val="TableContents"/>
              <w:spacing w:before="0" w:after="283"/>
              <w:rPr/>
            </w:pPr>
            <w:r>
              <w:rPr/>
              <w:t> </w:t>
            </w:r>
          </w:p>
        </w:tc>
        <w:tc>
          <w:tcPr>
            <w:tcW w:w="126"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93</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pPr>
      <w:r>
        <w:rPr/>
        <w:t>      </w:t>
      </w:r>
      <w:r>
        <w:rPr>
          <w:rFonts w:ascii="Arial" w:hAnsi="Arial"/>
        </w:rPr>
        <w:t>A reconciliation of segment profit to consolidated income from continuing operations before taxes is as follows:</w:t>
      </w:r>
    </w:p>
    <w:tbl>
      <w:tblPr>
        <w:tblW w:w="5000" w:type="pct"/>
        <w:jc w:val="left"/>
        <w:tblInd w:w="0" w:type="dxa"/>
        <w:tblCellMar>
          <w:top w:w="0" w:type="dxa"/>
          <w:left w:w="0" w:type="dxa"/>
          <w:bottom w:w="0" w:type="dxa"/>
          <w:right w:w="0" w:type="dxa"/>
        </w:tblCellMar>
      </w:tblPr>
      <w:tblGrid>
        <w:gridCol w:w="384"/>
        <w:gridCol w:w="6249"/>
        <w:gridCol w:w="256"/>
        <w:gridCol w:w="166"/>
        <w:gridCol w:w="666"/>
        <w:gridCol w:w="102"/>
        <w:gridCol w:w="257"/>
        <w:gridCol w:w="166"/>
        <w:gridCol w:w="666"/>
        <w:gridCol w:w="102"/>
        <w:gridCol w:w="257"/>
        <w:gridCol w:w="166"/>
        <w:gridCol w:w="666"/>
        <w:gridCol w:w="102"/>
      </w:tblGrid>
      <w:tr>
        <w:trPr/>
        <w:tc>
          <w:tcPr>
            <w:tcW w:w="384" w:type="dxa"/>
            <w:tcBorders/>
            <w:shd w:fill="FFFFFF" w:val="clear"/>
            <w:vAlign w:val="center"/>
          </w:tcPr>
          <w:p>
            <w:pPr>
              <w:pStyle w:val="TableContents"/>
              <w:spacing w:before="0" w:after="283"/>
              <w:rPr/>
            </w:pPr>
            <w:r>
              <w:rPr/>
              <w:t> </w:t>
            </w:r>
          </w:p>
        </w:tc>
        <w:tc>
          <w:tcPr>
            <w:tcW w:w="6249"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3316"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384" w:type="dxa"/>
            <w:tcBorders/>
            <w:shd w:fill="FFFFFF" w:val="clear"/>
            <w:vAlign w:val="center"/>
          </w:tcPr>
          <w:p>
            <w:pPr>
              <w:pStyle w:val="TableContents"/>
              <w:spacing w:before="0" w:after="283"/>
              <w:rPr/>
            </w:pPr>
            <w:r>
              <w:rPr/>
              <w:t> </w:t>
            </w:r>
          </w:p>
        </w:tc>
        <w:tc>
          <w:tcPr>
            <w:tcW w:w="6249"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934"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57" w:type="dxa"/>
            <w:tcBorders/>
            <w:shd w:fill="FFFFFF" w:val="clear"/>
            <w:vAlign w:val="center"/>
          </w:tcPr>
          <w:p>
            <w:pPr>
              <w:pStyle w:val="TableContents"/>
              <w:spacing w:before="0" w:after="283"/>
              <w:rPr/>
            </w:pPr>
            <w:r>
              <w:rPr/>
              <w:t> </w:t>
            </w:r>
          </w:p>
        </w:tc>
        <w:tc>
          <w:tcPr>
            <w:tcW w:w="934"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57" w:type="dxa"/>
            <w:tcBorders/>
            <w:shd w:fill="FFFFFF" w:val="clear"/>
            <w:vAlign w:val="center"/>
          </w:tcPr>
          <w:p>
            <w:pPr>
              <w:pStyle w:val="TableContents"/>
              <w:spacing w:before="0" w:after="283"/>
              <w:rPr/>
            </w:pPr>
            <w:r>
              <w:rPr/>
              <w:t> </w:t>
            </w:r>
          </w:p>
        </w:tc>
        <w:tc>
          <w:tcPr>
            <w:tcW w:w="934"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384" w:type="dxa"/>
            <w:tcBorders/>
            <w:shd w:fill="FFFFFF" w:val="clear"/>
            <w:vAlign w:val="bottom"/>
          </w:tcPr>
          <w:p>
            <w:pPr>
              <w:pStyle w:val="TableContents"/>
              <w:spacing w:before="0" w:after="283"/>
              <w:jc w:val="left"/>
              <w:rPr/>
            </w:pPr>
            <w:r>
              <w:rPr/>
              <w:t>      </w:t>
            </w:r>
          </w:p>
        </w:tc>
        <w:tc>
          <w:tcPr>
            <w:tcW w:w="6249" w:type="dxa"/>
            <w:tcBorders/>
            <w:shd w:fill="FFFFFF" w:val="clear"/>
            <w:vAlign w:val="bottom"/>
          </w:tcPr>
          <w:p>
            <w:pPr>
              <w:pStyle w:val="TableContents"/>
              <w:spacing w:before="0" w:after="283"/>
              <w:jc w:val="left"/>
              <w:rPr>
                <w:rFonts w:ascii="Arial" w:hAnsi="Arial"/>
              </w:rPr>
            </w:pPr>
            <w:r>
              <w:rPr>
                <w:rFonts w:ascii="Arial" w:hAnsi="Arial"/>
              </w:rPr>
              <w:t>Segment profit</w:t>
            </w:r>
          </w:p>
        </w:tc>
        <w:tc>
          <w:tcPr>
            <w:tcW w:w="256"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right"/>
              <w:rPr>
                <w:rFonts w:ascii="Arial" w:hAnsi="Arial"/>
              </w:rPr>
            </w:pPr>
            <w:r>
              <w:rPr>
                <w:rFonts w:ascii="Arial" w:hAnsi="Arial"/>
              </w:rPr>
              <w:t>$</w:t>
            </w:r>
          </w:p>
        </w:tc>
        <w:tc>
          <w:tcPr>
            <w:tcW w:w="666" w:type="dxa"/>
            <w:tcBorders/>
            <w:shd w:fill="FFFFFF" w:val="clear"/>
            <w:vAlign w:val="bottom"/>
          </w:tcPr>
          <w:p>
            <w:pPr>
              <w:pStyle w:val="TableContents"/>
              <w:spacing w:before="0" w:after="283"/>
              <w:jc w:val="right"/>
              <w:rPr>
                <w:rFonts w:ascii="Arial" w:hAnsi="Arial"/>
              </w:rPr>
            </w:pPr>
            <w:r>
              <w:rPr>
                <w:rFonts w:ascii="Arial" w:hAnsi="Arial"/>
              </w:rPr>
              <w:t>4,080</w:t>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right"/>
              <w:rPr>
                <w:rFonts w:ascii="Arial" w:hAnsi="Arial"/>
              </w:rPr>
            </w:pPr>
            <w:r>
              <w:rPr>
                <w:rFonts w:ascii="Arial" w:hAnsi="Arial"/>
              </w:rPr>
              <w:t>$</w:t>
            </w:r>
          </w:p>
        </w:tc>
        <w:tc>
          <w:tcPr>
            <w:tcW w:w="666" w:type="dxa"/>
            <w:tcBorders/>
            <w:shd w:fill="FFFFFF" w:val="clear"/>
            <w:vAlign w:val="bottom"/>
          </w:tcPr>
          <w:p>
            <w:pPr>
              <w:pStyle w:val="TableContents"/>
              <w:spacing w:before="0" w:after="283"/>
              <w:jc w:val="right"/>
              <w:rPr>
                <w:rFonts w:ascii="Arial" w:hAnsi="Arial"/>
              </w:rPr>
            </w:pPr>
            <w:r>
              <w:rPr>
                <w:rFonts w:ascii="Arial" w:hAnsi="Arial"/>
              </w:rPr>
              <w:t>3,382</w:t>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right"/>
              <w:rPr>
                <w:rFonts w:ascii="Arial" w:hAnsi="Arial"/>
              </w:rPr>
            </w:pPr>
            <w:r>
              <w:rPr>
                <w:rFonts w:ascii="Arial" w:hAnsi="Arial"/>
              </w:rPr>
              <w:t>$</w:t>
            </w:r>
          </w:p>
        </w:tc>
        <w:tc>
          <w:tcPr>
            <w:tcW w:w="666" w:type="dxa"/>
            <w:tcBorders/>
            <w:shd w:fill="FFFFFF" w:val="clear"/>
            <w:vAlign w:val="bottom"/>
          </w:tcPr>
          <w:p>
            <w:pPr>
              <w:pStyle w:val="TableContents"/>
              <w:spacing w:before="0" w:after="283"/>
              <w:jc w:val="right"/>
              <w:rPr>
                <w:rFonts w:ascii="Arial" w:hAnsi="Arial"/>
              </w:rPr>
            </w:pPr>
            <w:r>
              <w:rPr>
                <w:rFonts w:ascii="Arial" w:hAnsi="Arial"/>
              </w:rPr>
              <w:t>2,917</w:t>
            </w:r>
          </w:p>
        </w:tc>
        <w:tc>
          <w:tcPr>
            <w:tcW w:w="102" w:type="dxa"/>
            <w:tcBorders/>
            <w:shd w:fill="FFFFFF" w:val="clear"/>
            <w:vAlign w:val="center"/>
          </w:tcPr>
          <w:p>
            <w:pPr>
              <w:pStyle w:val="TableContents"/>
              <w:spacing w:before="0" w:after="283"/>
              <w:rPr/>
            </w:pPr>
            <w:r>
              <w:rPr/>
              <w:t> </w:t>
            </w:r>
          </w:p>
        </w:tc>
      </w:tr>
      <w:tr>
        <w:trPr/>
        <w:tc>
          <w:tcPr>
            <w:tcW w:w="384" w:type="dxa"/>
            <w:tcBorders/>
            <w:shd w:fill="E5FFFF" w:val="clear"/>
            <w:vAlign w:val="bottom"/>
          </w:tcPr>
          <w:p>
            <w:pPr>
              <w:pStyle w:val="TableContents"/>
              <w:spacing w:before="0" w:after="283"/>
              <w:jc w:val="left"/>
              <w:rPr/>
            </w:pPr>
            <w:r>
              <w:rPr/>
              <w:t>      </w:t>
            </w:r>
          </w:p>
        </w:tc>
        <w:tc>
          <w:tcPr>
            <w:tcW w:w="6249" w:type="dxa"/>
            <w:tcBorders/>
            <w:shd w:fill="E5FFFF" w:val="clear"/>
            <w:vAlign w:val="bottom"/>
          </w:tcPr>
          <w:p>
            <w:pPr>
              <w:pStyle w:val="TableContents"/>
              <w:spacing w:before="0" w:after="283"/>
              <w:jc w:val="left"/>
              <w:rPr>
                <w:rFonts w:ascii="Arial" w:hAnsi="Arial"/>
              </w:rPr>
            </w:pPr>
            <w:r>
              <w:rPr>
                <w:rFonts w:ascii="Arial" w:hAnsi="Arial"/>
              </w:rPr>
              <w:t>Other income (expense)</w:t>
            </w:r>
          </w:p>
        </w:tc>
        <w:tc>
          <w:tcPr>
            <w:tcW w:w="256"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111</w:t>
            </w:r>
          </w:p>
        </w:tc>
        <w:tc>
          <w:tcPr>
            <w:tcW w:w="102" w:type="dxa"/>
            <w:tcBorders/>
            <w:shd w:fill="E5FFFF" w:val="clear"/>
            <w:vAlign w:val="center"/>
          </w:tcPr>
          <w:p>
            <w:pPr>
              <w:pStyle w:val="TableContents"/>
              <w:spacing w:before="0" w:after="283"/>
              <w:rPr/>
            </w:pPr>
            <w:r>
              <w:rPr/>
              <w:t> </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231</w:t>
            </w:r>
          </w:p>
        </w:tc>
        <w:tc>
          <w:tcPr>
            <w:tcW w:w="102" w:type="dxa"/>
            <w:tcBorders/>
            <w:shd w:fill="E5FFFF" w:val="clear"/>
            <w:vAlign w:val="center"/>
          </w:tcPr>
          <w:p>
            <w:pPr>
              <w:pStyle w:val="TableContents"/>
              <w:spacing w:before="0" w:after="283"/>
              <w:rPr/>
            </w:pPr>
            <w:r>
              <w:rPr/>
              <w:t> </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429</w:t>
            </w:r>
          </w:p>
        </w:tc>
        <w:tc>
          <w:tcPr>
            <w:tcW w:w="102" w:type="dxa"/>
            <w:tcBorders/>
            <w:shd w:fill="E5FFFF" w:val="clear"/>
            <w:vAlign w:val="center"/>
          </w:tcPr>
          <w:p>
            <w:pPr>
              <w:pStyle w:val="TableContents"/>
              <w:spacing w:before="0" w:after="283"/>
              <w:rPr/>
            </w:pPr>
            <w:r>
              <w:rPr/>
              <w:t> </w:t>
            </w:r>
          </w:p>
        </w:tc>
      </w:tr>
      <w:tr>
        <w:trPr/>
        <w:tc>
          <w:tcPr>
            <w:tcW w:w="384" w:type="dxa"/>
            <w:tcBorders/>
            <w:shd w:fill="FFFFFF" w:val="clear"/>
            <w:vAlign w:val="bottom"/>
          </w:tcPr>
          <w:p>
            <w:pPr>
              <w:pStyle w:val="TableContents"/>
              <w:spacing w:before="0" w:after="283"/>
              <w:jc w:val="left"/>
              <w:rPr/>
            </w:pPr>
            <w:r>
              <w:rPr/>
              <w:t>      </w:t>
            </w:r>
          </w:p>
        </w:tc>
        <w:tc>
          <w:tcPr>
            <w:tcW w:w="6249" w:type="dxa"/>
            <w:tcBorders/>
            <w:shd w:fill="FFFFFF" w:val="clear"/>
            <w:vAlign w:val="bottom"/>
          </w:tcPr>
          <w:p>
            <w:pPr>
              <w:pStyle w:val="TableContents"/>
              <w:spacing w:before="0" w:after="283"/>
              <w:jc w:val="left"/>
              <w:rPr>
                <w:rFonts w:ascii="Arial" w:hAnsi="Arial"/>
              </w:rPr>
            </w:pPr>
            <w:r>
              <w:rPr>
                <w:rFonts w:ascii="Arial" w:hAnsi="Arial"/>
              </w:rPr>
              <w:t>Interest and other financial charges</w:t>
            </w:r>
          </w:p>
        </w:tc>
        <w:tc>
          <w:tcPr>
            <w:tcW w:w="256"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TableContents"/>
              <w:spacing w:before="0" w:after="283"/>
              <w:jc w:val="right"/>
              <w:rPr>
                <w:rFonts w:ascii="Arial" w:hAnsi="Arial"/>
              </w:rPr>
            </w:pPr>
            <w:r>
              <w:rPr>
                <w:rFonts w:ascii="Arial" w:hAnsi="Arial"/>
              </w:rPr>
              <w:t>(374</w:t>
            </w:r>
          </w:p>
        </w:tc>
        <w:tc>
          <w:tcPr>
            <w:tcW w:w="102" w:type="dxa"/>
            <w:tcBorders/>
            <w:shd w:fill="FFFFFF" w:val="clear"/>
            <w:vAlign w:val="bottom"/>
          </w:tcPr>
          <w:p>
            <w:pPr>
              <w:pStyle w:val="TableContents"/>
              <w:spacing w:before="0" w:after="283"/>
              <w:jc w:val="left"/>
              <w:rPr>
                <w:rFonts w:ascii="Arial" w:hAnsi="Arial"/>
              </w:rPr>
            </w:pPr>
            <w:r>
              <w:rPr>
                <w:rFonts w:ascii="Arial" w:hAnsi="Arial"/>
              </w:rPr>
              <w:t>)</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TableContents"/>
              <w:spacing w:before="0" w:after="283"/>
              <w:jc w:val="right"/>
              <w:rPr>
                <w:rFonts w:ascii="Arial" w:hAnsi="Arial"/>
              </w:rPr>
            </w:pPr>
            <w:r>
              <w:rPr>
                <w:rFonts w:ascii="Arial" w:hAnsi="Arial"/>
              </w:rPr>
              <w:t>(356</w:t>
            </w:r>
          </w:p>
        </w:tc>
        <w:tc>
          <w:tcPr>
            <w:tcW w:w="102" w:type="dxa"/>
            <w:tcBorders/>
            <w:shd w:fill="FFFFFF" w:val="clear"/>
            <w:vAlign w:val="bottom"/>
          </w:tcPr>
          <w:p>
            <w:pPr>
              <w:pStyle w:val="TableContents"/>
              <w:spacing w:before="0" w:after="283"/>
              <w:jc w:val="left"/>
              <w:rPr>
                <w:rFonts w:ascii="Arial" w:hAnsi="Arial"/>
              </w:rPr>
            </w:pPr>
            <w:r>
              <w:rPr>
                <w:rFonts w:ascii="Arial" w:hAnsi="Arial"/>
              </w:rPr>
              <w:t>)</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TableContents"/>
              <w:spacing w:before="0" w:after="283"/>
              <w:jc w:val="right"/>
              <w:rPr>
                <w:rFonts w:ascii="Arial" w:hAnsi="Arial"/>
              </w:rPr>
            </w:pPr>
            <w:r>
              <w:rPr>
                <w:rFonts w:ascii="Arial" w:hAnsi="Arial"/>
              </w:rPr>
              <w:t>(331</w:t>
            </w:r>
          </w:p>
        </w:tc>
        <w:tc>
          <w:tcPr>
            <w:tcW w:w="10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84" w:type="dxa"/>
            <w:tcBorders/>
            <w:shd w:fill="E5FFFF" w:val="clear"/>
            <w:vAlign w:val="bottom"/>
          </w:tcPr>
          <w:p>
            <w:pPr>
              <w:pStyle w:val="TableContents"/>
              <w:spacing w:before="0" w:after="283"/>
              <w:jc w:val="left"/>
              <w:rPr/>
            </w:pPr>
            <w:r>
              <w:rPr/>
              <w:t>      </w:t>
            </w:r>
          </w:p>
        </w:tc>
        <w:tc>
          <w:tcPr>
            <w:tcW w:w="6249" w:type="dxa"/>
            <w:tcBorders/>
            <w:shd w:fill="E5FFFF" w:val="clear"/>
            <w:vAlign w:val="bottom"/>
          </w:tcPr>
          <w:p>
            <w:pPr>
              <w:pStyle w:val="TableContents"/>
              <w:spacing w:before="0" w:after="283"/>
              <w:jc w:val="left"/>
              <w:rPr>
                <w:rFonts w:ascii="Arial" w:hAnsi="Arial"/>
              </w:rPr>
            </w:pPr>
            <w:r>
              <w:rPr>
                <w:rFonts w:ascii="Arial" w:hAnsi="Arial"/>
              </w:rPr>
              <w:t>Stock option expense(1)</w:t>
            </w:r>
          </w:p>
        </w:tc>
        <w:tc>
          <w:tcPr>
            <w:tcW w:w="256"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(77</w:t>
            </w:r>
          </w:p>
        </w:tc>
        <w:tc>
          <w:tcPr>
            <w:tcW w:w="102" w:type="dxa"/>
            <w:tcBorders/>
            <w:shd w:fill="E5FFFF" w:val="clear"/>
            <w:vAlign w:val="bottom"/>
          </w:tcPr>
          <w:p>
            <w:pPr>
              <w:pStyle w:val="TableContents"/>
              <w:spacing w:before="0" w:after="283"/>
              <w:jc w:val="left"/>
              <w:rPr>
                <w:rFonts w:ascii="Arial" w:hAnsi="Arial"/>
              </w:rPr>
            </w:pPr>
            <w:r>
              <w:rPr>
                <w:rFonts w:ascii="Arial" w:hAnsi="Arial"/>
              </w:rPr>
              <w:t>)</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pPr>
            <w:r>
              <w:rPr/>
              <w:t>—</w:t>
            </w:r>
          </w:p>
        </w:tc>
        <w:tc>
          <w:tcPr>
            <w:tcW w:w="102" w:type="dxa"/>
            <w:tcBorders/>
            <w:shd w:fill="E5FFFF" w:val="clear"/>
            <w:vAlign w:val="center"/>
          </w:tcPr>
          <w:p>
            <w:pPr>
              <w:pStyle w:val="TableContents"/>
              <w:spacing w:before="0" w:after="283"/>
              <w:rPr/>
            </w:pPr>
            <w:r>
              <w:rPr/>
              <w:t> </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pPr>
            <w:r>
              <w:rPr/>
              <w:t>—</w:t>
            </w:r>
          </w:p>
        </w:tc>
        <w:tc>
          <w:tcPr>
            <w:tcW w:w="102" w:type="dxa"/>
            <w:tcBorders/>
            <w:shd w:fill="E5FFFF" w:val="clear"/>
            <w:vAlign w:val="center"/>
          </w:tcPr>
          <w:p>
            <w:pPr>
              <w:pStyle w:val="TableContents"/>
              <w:spacing w:before="0" w:after="283"/>
              <w:rPr/>
            </w:pPr>
            <w:r>
              <w:rPr/>
              <w:t> </w:t>
            </w:r>
          </w:p>
        </w:tc>
      </w:tr>
      <w:tr>
        <w:trPr/>
        <w:tc>
          <w:tcPr>
            <w:tcW w:w="384" w:type="dxa"/>
            <w:tcBorders/>
            <w:shd w:fill="FFFFFF" w:val="clear"/>
            <w:vAlign w:val="bottom"/>
          </w:tcPr>
          <w:p>
            <w:pPr>
              <w:pStyle w:val="TableContents"/>
              <w:spacing w:before="0" w:after="283"/>
              <w:jc w:val="left"/>
              <w:rPr/>
            </w:pPr>
            <w:r>
              <w:rPr/>
              <w:t>      </w:t>
            </w:r>
          </w:p>
        </w:tc>
        <w:tc>
          <w:tcPr>
            <w:tcW w:w="6249" w:type="dxa"/>
            <w:tcBorders/>
            <w:shd w:fill="FFFFFF" w:val="clear"/>
            <w:vAlign w:val="bottom"/>
          </w:tcPr>
          <w:p>
            <w:pPr>
              <w:pStyle w:val="TableContents"/>
              <w:spacing w:before="0" w:after="283"/>
              <w:jc w:val="left"/>
              <w:rPr>
                <w:rFonts w:ascii="Arial" w:hAnsi="Arial"/>
              </w:rPr>
            </w:pPr>
            <w:r>
              <w:rPr>
                <w:rFonts w:ascii="Arial" w:hAnsi="Arial"/>
              </w:rPr>
              <w:t>Pension and other postretirement benefits (expense)(1)</w:t>
            </w:r>
          </w:p>
        </w:tc>
        <w:tc>
          <w:tcPr>
            <w:tcW w:w="256"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TableContents"/>
              <w:spacing w:before="0" w:after="283"/>
              <w:jc w:val="right"/>
              <w:rPr>
                <w:rFonts w:ascii="Arial" w:hAnsi="Arial"/>
              </w:rPr>
            </w:pPr>
            <w:r>
              <w:rPr>
                <w:rFonts w:ascii="Arial" w:hAnsi="Arial"/>
              </w:rPr>
              <w:t>(459</w:t>
            </w:r>
          </w:p>
        </w:tc>
        <w:tc>
          <w:tcPr>
            <w:tcW w:w="102" w:type="dxa"/>
            <w:tcBorders/>
            <w:shd w:fill="FFFFFF" w:val="clear"/>
            <w:vAlign w:val="bottom"/>
          </w:tcPr>
          <w:p>
            <w:pPr>
              <w:pStyle w:val="TableContents"/>
              <w:spacing w:before="0" w:after="283"/>
              <w:jc w:val="left"/>
              <w:rPr>
                <w:rFonts w:ascii="Arial" w:hAnsi="Arial"/>
              </w:rPr>
            </w:pPr>
            <w:r>
              <w:rPr>
                <w:rFonts w:ascii="Arial" w:hAnsi="Arial"/>
              </w:rPr>
              <w:t>)</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TableContents"/>
              <w:spacing w:before="0" w:after="283"/>
              <w:jc w:val="right"/>
              <w:rPr>
                <w:rFonts w:ascii="Arial" w:hAnsi="Arial"/>
              </w:rPr>
            </w:pPr>
            <w:r>
              <w:rPr>
                <w:rFonts w:ascii="Arial" w:hAnsi="Arial"/>
              </w:rPr>
              <w:t>(561</w:t>
            </w:r>
          </w:p>
        </w:tc>
        <w:tc>
          <w:tcPr>
            <w:tcW w:w="102" w:type="dxa"/>
            <w:tcBorders/>
            <w:shd w:fill="FFFFFF" w:val="clear"/>
            <w:vAlign w:val="bottom"/>
          </w:tcPr>
          <w:p>
            <w:pPr>
              <w:pStyle w:val="TableContents"/>
              <w:spacing w:before="0" w:after="283"/>
              <w:jc w:val="left"/>
              <w:rPr>
                <w:rFonts w:ascii="Arial" w:hAnsi="Arial"/>
              </w:rPr>
            </w:pPr>
            <w:r>
              <w:rPr>
                <w:rFonts w:ascii="Arial" w:hAnsi="Arial"/>
              </w:rPr>
              <w:t>)</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TableContents"/>
              <w:spacing w:before="0" w:after="283"/>
              <w:jc w:val="right"/>
              <w:rPr>
                <w:rFonts w:ascii="Arial" w:hAnsi="Arial"/>
              </w:rPr>
            </w:pPr>
            <w:r>
              <w:rPr>
                <w:rFonts w:ascii="Arial" w:hAnsi="Arial"/>
              </w:rPr>
              <w:t>(628</w:t>
            </w:r>
          </w:p>
        </w:tc>
        <w:tc>
          <w:tcPr>
            <w:tcW w:w="10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84" w:type="dxa"/>
            <w:tcBorders/>
            <w:shd w:fill="E5FFFF" w:val="clear"/>
            <w:vAlign w:val="bottom"/>
          </w:tcPr>
          <w:p>
            <w:pPr>
              <w:pStyle w:val="TableContents"/>
              <w:spacing w:before="0" w:after="283"/>
              <w:jc w:val="left"/>
              <w:rPr/>
            </w:pPr>
            <w:r>
              <w:rPr/>
              <w:t>      </w:t>
            </w:r>
          </w:p>
        </w:tc>
        <w:tc>
          <w:tcPr>
            <w:tcW w:w="6249" w:type="dxa"/>
            <w:tcBorders/>
            <w:shd w:fill="E5FFFF" w:val="clear"/>
            <w:vAlign w:val="bottom"/>
          </w:tcPr>
          <w:p>
            <w:pPr>
              <w:pStyle w:val="TableContents"/>
              <w:spacing w:before="0" w:after="283"/>
              <w:jc w:val="left"/>
              <w:rPr>
                <w:rFonts w:ascii="Arial" w:hAnsi="Arial"/>
              </w:rPr>
            </w:pPr>
            <w:r>
              <w:rPr>
                <w:rFonts w:ascii="Arial" w:hAnsi="Arial"/>
              </w:rPr>
              <w:t>Repositioning and other charges(1)</w:t>
            </w:r>
          </w:p>
        </w:tc>
        <w:tc>
          <w:tcPr>
            <w:tcW w:w="256"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(483</w:t>
            </w:r>
          </w:p>
        </w:tc>
        <w:tc>
          <w:tcPr>
            <w:tcW w:w="102" w:type="dxa"/>
            <w:tcBorders/>
            <w:shd w:fill="E5FFFF" w:val="clear"/>
            <w:vAlign w:val="bottom"/>
          </w:tcPr>
          <w:p>
            <w:pPr>
              <w:pStyle w:val="TableContents"/>
              <w:spacing w:before="0" w:after="283"/>
              <w:jc w:val="left"/>
              <w:rPr>
                <w:rFonts w:ascii="Arial" w:hAnsi="Arial"/>
              </w:rPr>
            </w:pPr>
            <w:r>
              <w:rPr>
                <w:rFonts w:ascii="Arial" w:hAnsi="Arial"/>
              </w:rPr>
              <w:t>)</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(400</w:t>
            </w:r>
          </w:p>
        </w:tc>
        <w:tc>
          <w:tcPr>
            <w:tcW w:w="102" w:type="dxa"/>
            <w:tcBorders/>
            <w:shd w:fill="E5FFFF" w:val="clear"/>
            <w:vAlign w:val="bottom"/>
          </w:tcPr>
          <w:p>
            <w:pPr>
              <w:pStyle w:val="TableContents"/>
              <w:spacing w:before="0" w:after="283"/>
              <w:jc w:val="left"/>
              <w:rPr>
                <w:rFonts w:ascii="Arial" w:hAnsi="Arial"/>
              </w:rPr>
            </w:pPr>
            <w:r>
              <w:rPr>
                <w:rFonts w:ascii="Arial" w:hAnsi="Arial"/>
              </w:rPr>
              <w:t>)</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center"/>
          </w:tcPr>
          <w:p>
            <w:pPr>
              <w:pStyle w:val="TableContents"/>
              <w:spacing w:before="0" w:after="283"/>
              <w:rPr/>
            </w:pPr>
            <w:r>
              <w:rPr/>
              <w:t> </w:t>
            </w:r>
          </w:p>
        </w:tc>
        <w:tc>
          <w:tcPr>
            <w:tcW w:w="666" w:type="dxa"/>
            <w:tcBorders/>
            <w:shd w:fill="E5FFFF" w:val="clear"/>
            <w:vAlign w:val="bottom"/>
          </w:tcPr>
          <w:p>
            <w:pPr>
              <w:pStyle w:val="TableContents"/>
              <w:spacing w:before="0" w:after="283"/>
              <w:jc w:val="right"/>
              <w:rPr>
                <w:rFonts w:ascii="Arial" w:hAnsi="Arial"/>
              </w:rPr>
            </w:pPr>
            <w:r>
              <w:rPr>
                <w:rFonts w:ascii="Arial" w:hAnsi="Arial"/>
              </w:rPr>
              <w:t>(764</w:t>
            </w:r>
          </w:p>
        </w:tc>
        <w:tc>
          <w:tcPr>
            <w:tcW w:w="102"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384" w:type="dxa"/>
            <w:tcBorders/>
            <w:shd w:fill="FFFFFF" w:val="clear"/>
            <w:vAlign w:val="center"/>
          </w:tcPr>
          <w:p>
            <w:pPr>
              <w:pStyle w:val="TableContents"/>
              <w:spacing w:before="0" w:after="283"/>
              <w:rPr/>
            </w:pPr>
            <w:r>
              <w:rPr/>
              <w:t> </w:t>
            </w:r>
          </w:p>
        </w:tc>
        <w:tc>
          <w:tcPr>
            <w:tcW w:w="6249" w:type="dxa"/>
            <w:tcBorders/>
            <w:shd w:fill="FFFFFF" w:val="clear"/>
            <w:vAlign w:val="center"/>
          </w:tcPr>
          <w:p>
            <w:pPr>
              <w:pStyle w:val="TableContents"/>
              <w:spacing w:before="0" w:after="283"/>
              <w:rPr/>
            </w:pPr>
            <w:r>
              <w:rPr/>
              <w:t> </w:t>
            </w:r>
          </w:p>
        </w:tc>
        <w:tc>
          <w:tcPr>
            <w:tcW w:w="256"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HorizontalLine"/>
              <w:pBdr>
                <w:bottom w:val="single" w:sz="6" w:space="0" w:color="000000"/>
              </w:pBdr>
              <w:spacing w:before="0" w:after="283"/>
              <w:rPr/>
            </w:pPr>
            <w:r>
              <w:rPr/>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HorizontalLine"/>
              <w:pBdr>
                <w:bottom w:val="single" w:sz="6" w:space="0" w:color="000000"/>
              </w:pBdr>
              <w:spacing w:before="0" w:after="283"/>
              <w:rPr/>
            </w:pPr>
            <w:r>
              <w:rPr/>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HorizontalLine"/>
              <w:pBdr>
                <w:bottom w:val="single" w:sz="6" w:space="0" w:color="000000"/>
              </w:pBdr>
              <w:spacing w:before="0" w:after="283"/>
              <w:rPr/>
            </w:pPr>
            <w:r>
              <w:rPr/>
            </w:r>
          </w:p>
        </w:tc>
        <w:tc>
          <w:tcPr>
            <w:tcW w:w="102" w:type="dxa"/>
            <w:tcBorders/>
            <w:shd w:fill="FFFFFF" w:val="clear"/>
            <w:vAlign w:val="center"/>
          </w:tcPr>
          <w:p>
            <w:pPr>
              <w:pStyle w:val="TableContents"/>
              <w:spacing w:before="0" w:after="283"/>
              <w:rPr/>
            </w:pPr>
            <w:r>
              <w:rPr/>
              <w:t> </w:t>
            </w:r>
          </w:p>
        </w:tc>
      </w:tr>
      <w:tr>
        <w:trPr/>
        <w:tc>
          <w:tcPr>
            <w:tcW w:w="384" w:type="dxa"/>
            <w:tcBorders/>
            <w:shd w:fill="E5FFFF" w:val="clear"/>
            <w:vAlign w:val="bottom"/>
          </w:tcPr>
          <w:p>
            <w:pPr>
              <w:pStyle w:val="TableContents"/>
              <w:spacing w:before="0" w:after="283"/>
              <w:jc w:val="left"/>
              <w:rPr/>
            </w:pPr>
            <w:r>
              <w:rPr/>
              <w:t>      </w:t>
            </w:r>
          </w:p>
        </w:tc>
        <w:tc>
          <w:tcPr>
            <w:tcW w:w="6249" w:type="dxa"/>
            <w:tcBorders/>
            <w:shd w:fill="E5FFFF" w:val="clear"/>
            <w:vAlign w:val="bottom"/>
          </w:tcPr>
          <w:p>
            <w:pPr>
              <w:pStyle w:val="TableContents"/>
              <w:spacing w:before="0" w:after="283"/>
              <w:jc w:val="left"/>
              <w:rPr>
                <w:rFonts w:ascii="Arial" w:hAnsi="Arial"/>
              </w:rPr>
            </w:pPr>
            <w:r>
              <w:rPr>
                <w:rFonts w:ascii="Arial" w:hAnsi="Arial"/>
              </w:rPr>
              <w:t>Income from continuing operations before taxes</w:t>
            </w:r>
          </w:p>
        </w:tc>
        <w:tc>
          <w:tcPr>
            <w:tcW w:w="256" w:type="dxa"/>
            <w:tcBorders/>
            <w:shd w:fill="E5FFFF" w:val="clear"/>
            <w:vAlign w:val="bottom"/>
          </w:tcPr>
          <w:p>
            <w:pPr>
              <w:pStyle w:val="TableContents"/>
              <w:spacing w:before="0" w:after="283"/>
              <w:jc w:val="right"/>
              <w:rPr/>
            </w:pPr>
            <w:r>
              <w:rPr/>
              <w:t>    </w:t>
            </w:r>
          </w:p>
        </w:tc>
        <w:tc>
          <w:tcPr>
            <w:tcW w:w="166" w:type="dxa"/>
            <w:tcBorders/>
            <w:shd w:fill="E5FFFF" w:val="clear"/>
            <w:vAlign w:val="bottom"/>
          </w:tcPr>
          <w:p>
            <w:pPr>
              <w:pStyle w:val="TableContents"/>
              <w:spacing w:before="0" w:after="283"/>
              <w:jc w:val="right"/>
              <w:rPr>
                <w:rFonts w:ascii="Arial" w:hAnsi="Arial"/>
              </w:rPr>
            </w:pPr>
            <w:r>
              <w:rPr>
                <w:rFonts w:ascii="Arial" w:hAnsi="Arial"/>
              </w:rPr>
              <w:t>$</w:t>
            </w:r>
          </w:p>
        </w:tc>
        <w:tc>
          <w:tcPr>
            <w:tcW w:w="666" w:type="dxa"/>
            <w:tcBorders/>
            <w:shd w:fill="E5FFFF" w:val="clear"/>
            <w:vAlign w:val="bottom"/>
          </w:tcPr>
          <w:p>
            <w:pPr>
              <w:pStyle w:val="TableContents"/>
              <w:spacing w:before="0" w:after="283"/>
              <w:jc w:val="right"/>
              <w:rPr>
                <w:rFonts w:ascii="Arial" w:hAnsi="Arial"/>
              </w:rPr>
            </w:pPr>
            <w:r>
              <w:rPr>
                <w:rFonts w:ascii="Arial" w:hAnsi="Arial"/>
              </w:rPr>
              <w:t>2,798</w:t>
            </w:r>
          </w:p>
        </w:tc>
        <w:tc>
          <w:tcPr>
            <w:tcW w:w="102" w:type="dxa"/>
            <w:tcBorders/>
            <w:shd w:fill="E5FFFF" w:val="clear"/>
            <w:vAlign w:val="center"/>
          </w:tcPr>
          <w:p>
            <w:pPr>
              <w:pStyle w:val="TableContents"/>
              <w:spacing w:before="0" w:after="283"/>
              <w:rPr/>
            </w:pPr>
            <w:r>
              <w:rPr/>
              <w:t> </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bottom"/>
          </w:tcPr>
          <w:p>
            <w:pPr>
              <w:pStyle w:val="TableContents"/>
              <w:spacing w:before="0" w:after="283"/>
              <w:jc w:val="right"/>
              <w:rPr>
                <w:rFonts w:ascii="Arial" w:hAnsi="Arial"/>
              </w:rPr>
            </w:pPr>
            <w:r>
              <w:rPr>
                <w:rFonts w:ascii="Arial" w:hAnsi="Arial"/>
              </w:rPr>
              <w:t>$</w:t>
            </w:r>
          </w:p>
        </w:tc>
        <w:tc>
          <w:tcPr>
            <w:tcW w:w="666" w:type="dxa"/>
            <w:tcBorders/>
            <w:shd w:fill="E5FFFF" w:val="clear"/>
            <w:vAlign w:val="bottom"/>
          </w:tcPr>
          <w:p>
            <w:pPr>
              <w:pStyle w:val="TableContents"/>
              <w:spacing w:before="0" w:after="283"/>
              <w:jc w:val="right"/>
              <w:rPr>
                <w:rFonts w:ascii="Arial" w:hAnsi="Arial"/>
              </w:rPr>
            </w:pPr>
            <w:r>
              <w:rPr>
                <w:rFonts w:ascii="Arial" w:hAnsi="Arial"/>
              </w:rPr>
              <w:t>2,296</w:t>
            </w:r>
          </w:p>
        </w:tc>
        <w:tc>
          <w:tcPr>
            <w:tcW w:w="102" w:type="dxa"/>
            <w:tcBorders/>
            <w:shd w:fill="E5FFFF" w:val="clear"/>
            <w:vAlign w:val="center"/>
          </w:tcPr>
          <w:p>
            <w:pPr>
              <w:pStyle w:val="TableContents"/>
              <w:spacing w:before="0" w:after="283"/>
              <w:rPr/>
            </w:pPr>
            <w:r>
              <w:rPr/>
              <w:t> </w:t>
            </w:r>
          </w:p>
        </w:tc>
        <w:tc>
          <w:tcPr>
            <w:tcW w:w="257" w:type="dxa"/>
            <w:tcBorders/>
            <w:shd w:fill="E5FFFF" w:val="clear"/>
            <w:vAlign w:val="bottom"/>
          </w:tcPr>
          <w:p>
            <w:pPr>
              <w:pStyle w:val="TableContents"/>
              <w:spacing w:before="0" w:after="283"/>
              <w:jc w:val="right"/>
              <w:rPr/>
            </w:pPr>
            <w:r>
              <w:rPr/>
              <w:t>    </w:t>
            </w:r>
          </w:p>
        </w:tc>
        <w:tc>
          <w:tcPr>
            <w:tcW w:w="166" w:type="dxa"/>
            <w:tcBorders/>
            <w:shd w:fill="E5FFFF" w:val="clear"/>
            <w:vAlign w:val="bottom"/>
          </w:tcPr>
          <w:p>
            <w:pPr>
              <w:pStyle w:val="TableContents"/>
              <w:spacing w:before="0" w:after="283"/>
              <w:jc w:val="right"/>
              <w:rPr>
                <w:rFonts w:ascii="Arial" w:hAnsi="Arial"/>
              </w:rPr>
            </w:pPr>
            <w:r>
              <w:rPr>
                <w:rFonts w:ascii="Arial" w:hAnsi="Arial"/>
              </w:rPr>
              <w:t>$</w:t>
            </w:r>
          </w:p>
        </w:tc>
        <w:tc>
          <w:tcPr>
            <w:tcW w:w="666" w:type="dxa"/>
            <w:tcBorders/>
            <w:shd w:fill="E5FFFF" w:val="clear"/>
            <w:vAlign w:val="bottom"/>
          </w:tcPr>
          <w:p>
            <w:pPr>
              <w:pStyle w:val="TableContents"/>
              <w:spacing w:before="0" w:after="283"/>
              <w:jc w:val="right"/>
              <w:rPr>
                <w:rFonts w:ascii="Arial" w:hAnsi="Arial"/>
              </w:rPr>
            </w:pPr>
            <w:r>
              <w:rPr>
                <w:rFonts w:ascii="Arial" w:hAnsi="Arial"/>
              </w:rPr>
              <w:t>1,623</w:t>
            </w:r>
          </w:p>
        </w:tc>
        <w:tc>
          <w:tcPr>
            <w:tcW w:w="102" w:type="dxa"/>
            <w:tcBorders/>
            <w:shd w:fill="E5FFFF" w:val="clear"/>
            <w:vAlign w:val="center"/>
          </w:tcPr>
          <w:p>
            <w:pPr>
              <w:pStyle w:val="TableContents"/>
              <w:spacing w:before="0" w:after="283"/>
              <w:rPr/>
            </w:pPr>
            <w:r>
              <w:rPr/>
              <w:t> </w:t>
            </w:r>
          </w:p>
        </w:tc>
      </w:tr>
      <w:tr>
        <w:trPr/>
        <w:tc>
          <w:tcPr>
            <w:tcW w:w="384" w:type="dxa"/>
            <w:tcBorders/>
            <w:shd w:fill="FFFFFF" w:val="clear"/>
            <w:vAlign w:val="center"/>
          </w:tcPr>
          <w:p>
            <w:pPr>
              <w:pStyle w:val="TableContents"/>
              <w:spacing w:before="0" w:after="283"/>
              <w:rPr/>
            </w:pPr>
            <w:r>
              <w:rPr/>
              <w:t> </w:t>
            </w:r>
          </w:p>
        </w:tc>
        <w:tc>
          <w:tcPr>
            <w:tcW w:w="6249" w:type="dxa"/>
            <w:tcBorders/>
            <w:shd w:fill="FFFFFF" w:val="clear"/>
            <w:vAlign w:val="center"/>
          </w:tcPr>
          <w:p>
            <w:pPr>
              <w:pStyle w:val="TableContents"/>
              <w:spacing w:before="0" w:after="283"/>
              <w:rPr/>
            </w:pPr>
            <w:r>
              <w:rPr/>
              <w:t> </w:t>
            </w:r>
          </w:p>
        </w:tc>
        <w:tc>
          <w:tcPr>
            <w:tcW w:w="256"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HorizontalLine"/>
              <w:pBdr>
                <w:bottom w:val="single" w:sz="18" w:space="0" w:color="000000"/>
              </w:pBdr>
              <w:spacing w:before="0" w:after="283"/>
              <w:rPr/>
            </w:pPr>
            <w:r>
              <w:rPr/>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HorizontalLine"/>
              <w:pBdr>
                <w:bottom w:val="single" w:sz="18" w:space="0" w:color="000000"/>
              </w:pBdr>
              <w:spacing w:before="0" w:after="283"/>
              <w:rPr/>
            </w:pPr>
            <w:r>
              <w:rPr/>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bottom"/>
          </w:tcPr>
          <w:p>
            <w:pPr>
              <w:pStyle w:val="TableContents"/>
              <w:spacing w:before="0" w:after="283"/>
              <w:jc w:val="right"/>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bottom"/>
          </w:tcPr>
          <w:p>
            <w:pPr>
              <w:pStyle w:val="HorizontalLine"/>
              <w:pBdr>
                <w:bottom w:val="single" w:sz="18" w:space="0" w:color="000000"/>
              </w:pBdr>
              <w:spacing w:before="0" w:after="283"/>
              <w:rPr/>
            </w:pPr>
            <w:r>
              <w:rPr/>
            </w:r>
          </w:p>
        </w:tc>
        <w:tc>
          <w:tcPr>
            <w:tcW w:w="102" w:type="dxa"/>
            <w:tcBorders/>
            <w:shd w:fill="FFFFFF" w:val="clear"/>
            <w:vAlign w:val="center"/>
          </w:tcPr>
          <w:p>
            <w:pPr>
              <w:pStyle w:val="TableContents"/>
              <w:spacing w:before="0" w:after="283"/>
              <w:rPr/>
            </w:pPr>
            <w:r>
              <w:rPr/>
              <w:t> </w:t>
            </w:r>
          </w:p>
        </w:tc>
      </w:tr>
      <w:tr>
        <w:trPr/>
        <w:tc>
          <w:tcPr>
            <w:tcW w:w="384" w:type="dxa"/>
            <w:tcBorders/>
            <w:shd w:fill="FFFFFF" w:val="clear"/>
            <w:vAlign w:val="bottom"/>
          </w:tcPr>
          <w:p>
            <w:pPr>
              <w:pStyle w:val="TableContents"/>
              <w:spacing w:before="0" w:after="283"/>
              <w:jc w:val="left"/>
              <w:rPr/>
            </w:pPr>
            <w:r>
              <w:rPr/>
              <w:t>      </w:t>
            </w:r>
          </w:p>
        </w:tc>
        <w:tc>
          <w:tcPr>
            <w:tcW w:w="6249" w:type="dxa"/>
            <w:tcBorders/>
            <w:shd w:fill="FFFFFF" w:val="clear"/>
            <w:vAlign w:val="bottom"/>
          </w:tcPr>
          <w:p>
            <w:pPr>
              <w:pStyle w:val="TableContents"/>
              <w:spacing w:before="0" w:after="283"/>
              <w:rPr>
                <w:sz w:val="4"/>
                <w:szCs w:val="4"/>
              </w:rPr>
            </w:pPr>
            <w:r>
              <w:rPr>
                <w:sz w:val="4"/>
                <w:szCs w:val="4"/>
              </w:rPr>
            </w:r>
          </w:p>
        </w:tc>
        <w:tc>
          <w:tcPr>
            <w:tcW w:w="256"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c>
          <w:tcPr>
            <w:tcW w:w="257"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rPr/>
            </w:pPr>
            <w:r>
              <w:rPr/>
              <w:t> </w:t>
            </w:r>
          </w:p>
        </w:tc>
        <w:tc>
          <w:tcPr>
            <w:tcW w:w="666" w:type="dxa"/>
            <w:tcBorders/>
            <w:shd w:fill="FFFFFF" w:val="clear"/>
            <w:vAlign w:val="center"/>
          </w:tcPr>
          <w:p>
            <w:pPr>
              <w:pStyle w:val="TableContents"/>
              <w:spacing w:before="0" w:after="283"/>
              <w:rPr/>
            </w:pPr>
            <w:r>
              <w:rPr/>
              <w:t> </w:t>
            </w:r>
          </w:p>
        </w:tc>
        <w:tc>
          <w:tcPr>
            <w:tcW w:w="102"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93"/>
        <w:gridCol w:w="180"/>
        <w:gridCol w:w="9732"/>
      </w:tblGrid>
      <w:tr>
        <w:trPr/>
        <w:tc>
          <w:tcPr>
            <w:tcW w:w="293"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32" w:type="dxa"/>
            <w:tcBorders/>
            <w:shd w:fill="FFFFFF" w:val="clear"/>
            <w:vAlign w:val="center"/>
          </w:tcPr>
          <w:p>
            <w:pPr>
              <w:pStyle w:val="TableContents"/>
              <w:spacing w:before="0" w:after="283"/>
              <w:rPr/>
            </w:pPr>
            <w:r>
              <w:rPr/>
              <w:t> </w:t>
            </w:r>
          </w:p>
        </w:tc>
      </w:tr>
      <w:tr>
        <w:trPr/>
        <w:tc>
          <w:tcPr>
            <w:tcW w:w="293"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32" w:type="dxa"/>
            <w:tcBorders/>
            <w:shd w:fill="FFFFFF" w:val="clear"/>
            <w:vAlign w:val="bottom"/>
          </w:tcPr>
          <w:p>
            <w:pPr>
              <w:pStyle w:val="TableContents"/>
              <w:spacing w:before="0" w:after="283"/>
              <w:jc w:val="left"/>
              <w:rPr>
                <w:rFonts w:ascii="Arial" w:hAnsi="Arial"/>
              </w:rPr>
            </w:pPr>
            <w:r>
              <w:rPr>
                <w:rFonts w:ascii="Arial" w:hAnsi="Arial"/>
              </w:rPr>
              <w:t>Amounts included in cost of products and services sold and selling, general and administrative expenses.</w:t>
            </w:r>
          </w:p>
        </w:tc>
      </w:tr>
    </w:tbl>
    <w:p>
      <w:pPr>
        <w:pStyle w:val="TextBody"/>
        <w:jc w:val="left"/>
        <w:rPr>
          <w:rFonts w:ascii="Arial" w:hAnsi="Arial"/>
          <w:b/>
        </w:rPr>
      </w:pPr>
      <w:r>
        <w:rPr>
          <w:rFonts w:ascii="Arial" w:hAnsi="Arial"/>
          <w:b/>
        </w:rPr>
        <w:t>Note 24—Geographic Areas—Financial Data</w:t>
      </w:r>
    </w:p>
    <w:tbl>
      <w:tblPr>
        <w:tblW w:w="5000" w:type="pct"/>
        <w:jc w:val="left"/>
        <w:tblInd w:w="0" w:type="dxa"/>
        <w:tblCellMar>
          <w:top w:w="0" w:type="dxa"/>
          <w:left w:w="0" w:type="dxa"/>
          <w:bottom w:w="0" w:type="dxa"/>
          <w:right w:w="0" w:type="dxa"/>
        </w:tblCellMar>
      </w:tblPr>
      <w:tblGrid>
        <w:gridCol w:w="382"/>
        <w:gridCol w:w="2109"/>
        <w:gridCol w:w="255"/>
        <w:gridCol w:w="165"/>
        <w:gridCol w:w="802"/>
        <w:gridCol w:w="64"/>
        <w:gridCol w:w="255"/>
        <w:gridCol w:w="164"/>
        <w:gridCol w:w="803"/>
        <w:gridCol w:w="63"/>
        <w:gridCol w:w="255"/>
        <w:gridCol w:w="165"/>
        <w:gridCol w:w="802"/>
        <w:gridCol w:w="64"/>
        <w:gridCol w:w="255"/>
        <w:gridCol w:w="164"/>
        <w:gridCol w:w="803"/>
        <w:gridCol w:w="63"/>
        <w:gridCol w:w="255"/>
        <w:gridCol w:w="165"/>
        <w:gridCol w:w="802"/>
        <w:gridCol w:w="64"/>
        <w:gridCol w:w="255"/>
        <w:gridCol w:w="165"/>
        <w:gridCol w:w="802"/>
        <w:gridCol w:w="64"/>
      </w:tblGrid>
      <w:tr>
        <w:trPr/>
        <w:tc>
          <w:tcPr>
            <w:tcW w:w="382" w:type="dxa"/>
            <w:tcBorders/>
            <w:shd w:fill="FFFFFF" w:val="clear"/>
            <w:vAlign w:val="center"/>
          </w:tcPr>
          <w:p>
            <w:pPr>
              <w:pStyle w:val="TableContents"/>
              <w:spacing w:before="0" w:after="283"/>
              <w:rPr/>
            </w:pPr>
            <w:r>
              <w:rPr/>
              <w:t> </w:t>
            </w:r>
          </w:p>
        </w:tc>
        <w:tc>
          <w:tcPr>
            <w:tcW w:w="2109"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3602" w:type="dxa"/>
            <w:gridSpan w:val="11"/>
            <w:tcBorders/>
            <w:shd w:fill="FFFFFF" w:val="clear"/>
            <w:vAlign w:val="bottom"/>
          </w:tcPr>
          <w:p>
            <w:pPr>
              <w:pStyle w:val="TableContents"/>
              <w:spacing w:before="0" w:after="0"/>
              <w:jc w:val="center"/>
              <w:rPr>
                <w:rFonts w:ascii="Arial" w:hAnsi="Arial"/>
                <w:b/>
              </w:rPr>
            </w:pPr>
            <w:r>
              <w:rPr>
                <w:rFonts w:ascii="Arial" w:hAnsi="Arial"/>
                <w:b/>
              </w:rPr>
              <w:t>Net Sales(1)</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3602" w:type="dxa"/>
            <w:gridSpan w:val="11"/>
            <w:tcBorders/>
            <w:shd w:fill="FFFFFF" w:val="clear"/>
            <w:vAlign w:val="bottom"/>
          </w:tcPr>
          <w:p>
            <w:pPr>
              <w:pStyle w:val="TableContents"/>
              <w:spacing w:before="0" w:after="0"/>
              <w:jc w:val="center"/>
              <w:rPr>
                <w:rFonts w:ascii="Arial" w:hAnsi="Arial"/>
                <w:b/>
              </w:rPr>
            </w:pPr>
            <w:r>
              <w:rPr>
                <w:rFonts w:ascii="Arial" w:hAnsi="Arial"/>
                <w:b/>
              </w:rPr>
              <w:t>Long-lived Assets(2)</w:t>
            </w:r>
          </w:p>
          <w:p>
            <w:pPr>
              <w:pStyle w:val="HorizontalLine"/>
              <w:pBdr>
                <w:bottom w:val="single" w:sz="6" w:space="0" w:color="000000"/>
              </w:pBdr>
              <w:spacing w:before="0" w:after="283"/>
              <w:rPr/>
            </w:pPr>
            <w:r>
              <w:rPr/>
            </w:r>
          </w:p>
        </w:tc>
      </w:tr>
      <w:tr>
        <w:trPr/>
        <w:tc>
          <w:tcPr>
            <w:tcW w:w="382" w:type="dxa"/>
            <w:tcBorders/>
            <w:shd w:fill="FFFFFF" w:val="clear"/>
            <w:vAlign w:val="center"/>
          </w:tcPr>
          <w:p>
            <w:pPr>
              <w:pStyle w:val="TableContents"/>
              <w:spacing w:before="0" w:after="283"/>
              <w:rPr/>
            </w:pPr>
            <w:r>
              <w:rPr/>
              <w:t> </w:t>
            </w:r>
          </w:p>
        </w:tc>
        <w:tc>
          <w:tcPr>
            <w:tcW w:w="2109"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3602"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3602"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382" w:type="dxa"/>
            <w:tcBorders/>
            <w:shd w:fill="FFFFFF" w:val="clear"/>
            <w:vAlign w:val="center"/>
          </w:tcPr>
          <w:p>
            <w:pPr>
              <w:pStyle w:val="TableContents"/>
              <w:spacing w:before="0" w:after="283"/>
              <w:rPr/>
            </w:pPr>
            <w:r>
              <w:rPr/>
              <w:t> </w:t>
            </w:r>
          </w:p>
        </w:tc>
        <w:tc>
          <w:tcPr>
            <w:tcW w:w="2109"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031"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3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3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3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31"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255" w:type="dxa"/>
            <w:tcBorders/>
            <w:shd w:fill="FFFFFF" w:val="clear"/>
            <w:vAlign w:val="center"/>
          </w:tcPr>
          <w:p>
            <w:pPr>
              <w:pStyle w:val="TableContents"/>
              <w:spacing w:before="0" w:after="283"/>
              <w:rPr/>
            </w:pPr>
            <w:r>
              <w:rPr/>
              <w:t> </w:t>
            </w:r>
          </w:p>
        </w:tc>
        <w:tc>
          <w:tcPr>
            <w:tcW w:w="1031"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382" w:type="dxa"/>
            <w:tcBorders/>
            <w:shd w:fill="FFFFFF" w:val="clear"/>
            <w:vAlign w:val="bottom"/>
          </w:tcPr>
          <w:p>
            <w:pPr>
              <w:pStyle w:val="TableContents"/>
              <w:spacing w:before="0" w:after="283"/>
              <w:jc w:val="left"/>
              <w:rPr/>
            </w:pPr>
            <w:r>
              <w:rPr/>
              <w:t>      </w:t>
            </w:r>
          </w:p>
        </w:tc>
        <w:tc>
          <w:tcPr>
            <w:tcW w:w="2109" w:type="dxa"/>
            <w:tcBorders/>
            <w:shd w:fill="FFFFFF" w:val="clear"/>
            <w:vAlign w:val="bottom"/>
          </w:tcPr>
          <w:p>
            <w:pPr>
              <w:pStyle w:val="TableContents"/>
              <w:spacing w:before="0" w:after="283"/>
              <w:jc w:val="left"/>
              <w:rPr>
                <w:rFonts w:ascii="Arial" w:hAnsi="Arial"/>
              </w:rPr>
            </w:pPr>
            <w:r>
              <w:rPr>
                <w:rFonts w:ascii="Arial" w:hAnsi="Arial"/>
              </w:rPr>
              <w:t>United States</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19,821</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803" w:type="dxa"/>
            <w:tcBorders/>
            <w:shd w:fill="FFFFFF" w:val="clear"/>
            <w:vAlign w:val="bottom"/>
          </w:tcPr>
          <w:p>
            <w:pPr>
              <w:pStyle w:val="TableContents"/>
              <w:spacing w:before="0" w:after="283"/>
              <w:jc w:val="right"/>
              <w:rPr>
                <w:rFonts w:ascii="Arial" w:hAnsi="Arial"/>
              </w:rPr>
            </w:pPr>
            <w:r>
              <w:rPr>
                <w:rFonts w:ascii="Arial" w:hAnsi="Arial"/>
              </w:rPr>
              <w:t>17,956</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16,625</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803" w:type="dxa"/>
            <w:tcBorders/>
            <w:shd w:fill="FFFFFF" w:val="clear"/>
            <w:vAlign w:val="bottom"/>
          </w:tcPr>
          <w:p>
            <w:pPr>
              <w:pStyle w:val="TableContents"/>
              <w:spacing w:before="0" w:after="283"/>
              <w:jc w:val="right"/>
              <w:rPr>
                <w:rFonts w:ascii="Arial" w:hAnsi="Arial"/>
              </w:rPr>
            </w:pPr>
            <w:r>
              <w:rPr>
                <w:rFonts w:ascii="Arial" w:hAnsi="Arial"/>
              </w:rPr>
              <w:t>11,438</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10,842</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8,307</w:t>
            </w:r>
          </w:p>
        </w:tc>
        <w:tc>
          <w:tcPr>
            <w:tcW w:w="64" w:type="dxa"/>
            <w:tcBorders/>
            <w:shd w:fill="FFFFFF" w:val="clear"/>
            <w:vAlign w:val="center"/>
          </w:tcPr>
          <w:p>
            <w:pPr>
              <w:pStyle w:val="TableContents"/>
              <w:spacing w:before="0" w:after="283"/>
              <w:rPr/>
            </w:pPr>
            <w:r>
              <w:rPr/>
              <w:t> </w:t>
            </w:r>
          </w:p>
        </w:tc>
      </w:tr>
      <w:tr>
        <w:trPr/>
        <w:tc>
          <w:tcPr>
            <w:tcW w:w="382" w:type="dxa"/>
            <w:tcBorders/>
            <w:shd w:fill="E5FFFF" w:val="clear"/>
            <w:vAlign w:val="bottom"/>
          </w:tcPr>
          <w:p>
            <w:pPr>
              <w:pStyle w:val="TableContents"/>
              <w:spacing w:before="0" w:after="283"/>
              <w:jc w:val="left"/>
              <w:rPr/>
            </w:pPr>
            <w:r>
              <w:rPr/>
              <w:t>      </w:t>
            </w:r>
          </w:p>
        </w:tc>
        <w:tc>
          <w:tcPr>
            <w:tcW w:w="2109" w:type="dxa"/>
            <w:tcBorders/>
            <w:shd w:fill="E5FFFF" w:val="clear"/>
            <w:vAlign w:val="bottom"/>
          </w:tcPr>
          <w:p>
            <w:pPr>
              <w:pStyle w:val="TableContents"/>
              <w:spacing w:before="0" w:after="283"/>
              <w:jc w:val="left"/>
              <w:rPr>
                <w:rFonts w:ascii="Arial" w:hAnsi="Arial"/>
              </w:rPr>
            </w:pPr>
            <w:r>
              <w:rPr>
                <w:rFonts w:ascii="Arial" w:hAnsi="Arial"/>
              </w:rPr>
              <w:t>Europe</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TableContents"/>
              <w:spacing w:before="0" w:after="283"/>
              <w:jc w:val="right"/>
              <w:rPr>
                <w:rFonts w:ascii="Arial" w:hAnsi="Arial"/>
              </w:rPr>
            </w:pPr>
            <w:r>
              <w:rPr>
                <w:rFonts w:ascii="Arial" w:hAnsi="Arial"/>
              </w:rPr>
              <w:t>7,781</w:t>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803" w:type="dxa"/>
            <w:tcBorders/>
            <w:shd w:fill="E5FFFF" w:val="clear"/>
            <w:vAlign w:val="bottom"/>
          </w:tcPr>
          <w:p>
            <w:pPr>
              <w:pStyle w:val="TableContents"/>
              <w:spacing w:before="0" w:after="283"/>
              <w:jc w:val="right"/>
              <w:rPr>
                <w:rFonts w:ascii="Arial" w:hAnsi="Arial"/>
              </w:rPr>
            </w:pPr>
            <w:r>
              <w:rPr>
                <w:rFonts w:ascii="Arial" w:hAnsi="Arial"/>
              </w:rPr>
              <w:t>6,552</w:t>
            </w:r>
          </w:p>
        </w:tc>
        <w:tc>
          <w:tcPr>
            <w:tcW w:w="63"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TableContents"/>
              <w:spacing w:before="0" w:after="283"/>
              <w:jc w:val="right"/>
              <w:rPr>
                <w:rFonts w:ascii="Arial" w:hAnsi="Arial"/>
              </w:rPr>
            </w:pPr>
            <w:r>
              <w:rPr>
                <w:rFonts w:ascii="Arial" w:hAnsi="Arial"/>
              </w:rPr>
              <w:t>6,097</w:t>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803" w:type="dxa"/>
            <w:tcBorders/>
            <w:shd w:fill="E5FFFF" w:val="clear"/>
            <w:vAlign w:val="bottom"/>
          </w:tcPr>
          <w:p>
            <w:pPr>
              <w:pStyle w:val="TableContents"/>
              <w:spacing w:before="0" w:after="283"/>
              <w:jc w:val="right"/>
              <w:rPr>
                <w:rFonts w:ascii="Arial" w:hAnsi="Arial"/>
              </w:rPr>
            </w:pPr>
            <w:r>
              <w:rPr>
                <w:rFonts w:ascii="Arial" w:hAnsi="Arial"/>
              </w:rPr>
              <w:t>2,161</w:t>
            </w:r>
          </w:p>
        </w:tc>
        <w:tc>
          <w:tcPr>
            <w:tcW w:w="63"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TableContents"/>
              <w:spacing w:before="0" w:after="283"/>
              <w:jc w:val="right"/>
              <w:rPr>
                <w:rFonts w:ascii="Arial" w:hAnsi="Arial"/>
              </w:rPr>
            </w:pPr>
            <w:r>
              <w:rPr>
                <w:rFonts w:ascii="Arial" w:hAnsi="Arial"/>
              </w:rPr>
              <w:t>1,958</w:t>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TableContents"/>
              <w:spacing w:before="0" w:after="283"/>
              <w:jc w:val="right"/>
              <w:rPr>
                <w:rFonts w:ascii="Arial" w:hAnsi="Arial"/>
              </w:rPr>
            </w:pPr>
            <w:r>
              <w:rPr>
                <w:rFonts w:ascii="Arial" w:hAnsi="Arial"/>
              </w:rPr>
              <w:t>2,044</w:t>
            </w:r>
          </w:p>
        </w:tc>
        <w:tc>
          <w:tcPr>
            <w:tcW w:w="64" w:type="dxa"/>
            <w:tcBorders/>
            <w:shd w:fill="E5FFFF" w:val="clear"/>
            <w:vAlign w:val="center"/>
          </w:tcPr>
          <w:p>
            <w:pPr>
              <w:pStyle w:val="TableContents"/>
              <w:spacing w:before="0" w:after="283"/>
              <w:rPr/>
            </w:pPr>
            <w:r>
              <w:rPr/>
              <w:t> </w:t>
            </w:r>
          </w:p>
        </w:tc>
      </w:tr>
      <w:tr>
        <w:trPr/>
        <w:tc>
          <w:tcPr>
            <w:tcW w:w="382" w:type="dxa"/>
            <w:tcBorders/>
            <w:shd w:fill="FFFFFF" w:val="clear"/>
            <w:vAlign w:val="bottom"/>
          </w:tcPr>
          <w:p>
            <w:pPr>
              <w:pStyle w:val="TableContents"/>
              <w:spacing w:before="0" w:after="283"/>
              <w:jc w:val="left"/>
              <w:rPr/>
            </w:pPr>
            <w:r>
              <w:rPr/>
              <w:t>      </w:t>
            </w:r>
          </w:p>
        </w:tc>
        <w:tc>
          <w:tcPr>
            <w:tcW w:w="2109" w:type="dxa"/>
            <w:tcBorders/>
            <w:shd w:fill="FFFFFF" w:val="clear"/>
            <w:vAlign w:val="bottom"/>
          </w:tcPr>
          <w:p>
            <w:pPr>
              <w:pStyle w:val="TableContents"/>
              <w:spacing w:before="0" w:after="283"/>
              <w:jc w:val="left"/>
              <w:rPr>
                <w:rFonts w:ascii="Arial" w:hAnsi="Arial"/>
              </w:rPr>
            </w:pPr>
            <w:r>
              <w:rPr>
                <w:rFonts w:ascii="Arial" w:hAnsi="Arial"/>
              </w:rPr>
              <w:t>Other International</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bottom"/>
          </w:tcPr>
          <w:p>
            <w:pPr>
              <w:pStyle w:val="TableContents"/>
              <w:spacing w:before="0" w:after="283"/>
              <w:jc w:val="right"/>
              <w:rPr>
                <w:rFonts w:ascii="Arial" w:hAnsi="Arial"/>
              </w:rPr>
            </w:pPr>
            <w:r>
              <w:rPr>
                <w:rFonts w:ascii="Arial" w:hAnsi="Arial"/>
              </w:rPr>
              <w:t>3,765</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803" w:type="dxa"/>
            <w:tcBorders/>
            <w:shd w:fill="FFFFFF" w:val="clear"/>
            <w:vAlign w:val="bottom"/>
          </w:tcPr>
          <w:p>
            <w:pPr>
              <w:pStyle w:val="TableContents"/>
              <w:spacing w:before="0" w:after="283"/>
              <w:jc w:val="right"/>
              <w:rPr>
                <w:rFonts w:ascii="Arial" w:hAnsi="Arial"/>
              </w:rPr>
            </w:pPr>
            <w:r>
              <w:rPr>
                <w:rFonts w:ascii="Arial" w:hAnsi="Arial"/>
              </w:rPr>
              <w:t>3,144</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bottom"/>
          </w:tcPr>
          <w:p>
            <w:pPr>
              <w:pStyle w:val="TableContents"/>
              <w:spacing w:before="0" w:after="283"/>
              <w:jc w:val="right"/>
              <w:rPr>
                <w:rFonts w:ascii="Arial" w:hAnsi="Arial"/>
              </w:rPr>
            </w:pPr>
            <w:r>
              <w:rPr>
                <w:rFonts w:ascii="Arial" w:hAnsi="Arial"/>
              </w:rPr>
              <w:t>2,871</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center"/>
          </w:tcPr>
          <w:p>
            <w:pPr>
              <w:pStyle w:val="TableContents"/>
              <w:spacing w:before="0" w:after="283"/>
              <w:rPr/>
            </w:pPr>
            <w:r>
              <w:rPr/>
              <w:t> </w:t>
            </w:r>
          </w:p>
        </w:tc>
        <w:tc>
          <w:tcPr>
            <w:tcW w:w="803" w:type="dxa"/>
            <w:tcBorders/>
            <w:shd w:fill="FFFFFF" w:val="clear"/>
            <w:vAlign w:val="bottom"/>
          </w:tcPr>
          <w:p>
            <w:pPr>
              <w:pStyle w:val="TableContents"/>
              <w:spacing w:before="0" w:after="283"/>
              <w:jc w:val="right"/>
              <w:rPr>
                <w:rFonts w:ascii="Arial" w:hAnsi="Arial"/>
              </w:rPr>
            </w:pPr>
            <w:r>
              <w:rPr>
                <w:rFonts w:ascii="Arial" w:hAnsi="Arial"/>
              </w:rPr>
              <w:t>848</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bottom"/>
          </w:tcPr>
          <w:p>
            <w:pPr>
              <w:pStyle w:val="TableContents"/>
              <w:spacing w:before="0" w:after="283"/>
              <w:jc w:val="right"/>
              <w:rPr>
                <w:rFonts w:ascii="Arial" w:hAnsi="Arial"/>
              </w:rPr>
            </w:pPr>
            <w:r>
              <w:rPr>
                <w:rFonts w:ascii="Arial" w:hAnsi="Arial"/>
              </w:rPr>
              <w:t>691</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bottom"/>
          </w:tcPr>
          <w:p>
            <w:pPr>
              <w:pStyle w:val="TableContents"/>
              <w:spacing w:before="0" w:after="283"/>
              <w:jc w:val="right"/>
              <w:rPr>
                <w:rFonts w:ascii="Arial" w:hAnsi="Arial"/>
              </w:rPr>
            </w:pPr>
            <w:r>
              <w:rPr>
                <w:rFonts w:ascii="Arial" w:hAnsi="Arial"/>
              </w:rPr>
              <w:t>458</w:t>
            </w:r>
          </w:p>
        </w:tc>
        <w:tc>
          <w:tcPr>
            <w:tcW w:w="64" w:type="dxa"/>
            <w:tcBorders/>
            <w:shd w:fill="FFFFFF" w:val="clear"/>
            <w:vAlign w:val="center"/>
          </w:tcPr>
          <w:p>
            <w:pPr>
              <w:pStyle w:val="TableContents"/>
              <w:spacing w:before="0" w:after="283"/>
              <w:rPr/>
            </w:pPr>
            <w:r>
              <w:rPr/>
              <w:t> </w:t>
            </w:r>
          </w:p>
        </w:tc>
      </w:tr>
      <w:tr>
        <w:trPr/>
        <w:tc>
          <w:tcPr>
            <w:tcW w:w="382" w:type="dxa"/>
            <w:tcBorders/>
            <w:shd w:fill="E5FFFF" w:val="clear"/>
            <w:vAlign w:val="center"/>
          </w:tcPr>
          <w:p>
            <w:pPr>
              <w:pStyle w:val="TableContents"/>
              <w:spacing w:before="0" w:after="283"/>
              <w:rPr/>
            </w:pPr>
            <w:r>
              <w:rPr/>
              <w:t> </w:t>
            </w:r>
          </w:p>
        </w:tc>
        <w:tc>
          <w:tcPr>
            <w:tcW w:w="2109"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6" w:space="0" w:color="000000"/>
              </w:pBdr>
              <w:spacing w:before="0" w:after="283"/>
              <w:rPr/>
            </w:pPr>
            <w:r>
              <w:rPr/>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803" w:type="dxa"/>
            <w:tcBorders/>
            <w:shd w:fill="E5FFFF" w:val="clear"/>
            <w:vAlign w:val="bottom"/>
          </w:tcPr>
          <w:p>
            <w:pPr>
              <w:pStyle w:val="HorizontalLine"/>
              <w:pBdr>
                <w:bottom w:val="single" w:sz="6" w:space="0" w:color="000000"/>
              </w:pBdr>
              <w:spacing w:before="0" w:after="283"/>
              <w:rPr/>
            </w:pPr>
            <w:r>
              <w:rPr/>
            </w:r>
          </w:p>
        </w:tc>
        <w:tc>
          <w:tcPr>
            <w:tcW w:w="63"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6" w:space="0" w:color="000000"/>
              </w:pBdr>
              <w:spacing w:before="0" w:after="283"/>
              <w:rPr/>
            </w:pPr>
            <w:r>
              <w:rPr/>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803" w:type="dxa"/>
            <w:tcBorders/>
            <w:shd w:fill="E5FFFF" w:val="clear"/>
            <w:vAlign w:val="bottom"/>
          </w:tcPr>
          <w:p>
            <w:pPr>
              <w:pStyle w:val="HorizontalLine"/>
              <w:pBdr>
                <w:bottom w:val="single" w:sz="6" w:space="0" w:color="000000"/>
              </w:pBdr>
              <w:spacing w:before="0" w:after="283"/>
              <w:rPr/>
            </w:pPr>
            <w:r>
              <w:rPr/>
            </w:r>
          </w:p>
        </w:tc>
        <w:tc>
          <w:tcPr>
            <w:tcW w:w="63"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6" w:space="0" w:color="000000"/>
              </w:pBdr>
              <w:spacing w:before="0" w:after="283"/>
              <w:rPr/>
            </w:pPr>
            <w:r>
              <w:rPr/>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6" w:space="0" w:color="000000"/>
              </w:pBdr>
              <w:spacing w:before="0" w:after="283"/>
              <w:rPr/>
            </w:pPr>
            <w:r>
              <w:rPr/>
            </w:r>
          </w:p>
        </w:tc>
        <w:tc>
          <w:tcPr>
            <w:tcW w:w="64" w:type="dxa"/>
            <w:tcBorders/>
            <w:shd w:fill="E5FFFF" w:val="clear"/>
            <w:vAlign w:val="center"/>
          </w:tcPr>
          <w:p>
            <w:pPr>
              <w:pStyle w:val="TableContents"/>
              <w:spacing w:before="0" w:after="283"/>
              <w:rPr/>
            </w:pPr>
            <w:r>
              <w:rPr/>
              <w:t> </w:t>
            </w:r>
          </w:p>
        </w:tc>
      </w:tr>
      <w:tr>
        <w:trPr/>
        <w:tc>
          <w:tcPr>
            <w:tcW w:w="382" w:type="dxa"/>
            <w:tcBorders/>
            <w:shd w:fill="FFFFFF" w:val="clear"/>
            <w:vAlign w:val="center"/>
          </w:tcPr>
          <w:p>
            <w:pPr>
              <w:pStyle w:val="TableContents"/>
              <w:spacing w:before="0" w:after="283"/>
              <w:rPr/>
            </w:pPr>
            <w:r>
              <w:rPr/>
              <w:t> </w:t>
            </w:r>
          </w:p>
        </w:tc>
        <w:tc>
          <w:tcPr>
            <w:tcW w:w="2109"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31,367</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803" w:type="dxa"/>
            <w:tcBorders/>
            <w:shd w:fill="FFFFFF" w:val="clear"/>
            <w:vAlign w:val="bottom"/>
          </w:tcPr>
          <w:p>
            <w:pPr>
              <w:pStyle w:val="TableContents"/>
              <w:spacing w:before="0" w:after="283"/>
              <w:jc w:val="right"/>
              <w:rPr>
                <w:rFonts w:ascii="Arial" w:hAnsi="Arial"/>
              </w:rPr>
            </w:pPr>
            <w:r>
              <w:rPr>
                <w:rFonts w:ascii="Arial" w:hAnsi="Arial"/>
              </w:rPr>
              <w:t>27,652</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25,593</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right"/>
              <w:rPr>
                <w:rFonts w:ascii="Arial" w:hAnsi="Arial"/>
              </w:rPr>
            </w:pPr>
            <w:r>
              <w:rPr>
                <w:rFonts w:ascii="Arial" w:hAnsi="Arial"/>
              </w:rPr>
              <w:t>$</w:t>
            </w:r>
          </w:p>
        </w:tc>
        <w:tc>
          <w:tcPr>
            <w:tcW w:w="803" w:type="dxa"/>
            <w:tcBorders/>
            <w:shd w:fill="FFFFFF" w:val="clear"/>
            <w:vAlign w:val="bottom"/>
          </w:tcPr>
          <w:p>
            <w:pPr>
              <w:pStyle w:val="TableContents"/>
              <w:spacing w:before="0" w:after="283"/>
              <w:jc w:val="right"/>
              <w:rPr>
                <w:rFonts w:ascii="Arial" w:hAnsi="Arial"/>
              </w:rPr>
            </w:pPr>
            <w:r>
              <w:rPr>
                <w:rFonts w:ascii="Arial" w:hAnsi="Arial"/>
              </w:rPr>
              <w:t>14,447</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13,491</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bottom"/>
          </w:tcPr>
          <w:p>
            <w:pPr>
              <w:pStyle w:val="TableContents"/>
              <w:spacing w:before="0" w:after="283"/>
              <w:jc w:val="right"/>
              <w:rPr/>
            </w:pPr>
            <w:r>
              <w:rPr/>
              <w:t>    </w:t>
            </w:r>
          </w:p>
        </w:tc>
        <w:tc>
          <w:tcPr>
            <w:tcW w:w="165" w:type="dxa"/>
            <w:tcBorders/>
            <w:shd w:fill="FFFFFF" w:val="clear"/>
            <w:vAlign w:val="bottom"/>
          </w:tcPr>
          <w:p>
            <w:pPr>
              <w:pStyle w:val="TableContents"/>
              <w:spacing w:before="0" w:after="283"/>
              <w:jc w:val="right"/>
              <w:rPr>
                <w:rFonts w:ascii="Arial" w:hAnsi="Arial"/>
              </w:rPr>
            </w:pPr>
            <w:r>
              <w:rPr>
                <w:rFonts w:ascii="Arial" w:hAnsi="Arial"/>
              </w:rPr>
              <w:t>$</w:t>
            </w:r>
          </w:p>
        </w:tc>
        <w:tc>
          <w:tcPr>
            <w:tcW w:w="802" w:type="dxa"/>
            <w:tcBorders/>
            <w:shd w:fill="FFFFFF" w:val="clear"/>
            <w:vAlign w:val="bottom"/>
          </w:tcPr>
          <w:p>
            <w:pPr>
              <w:pStyle w:val="TableContents"/>
              <w:spacing w:before="0" w:after="283"/>
              <w:jc w:val="right"/>
              <w:rPr>
                <w:rFonts w:ascii="Arial" w:hAnsi="Arial"/>
              </w:rPr>
            </w:pPr>
            <w:r>
              <w:rPr>
                <w:rFonts w:ascii="Arial" w:hAnsi="Arial"/>
              </w:rPr>
              <w:t>10,809</w:t>
            </w:r>
          </w:p>
        </w:tc>
        <w:tc>
          <w:tcPr>
            <w:tcW w:w="64" w:type="dxa"/>
            <w:tcBorders/>
            <w:shd w:fill="FFFFFF" w:val="clear"/>
            <w:vAlign w:val="center"/>
          </w:tcPr>
          <w:p>
            <w:pPr>
              <w:pStyle w:val="TableContents"/>
              <w:spacing w:before="0" w:after="283"/>
              <w:rPr/>
            </w:pPr>
            <w:r>
              <w:rPr/>
              <w:t> </w:t>
            </w:r>
          </w:p>
        </w:tc>
      </w:tr>
      <w:tr>
        <w:trPr/>
        <w:tc>
          <w:tcPr>
            <w:tcW w:w="382" w:type="dxa"/>
            <w:tcBorders/>
            <w:shd w:fill="E5FFFF" w:val="clear"/>
            <w:vAlign w:val="center"/>
          </w:tcPr>
          <w:p>
            <w:pPr>
              <w:pStyle w:val="TableContents"/>
              <w:spacing w:before="0" w:after="283"/>
              <w:rPr/>
            </w:pPr>
            <w:r>
              <w:rPr/>
              <w:t> </w:t>
            </w:r>
          </w:p>
        </w:tc>
        <w:tc>
          <w:tcPr>
            <w:tcW w:w="2109"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18" w:space="0" w:color="000000"/>
              </w:pBdr>
              <w:spacing w:before="0" w:after="283"/>
              <w:rPr/>
            </w:pPr>
            <w:r>
              <w:rPr/>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803" w:type="dxa"/>
            <w:tcBorders/>
            <w:shd w:fill="E5FFFF" w:val="clear"/>
            <w:vAlign w:val="bottom"/>
          </w:tcPr>
          <w:p>
            <w:pPr>
              <w:pStyle w:val="HorizontalLine"/>
              <w:pBdr>
                <w:bottom w:val="single" w:sz="18" w:space="0" w:color="000000"/>
              </w:pBdr>
              <w:spacing w:before="0" w:after="283"/>
              <w:rPr/>
            </w:pPr>
            <w:r>
              <w:rPr/>
            </w:r>
          </w:p>
        </w:tc>
        <w:tc>
          <w:tcPr>
            <w:tcW w:w="63"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18" w:space="0" w:color="000000"/>
              </w:pBdr>
              <w:spacing w:before="0" w:after="283"/>
              <w:rPr/>
            </w:pPr>
            <w:r>
              <w:rPr/>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4" w:type="dxa"/>
            <w:tcBorders/>
            <w:shd w:fill="E5FFFF" w:val="clear"/>
            <w:vAlign w:val="center"/>
          </w:tcPr>
          <w:p>
            <w:pPr>
              <w:pStyle w:val="TableContents"/>
              <w:spacing w:before="0" w:after="283"/>
              <w:rPr/>
            </w:pPr>
            <w:r>
              <w:rPr/>
              <w:t> </w:t>
            </w:r>
          </w:p>
        </w:tc>
        <w:tc>
          <w:tcPr>
            <w:tcW w:w="803" w:type="dxa"/>
            <w:tcBorders/>
            <w:shd w:fill="E5FFFF" w:val="clear"/>
            <w:vAlign w:val="bottom"/>
          </w:tcPr>
          <w:p>
            <w:pPr>
              <w:pStyle w:val="HorizontalLine"/>
              <w:pBdr>
                <w:bottom w:val="single" w:sz="18" w:space="0" w:color="000000"/>
              </w:pBdr>
              <w:spacing w:before="0" w:after="283"/>
              <w:rPr/>
            </w:pPr>
            <w:r>
              <w:rPr/>
            </w:r>
          </w:p>
        </w:tc>
        <w:tc>
          <w:tcPr>
            <w:tcW w:w="63"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18" w:space="0" w:color="000000"/>
              </w:pBdr>
              <w:spacing w:before="0" w:after="283"/>
              <w:rPr/>
            </w:pPr>
            <w:r>
              <w:rPr/>
            </w:r>
          </w:p>
        </w:tc>
        <w:tc>
          <w:tcPr>
            <w:tcW w:w="64" w:type="dxa"/>
            <w:tcBorders/>
            <w:shd w:fill="E5FFFF" w:val="clear"/>
            <w:vAlign w:val="center"/>
          </w:tcPr>
          <w:p>
            <w:pPr>
              <w:pStyle w:val="TableContents"/>
              <w:spacing w:before="0" w:after="283"/>
              <w:rPr/>
            </w:pPr>
            <w:r>
              <w:rPr/>
              <w:t> </w:t>
            </w:r>
          </w:p>
        </w:tc>
        <w:tc>
          <w:tcPr>
            <w:tcW w:w="255" w:type="dxa"/>
            <w:tcBorders/>
            <w:shd w:fill="E5FFFF" w:val="clear"/>
            <w:vAlign w:val="bottom"/>
          </w:tcPr>
          <w:p>
            <w:pPr>
              <w:pStyle w:val="TableContents"/>
              <w:spacing w:before="0" w:after="283"/>
              <w:jc w:val="right"/>
              <w:rPr/>
            </w:pPr>
            <w:r>
              <w:rPr/>
              <w:t>    </w:t>
            </w:r>
          </w:p>
        </w:tc>
        <w:tc>
          <w:tcPr>
            <w:tcW w:w="165" w:type="dxa"/>
            <w:tcBorders/>
            <w:shd w:fill="E5FFFF" w:val="clear"/>
            <w:vAlign w:val="center"/>
          </w:tcPr>
          <w:p>
            <w:pPr>
              <w:pStyle w:val="TableContents"/>
              <w:spacing w:before="0" w:after="283"/>
              <w:rPr/>
            </w:pPr>
            <w:r>
              <w:rPr/>
              <w:t> </w:t>
            </w:r>
          </w:p>
        </w:tc>
        <w:tc>
          <w:tcPr>
            <w:tcW w:w="802" w:type="dxa"/>
            <w:tcBorders/>
            <w:shd w:fill="E5FFFF" w:val="clear"/>
            <w:vAlign w:val="bottom"/>
          </w:tcPr>
          <w:p>
            <w:pPr>
              <w:pStyle w:val="HorizontalLine"/>
              <w:pBdr>
                <w:bottom w:val="single" w:sz="18" w:space="0" w:color="000000"/>
              </w:pBdr>
              <w:spacing w:before="0" w:after="283"/>
              <w:rPr/>
            </w:pPr>
            <w:r>
              <w:rPr/>
            </w:r>
          </w:p>
        </w:tc>
        <w:tc>
          <w:tcPr>
            <w:tcW w:w="64" w:type="dxa"/>
            <w:tcBorders/>
            <w:shd w:fill="E5FFFF" w:val="clear"/>
            <w:vAlign w:val="center"/>
          </w:tcPr>
          <w:p>
            <w:pPr>
              <w:pStyle w:val="TableContents"/>
              <w:spacing w:before="0" w:after="283"/>
              <w:rPr/>
            </w:pPr>
            <w:r>
              <w:rPr/>
              <w:t> </w:t>
            </w:r>
          </w:p>
        </w:tc>
      </w:tr>
      <w:tr>
        <w:trPr/>
        <w:tc>
          <w:tcPr>
            <w:tcW w:w="382" w:type="dxa"/>
            <w:tcBorders/>
            <w:shd w:fill="FFFFFF" w:val="clear"/>
            <w:vAlign w:val="bottom"/>
          </w:tcPr>
          <w:p>
            <w:pPr>
              <w:pStyle w:val="TableContents"/>
              <w:spacing w:before="0" w:after="283"/>
              <w:jc w:val="left"/>
              <w:rPr/>
            </w:pPr>
            <w:r>
              <w:rPr/>
              <w:t>      </w:t>
            </w:r>
          </w:p>
        </w:tc>
        <w:tc>
          <w:tcPr>
            <w:tcW w:w="2109" w:type="dxa"/>
            <w:tcBorders/>
            <w:shd w:fill="FFFFFF" w:val="clear"/>
            <w:vAlign w:val="bottom"/>
          </w:tcPr>
          <w:p>
            <w:pPr>
              <w:pStyle w:val="TableContents"/>
              <w:spacing w:before="0" w:after="283"/>
              <w:rPr>
                <w:sz w:val="4"/>
                <w:szCs w:val="4"/>
              </w:rPr>
            </w:pPr>
            <w:r>
              <w:rPr>
                <w:sz w:val="4"/>
                <w:szCs w:val="4"/>
              </w:rPr>
            </w:r>
          </w:p>
        </w:tc>
        <w:tc>
          <w:tcPr>
            <w:tcW w:w="255"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0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803"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c>
          <w:tcPr>
            <w:tcW w:w="255"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02"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53"/>
        <w:gridCol w:w="180"/>
        <w:gridCol w:w="9772"/>
      </w:tblGrid>
      <w:tr>
        <w:trPr/>
        <w:tc>
          <w:tcPr>
            <w:tcW w:w="253"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72" w:type="dxa"/>
            <w:tcBorders/>
            <w:shd w:fill="FFFFFF" w:val="clear"/>
            <w:vAlign w:val="center"/>
          </w:tcPr>
          <w:p>
            <w:pPr>
              <w:pStyle w:val="TableContents"/>
              <w:spacing w:before="0" w:after="283"/>
              <w:rPr/>
            </w:pPr>
            <w:r>
              <w:rPr/>
              <w:t> </w:t>
            </w:r>
          </w:p>
        </w:tc>
      </w:tr>
      <w:tr>
        <w:trPr/>
        <w:tc>
          <w:tcPr>
            <w:tcW w:w="253" w:type="dxa"/>
            <w:tcBorders/>
            <w:shd w:fill="FFFFFF" w:val="clear"/>
          </w:tcPr>
          <w:p>
            <w:pPr>
              <w:pStyle w:val="TableContents"/>
              <w:spacing w:before="0" w:after="283"/>
              <w:jc w:val="right"/>
              <w:rPr>
                <w:rFonts w:ascii="Arial" w:hAnsi="Arial"/>
              </w:rPr>
            </w:pPr>
            <w:r>
              <w:rPr>
                <w:rFonts w:ascii="Arial" w:hAnsi="Arial"/>
              </w:rPr>
              <w:t>(1)</w:t>
            </w:r>
          </w:p>
        </w:tc>
        <w:tc>
          <w:tcPr>
            <w:tcW w:w="180" w:type="dxa"/>
            <w:tcBorders/>
            <w:shd w:fill="FFFFFF" w:val="clear"/>
            <w:vAlign w:val="bottom"/>
          </w:tcPr>
          <w:p>
            <w:pPr>
              <w:pStyle w:val="TableContents"/>
              <w:spacing w:before="0" w:after="283"/>
              <w:jc w:val="left"/>
              <w:rPr/>
            </w:pPr>
            <w:r>
              <w:rPr/>
              <w:t>   </w:t>
            </w:r>
          </w:p>
        </w:tc>
        <w:tc>
          <w:tcPr>
            <w:tcW w:w="9772" w:type="dxa"/>
            <w:tcBorders/>
            <w:shd w:fill="FFFFFF" w:val="clear"/>
            <w:vAlign w:val="bottom"/>
          </w:tcPr>
          <w:p>
            <w:pPr>
              <w:pStyle w:val="TableContents"/>
              <w:spacing w:before="0" w:after="283"/>
              <w:jc w:val="left"/>
              <w:rPr/>
            </w:pPr>
            <w:r>
              <w:rPr>
                <w:rFonts w:ascii="Arial" w:hAnsi="Arial"/>
              </w:rPr>
              <w:t>Sales between geographic areas approximate market and are not significant. Net sales are classified according to their country of origin. Included in United States net sales are export sales</w:t>
            </w:r>
            <w:r>
              <w:rPr/>
              <w:t xml:space="preserve"> </w:t>
            </w:r>
            <w:r>
              <w:rPr>
                <w:rFonts w:ascii="Arial" w:hAnsi="Arial"/>
              </w:rPr>
              <w:t>of $3,493, $2,780 and $2,399 million in 2006, 2005 and 2004, respectively.</w:t>
            </w:r>
          </w:p>
        </w:tc>
      </w:tr>
      <w:tr>
        <w:trPr/>
        <w:tc>
          <w:tcPr>
            <w:tcW w:w="253" w:type="dxa"/>
            <w:tcBorders/>
            <w:shd w:fill="FFFFFF" w:val="clear"/>
          </w:tcPr>
          <w:p>
            <w:pPr>
              <w:pStyle w:val="TableContents"/>
              <w:spacing w:before="0" w:after="283"/>
              <w:jc w:val="right"/>
              <w:rPr/>
            </w:pPr>
            <w:r>
              <w:rPr/>
              <w:t> </w:t>
            </w:r>
          </w:p>
        </w:tc>
        <w:tc>
          <w:tcPr>
            <w:tcW w:w="180" w:type="dxa"/>
            <w:tcBorders/>
            <w:shd w:fill="FFFFFF" w:val="clear"/>
            <w:vAlign w:val="center"/>
          </w:tcPr>
          <w:p>
            <w:pPr>
              <w:pStyle w:val="TableContents"/>
              <w:spacing w:before="0" w:after="283"/>
              <w:rPr/>
            </w:pPr>
            <w:r>
              <w:rPr/>
              <w:t> </w:t>
            </w:r>
          </w:p>
        </w:tc>
        <w:tc>
          <w:tcPr>
            <w:tcW w:w="9772" w:type="dxa"/>
            <w:tcBorders/>
            <w:shd w:fill="FFFFFF" w:val="clear"/>
            <w:vAlign w:val="center"/>
          </w:tcPr>
          <w:p>
            <w:pPr>
              <w:pStyle w:val="TableContents"/>
              <w:spacing w:before="0" w:after="283"/>
              <w:rPr/>
            </w:pPr>
            <w:r>
              <w:rPr/>
              <w:t> </w:t>
            </w:r>
          </w:p>
        </w:tc>
      </w:tr>
      <w:tr>
        <w:trPr/>
        <w:tc>
          <w:tcPr>
            <w:tcW w:w="253" w:type="dxa"/>
            <w:tcBorders/>
            <w:shd w:fill="FFFFFF" w:val="clear"/>
          </w:tcPr>
          <w:p>
            <w:pPr>
              <w:pStyle w:val="TableContents"/>
              <w:spacing w:before="0" w:after="283"/>
              <w:jc w:val="right"/>
              <w:rPr>
                <w:rFonts w:ascii="Arial" w:hAnsi="Arial"/>
              </w:rPr>
            </w:pPr>
            <w:r>
              <w:rPr>
                <w:rFonts w:ascii="Arial" w:hAnsi="Arial"/>
              </w:rPr>
              <w:t>(2)</w:t>
            </w:r>
          </w:p>
        </w:tc>
        <w:tc>
          <w:tcPr>
            <w:tcW w:w="180" w:type="dxa"/>
            <w:tcBorders/>
            <w:shd w:fill="FFFFFF" w:val="clear"/>
            <w:vAlign w:val="bottom"/>
          </w:tcPr>
          <w:p>
            <w:pPr>
              <w:pStyle w:val="TableContents"/>
              <w:spacing w:before="0" w:after="283"/>
              <w:jc w:val="left"/>
              <w:rPr/>
            </w:pPr>
            <w:r>
              <w:rPr/>
              <w:t>   </w:t>
            </w:r>
          </w:p>
        </w:tc>
        <w:tc>
          <w:tcPr>
            <w:tcW w:w="9772" w:type="dxa"/>
            <w:tcBorders/>
            <w:shd w:fill="FFFFFF" w:val="clear"/>
            <w:vAlign w:val="bottom"/>
          </w:tcPr>
          <w:p>
            <w:pPr>
              <w:pStyle w:val="TableContents"/>
              <w:spacing w:before="0" w:after="283"/>
              <w:jc w:val="left"/>
              <w:rPr>
                <w:rFonts w:ascii="Arial" w:hAnsi="Arial"/>
              </w:rPr>
            </w:pPr>
            <w:r>
              <w:rPr>
                <w:rFonts w:ascii="Arial" w:hAnsi="Arial"/>
              </w:rPr>
              <w:t>Long-lived assets are comprised of property, plant and equipment, goodwill and other intangible assets.</w:t>
            </w:r>
          </w:p>
        </w:tc>
      </w:tr>
    </w:tbl>
    <w:p>
      <w:pPr>
        <w:pStyle w:val="TextBody"/>
        <w:jc w:val="left"/>
        <w:rPr>
          <w:rFonts w:ascii="Arial" w:hAnsi="Arial"/>
          <w:b/>
        </w:rPr>
      </w:pPr>
      <w:r>
        <w:rPr>
          <w:rFonts w:ascii="Arial" w:hAnsi="Arial"/>
          <w:b/>
        </w:rPr>
        <w:t>Note 25—Supplemental Cash Flow Information</w:t>
      </w:r>
    </w:p>
    <w:tbl>
      <w:tblPr>
        <w:tblW w:w="5000" w:type="pct"/>
        <w:jc w:val="left"/>
        <w:tblInd w:w="0" w:type="dxa"/>
        <w:tblCellMar>
          <w:top w:w="0" w:type="dxa"/>
          <w:left w:w="0" w:type="dxa"/>
          <w:bottom w:w="0" w:type="dxa"/>
          <w:right w:w="0" w:type="dxa"/>
        </w:tblCellMar>
      </w:tblPr>
      <w:tblGrid>
        <w:gridCol w:w="414"/>
        <w:gridCol w:w="5942"/>
        <w:gridCol w:w="276"/>
        <w:gridCol w:w="182"/>
        <w:gridCol w:w="586"/>
        <w:gridCol w:w="112"/>
        <w:gridCol w:w="352"/>
        <w:gridCol w:w="182"/>
        <w:gridCol w:w="815"/>
        <w:gridCol w:w="112"/>
        <w:gridCol w:w="352"/>
        <w:gridCol w:w="181"/>
        <w:gridCol w:w="587"/>
        <w:gridCol w:w="112"/>
      </w:tblGrid>
      <w:tr>
        <w:trPr/>
        <w:tc>
          <w:tcPr>
            <w:tcW w:w="414" w:type="dxa"/>
            <w:tcBorders/>
            <w:shd w:fill="FFFFFF" w:val="clear"/>
            <w:vAlign w:val="center"/>
          </w:tcPr>
          <w:p>
            <w:pPr>
              <w:pStyle w:val="TableContents"/>
              <w:spacing w:before="0" w:after="283"/>
              <w:rPr/>
            </w:pPr>
            <w:r>
              <w:rPr/>
              <w:t> </w:t>
            </w:r>
          </w:p>
        </w:tc>
        <w:tc>
          <w:tcPr>
            <w:tcW w:w="5942"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rPr/>
            </w:pPr>
            <w:r>
              <w:rPr/>
              <w:t> </w:t>
            </w:r>
          </w:p>
        </w:tc>
        <w:tc>
          <w:tcPr>
            <w:tcW w:w="3573" w:type="dxa"/>
            <w:gridSpan w:val="11"/>
            <w:tcBorders/>
            <w:shd w:fill="FFFFFF" w:val="clear"/>
            <w:vAlign w:val="bottom"/>
          </w:tcPr>
          <w:p>
            <w:pPr>
              <w:pStyle w:val="TableContents"/>
              <w:spacing w:before="0" w:after="0"/>
              <w:jc w:val="center"/>
              <w:rPr>
                <w:rFonts w:ascii="Arial" w:hAnsi="Arial"/>
                <w:b/>
              </w:rPr>
            </w:pPr>
            <w:r>
              <w:rPr>
                <w:rFonts w:ascii="Arial" w:hAnsi="Arial"/>
                <w:b/>
              </w:rPr>
              <w:t>Years Ended December 31,</w:t>
            </w:r>
          </w:p>
          <w:p>
            <w:pPr>
              <w:pStyle w:val="HorizontalLine"/>
              <w:pBdr>
                <w:bottom w:val="single" w:sz="6" w:space="0" w:color="000000"/>
              </w:pBdr>
              <w:spacing w:before="0" w:after="283"/>
              <w:rPr/>
            </w:pPr>
            <w:r>
              <w:rPr/>
            </w:r>
          </w:p>
        </w:tc>
      </w:tr>
      <w:tr>
        <w:trPr/>
        <w:tc>
          <w:tcPr>
            <w:tcW w:w="414" w:type="dxa"/>
            <w:tcBorders/>
            <w:shd w:fill="FFFFFF" w:val="clear"/>
            <w:vAlign w:val="center"/>
          </w:tcPr>
          <w:p>
            <w:pPr>
              <w:pStyle w:val="TableContents"/>
              <w:spacing w:before="0" w:after="283"/>
              <w:rPr/>
            </w:pPr>
            <w:r>
              <w:rPr/>
              <w:t> </w:t>
            </w:r>
          </w:p>
        </w:tc>
        <w:tc>
          <w:tcPr>
            <w:tcW w:w="5942" w:type="dxa"/>
            <w:tcBorders/>
            <w:shd w:fill="FFFFFF" w:val="clear"/>
            <w:vAlign w:val="center"/>
          </w:tcPr>
          <w:p>
            <w:pPr>
              <w:pStyle w:val="TableContents"/>
              <w:spacing w:before="0" w:after="283"/>
              <w:rPr/>
            </w:pPr>
            <w:r>
              <w:rPr/>
              <w:t> </w:t>
            </w:r>
          </w:p>
        </w:tc>
        <w:tc>
          <w:tcPr>
            <w:tcW w:w="276" w:type="dxa"/>
            <w:tcBorders/>
            <w:shd w:fill="FFFFFF" w:val="clear"/>
            <w:vAlign w:val="center"/>
          </w:tcPr>
          <w:p>
            <w:pPr>
              <w:pStyle w:val="TableContents"/>
              <w:spacing w:before="0" w:after="283"/>
              <w:rPr/>
            </w:pPr>
            <w:r>
              <w:rPr/>
              <w:t> </w:t>
            </w:r>
          </w:p>
        </w:tc>
        <w:tc>
          <w:tcPr>
            <w:tcW w:w="88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52" w:type="dxa"/>
            <w:tcBorders/>
            <w:shd w:fill="FFFFFF" w:val="clear"/>
            <w:vAlign w:val="center"/>
          </w:tcPr>
          <w:p>
            <w:pPr>
              <w:pStyle w:val="TableContents"/>
              <w:spacing w:before="0" w:after="283"/>
              <w:rPr/>
            </w:pPr>
            <w:r>
              <w:rPr/>
              <w:t> </w:t>
            </w:r>
          </w:p>
        </w:tc>
        <w:tc>
          <w:tcPr>
            <w:tcW w:w="1109"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52" w:type="dxa"/>
            <w:tcBorders/>
            <w:shd w:fill="FFFFFF" w:val="clear"/>
            <w:vAlign w:val="center"/>
          </w:tcPr>
          <w:p>
            <w:pPr>
              <w:pStyle w:val="TableContents"/>
              <w:spacing w:before="0" w:after="283"/>
              <w:rPr/>
            </w:pPr>
            <w:r>
              <w:rPr/>
              <w:t> </w:t>
            </w:r>
          </w:p>
        </w:tc>
        <w:tc>
          <w:tcPr>
            <w:tcW w:w="88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r>
      <w:tr>
        <w:trPr/>
        <w:tc>
          <w:tcPr>
            <w:tcW w:w="414" w:type="dxa"/>
            <w:tcBorders/>
            <w:shd w:fill="FFFFFF" w:val="clear"/>
            <w:vAlign w:val="bottom"/>
          </w:tcPr>
          <w:p>
            <w:pPr>
              <w:pStyle w:val="TableContents"/>
              <w:spacing w:before="0" w:after="283"/>
              <w:jc w:val="left"/>
              <w:rPr/>
            </w:pPr>
            <w:r>
              <w:rPr/>
              <w:t>      </w:t>
            </w:r>
          </w:p>
        </w:tc>
        <w:tc>
          <w:tcPr>
            <w:tcW w:w="5942" w:type="dxa"/>
            <w:tcBorders/>
            <w:shd w:fill="FFFFFF" w:val="clear"/>
            <w:vAlign w:val="bottom"/>
          </w:tcPr>
          <w:p>
            <w:pPr>
              <w:pStyle w:val="TableContents"/>
              <w:spacing w:before="0" w:after="283"/>
              <w:jc w:val="left"/>
              <w:rPr>
                <w:rFonts w:ascii="Arial" w:hAnsi="Arial"/>
              </w:rPr>
            </w:pPr>
            <w:r>
              <w:rPr>
                <w:rFonts w:ascii="Arial" w:hAnsi="Arial"/>
              </w:rPr>
              <w:t>Payments for repositioning and other charges:</w:t>
            </w:r>
          </w:p>
        </w:tc>
        <w:tc>
          <w:tcPr>
            <w:tcW w:w="276"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5942" w:type="dxa"/>
            <w:tcBorders/>
            <w:shd w:fill="E5FFFF" w:val="clear"/>
            <w:vAlign w:val="bottom"/>
          </w:tcPr>
          <w:p>
            <w:pPr>
              <w:pStyle w:val="TableContents"/>
              <w:spacing w:before="0" w:after="283"/>
              <w:jc w:val="left"/>
              <w:rPr>
                <w:rFonts w:ascii="Arial" w:hAnsi="Arial"/>
              </w:rPr>
            </w:pPr>
            <w:r>
              <w:rPr>
                <w:rFonts w:ascii="Arial" w:hAnsi="Arial"/>
              </w:rPr>
              <w:t>Severance and exit cost payments</w:t>
            </w:r>
          </w:p>
        </w:tc>
        <w:tc>
          <w:tcPr>
            <w:tcW w:w="276"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586" w:type="dxa"/>
            <w:tcBorders/>
            <w:shd w:fill="E5FFFF" w:val="clear"/>
            <w:vAlign w:val="bottom"/>
          </w:tcPr>
          <w:p>
            <w:pPr>
              <w:pStyle w:val="TableContents"/>
              <w:spacing w:before="0" w:after="283"/>
              <w:jc w:val="right"/>
              <w:rPr>
                <w:rFonts w:ascii="Arial" w:hAnsi="Arial"/>
              </w:rPr>
            </w:pPr>
            <w:r>
              <w:rPr>
                <w:rFonts w:ascii="Arial" w:hAnsi="Arial"/>
              </w:rPr>
              <w:t>(142</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c>
          <w:tcPr>
            <w:tcW w:w="352"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815" w:type="dxa"/>
            <w:tcBorders/>
            <w:shd w:fill="E5FFFF" w:val="clear"/>
            <w:vAlign w:val="bottom"/>
          </w:tcPr>
          <w:p>
            <w:pPr>
              <w:pStyle w:val="TableContents"/>
              <w:spacing w:before="0" w:after="283"/>
              <w:jc w:val="right"/>
              <w:rPr>
                <w:rFonts w:ascii="Arial" w:hAnsi="Arial"/>
              </w:rPr>
            </w:pPr>
            <w:r>
              <w:rPr>
                <w:rFonts w:ascii="Arial" w:hAnsi="Arial"/>
              </w:rPr>
              <w:t>(171</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c>
          <w:tcPr>
            <w:tcW w:w="352"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587" w:type="dxa"/>
            <w:tcBorders/>
            <w:shd w:fill="E5FFFF" w:val="clear"/>
            <w:vAlign w:val="bottom"/>
          </w:tcPr>
          <w:p>
            <w:pPr>
              <w:pStyle w:val="TableContents"/>
              <w:spacing w:before="0" w:after="283"/>
              <w:jc w:val="right"/>
              <w:rPr>
                <w:rFonts w:ascii="Arial" w:hAnsi="Arial"/>
              </w:rPr>
            </w:pPr>
            <w:r>
              <w:rPr>
                <w:rFonts w:ascii="Arial" w:hAnsi="Arial"/>
              </w:rPr>
              <w:t>(164</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4" w:type="dxa"/>
            <w:tcBorders/>
            <w:shd w:fill="FFFFFF" w:val="clear"/>
            <w:vAlign w:val="bottom"/>
          </w:tcPr>
          <w:p>
            <w:pPr>
              <w:pStyle w:val="TableContents"/>
              <w:spacing w:before="0" w:after="283"/>
              <w:jc w:val="left"/>
              <w:rPr/>
            </w:pPr>
            <w:r>
              <w:rPr/>
              <w:t>      </w:t>
            </w:r>
          </w:p>
        </w:tc>
        <w:tc>
          <w:tcPr>
            <w:tcW w:w="5942" w:type="dxa"/>
            <w:tcBorders/>
            <w:shd w:fill="FFFFFF" w:val="clear"/>
            <w:vAlign w:val="bottom"/>
          </w:tcPr>
          <w:p>
            <w:pPr>
              <w:pStyle w:val="TableContents"/>
              <w:spacing w:before="0" w:after="283"/>
              <w:jc w:val="left"/>
              <w:rPr>
                <w:rFonts w:ascii="Arial" w:hAnsi="Arial"/>
              </w:rPr>
            </w:pPr>
            <w:r>
              <w:rPr>
                <w:rFonts w:ascii="Arial" w:hAnsi="Arial"/>
              </w:rPr>
              <w:t>Environmental payments</w:t>
            </w:r>
          </w:p>
        </w:tc>
        <w:tc>
          <w:tcPr>
            <w:tcW w:w="276"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bottom"/>
          </w:tcPr>
          <w:p>
            <w:pPr>
              <w:pStyle w:val="TableContents"/>
              <w:spacing w:before="0" w:after="283"/>
              <w:jc w:val="right"/>
              <w:rPr>
                <w:rFonts w:ascii="Arial" w:hAnsi="Arial"/>
              </w:rPr>
            </w:pPr>
            <w:r>
              <w:rPr>
                <w:rFonts w:ascii="Arial" w:hAnsi="Arial"/>
              </w:rPr>
              <w:t>(264</w:t>
            </w:r>
          </w:p>
        </w:tc>
        <w:tc>
          <w:tcPr>
            <w:tcW w:w="112" w:type="dxa"/>
            <w:tcBorders/>
            <w:shd w:fill="FFFFFF" w:val="clear"/>
            <w:vAlign w:val="bottom"/>
          </w:tcPr>
          <w:p>
            <w:pPr>
              <w:pStyle w:val="TableContents"/>
              <w:spacing w:before="0" w:after="283"/>
              <w:jc w:val="left"/>
              <w:rPr>
                <w:rFonts w:ascii="Arial" w:hAnsi="Arial"/>
              </w:rPr>
            </w:pPr>
            <w:r>
              <w:rPr>
                <w:rFonts w:ascii="Arial" w:hAnsi="Arial"/>
              </w:rPr>
              <w:t>)</w:t>
            </w:r>
          </w:p>
        </w:tc>
        <w:tc>
          <w:tcPr>
            <w:tcW w:w="352"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bottom"/>
          </w:tcPr>
          <w:p>
            <w:pPr>
              <w:pStyle w:val="TableContents"/>
              <w:spacing w:before="0" w:after="283"/>
              <w:jc w:val="right"/>
              <w:rPr>
                <w:rFonts w:ascii="Arial" w:hAnsi="Arial"/>
              </w:rPr>
            </w:pPr>
            <w:r>
              <w:rPr>
                <w:rFonts w:ascii="Arial" w:hAnsi="Arial"/>
              </w:rPr>
              <w:t>(247</w:t>
            </w:r>
          </w:p>
        </w:tc>
        <w:tc>
          <w:tcPr>
            <w:tcW w:w="112" w:type="dxa"/>
            <w:tcBorders/>
            <w:shd w:fill="FFFFFF" w:val="clear"/>
            <w:vAlign w:val="bottom"/>
          </w:tcPr>
          <w:p>
            <w:pPr>
              <w:pStyle w:val="TableContents"/>
              <w:spacing w:before="0" w:after="283"/>
              <w:jc w:val="left"/>
              <w:rPr>
                <w:rFonts w:ascii="Arial" w:hAnsi="Arial"/>
              </w:rPr>
            </w:pPr>
            <w:r>
              <w:rPr>
                <w:rFonts w:ascii="Arial" w:hAnsi="Arial"/>
              </w:rPr>
              <w:t>)</w:t>
            </w:r>
          </w:p>
        </w:tc>
        <w:tc>
          <w:tcPr>
            <w:tcW w:w="35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bottom"/>
          </w:tcPr>
          <w:p>
            <w:pPr>
              <w:pStyle w:val="TableContents"/>
              <w:spacing w:before="0" w:after="283"/>
              <w:jc w:val="right"/>
              <w:rPr>
                <w:rFonts w:ascii="Arial" w:hAnsi="Arial"/>
              </w:rPr>
            </w:pPr>
            <w:r>
              <w:rPr>
                <w:rFonts w:ascii="Arial" w:hAnsi="Arial"/>
              </w:rPr>
              <w:t>(248</w:t>
            </w:r>
          </w:p>
        </w:tc>
        <w:tc>
          <w:tcPr>
            <w:tcW w:w="11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414" w:type="dxa"/>
            <w:tcBorders/>
            <w:shd w:fill="E5FFFF" w:val="clear"/>
            <w:vAlign w:val="bottom"/>
          </w:tcPr>
          <w:p>
            <w:pPr>
              <w:pStyle w:val="TableContents"/>
              <w:spacing w:before="0" w:after="283"/>
              <w:jc w:val="left"/>
              <w:rPr/>
            </w:pPr>
            <w:r>
              <w:rPr/>
              <w:t>      </w:t>
            </w:r>
          </w:p>
        </w:tc>
        <w:tc>
          <w:tcPr>
            <w:tcW w:w="5942" w:type="dxa"/>
            <w:tcBorders/>
            <w:shd w:fill="E5FFFF" w:val="clear"/>
            <w:vAlign w:val="bottom"/>
          </w:tcPr>
          <w:p>
            <w:pPr>
              <w:pStyle w:val="TableContents"/>
              <w:spacing w:before="0" w:after="283"/>
              <w:jc w:val="left"/>
              <w:rPr>
                <w:rFonts w:ascii="Arial" w:hAnsi="Arial"/>
              </w:rPr>
            </w:pPr>
            <w:r>
              <w:rPr>
                <w:rFonts w:ascii="Arial" w:hAnsi="Arial"/>
              </w:rPr>
              <w:t>Proceeds from sale of insurance receivable</w:t>
            </w:r>
          </w:p>
        </w:tc>
        <w:tc>
          <w:tcPr>
            <w:tcW w:w="276"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586" w:type="dxa"/>
            <w:tcBorders/>
            <w:shd w:fill="E5FFFF" w:val="clear"/>
            <w:vAlign w:val="bottom"/>
          </w:tcPr>
          <w:p>
            <w:pPr>
              <w:pStyle w:val="TableContents"/>
              <w:spacing w:before="0" w:after="283"/>
              <w:jc w:val="right"/>
              <w:rPr>
                <w:rFonts w:ascii="Arial" w:hAnsi="Arial"/>
              </w:rPr>
            </w:pPr>
            <w:r>
              <w:rPr>
                <w:rFonts w:ascii="Arial" w:hAnsi="Arial"/>
              </w:rPr>
              <w:t>100</w:t>
            </w:r>
          </w:p>
        </w:tc>
        <w:tc>
          <w:tcPr>
            <w:tcW w:w="112" w:type="dxa"/>
            <w:tcBorders/>
            <w:shd w:fill="E5FFFF" w:val="clear"/>
            <w:vAlign w:val="center"/>
          </w:tcPr>
          <w:p>
            <w:pPr>
              <w:pStyle w:val="TableContents"/>
              <w:spacing w:before="0" w:after="283"/>
              <w:rPr/>
            </w:pPr>
            <w:r>
              <w:rPr/>
              <w:t> </w:t>
            </w:r>
          </w:p>
        </w:tc>
        <w:tc>
          <w:tcPr>
            <w:tcW w:w="352"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815" w:type="dxa"/>
            <w:tcBorders/>
            <w:shd w:fill="E5FFFF" w:val="clear"/>
            <w:vAlign w:val="bottom"/>
          </w:tcPr>
          <w:p>
            <w:pPr>
              <w:pStyle w:val="TableContents"/>
              <w:spacing w:before="0" w:after="283"/>
              <w:jc w:val="right"/>
              <w:rPr/>
            </w:pPr>
            <w:r>
              <w:rPr/>
              <w:t>—</w:t>
            </w:r>
          </w:p>
        </w:tc>
        <w:tc>
          <w:tcPr>
            <w:tcW w:w="112" w:type="dxa"/>
            <w:tcBorders/>
            <w:shd w:fill="E5FFFF" w:val="clear"/>
            <w:vAlign w:val="center"/>
          </w:tcPr>
          <w:p>
            <w:pPr>
              <w:pStyle w:val="TableContents"/>
              <w:spacing w:before="0" w:after="283"/>
              <w:rPr/>
            </w:pPr>
            <w:r>
              <w:rPr/>
              <w:t> </w:t>
            </w:r>
          </w:p>
        </w:tc>
        <w:tc>
          <w:tcPr>
            <w:tcW w:w="35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7" w:type="dxa"/>
            <w:tcBorders/>
            <w:shd w:fill="E5FFFF" w:val="clear"/>
            <w:vAlign w:val="bottom"/>
          </w:tcPr>
          <w:p>
            <w:pPr>
              <w:pStyle w:val="TableContents"/>
              <w:spacing w:before="0" w:after="283"/>
              <w:jc w:val="right"/>
              <w:rPr/>
            </w:pPr>
            <w:r>
              <w:rPr/>
              <w:t>—</w:t>
            </w:r>
          </w:p>
        </w:tc>
        <w:tc>
          <w:tcPr>
            <w:tcW w:w="112"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5942" w:type="dxa"/>
            <w:tcBorders/>
            <w:shd w:fill="FFFFFF" w:val="clear"/>
            <w:vAlign w:val="bottom"/>
          </w:tcPr>
          <w:p>
            <w:pPr>
              <w:pStyle w:val="TableContents"/>
              <w:spacing w:before="0" w:after="283"/>
              <w:jc w:val="left"/>
              <w:rPr>
                <w:rFonts w:ascii="Arial" w:hAnsi="Arial"/>
              </w:rPr>
            </w:pPr>
            <w:r>
              <w:rPr>
                <w:rFonts w:ascii="Arial" w:hAnsi="Arial"/>
              </w:rPr>
              <w:t>Insurance receipts for asbestos related liabilities</w:t>
            </w:r>
          </w:p>
        </w:tc>
        <w:tc>
          <w:tcPr>
            <w:tcW w:w="276"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bottom"/>
          </w:tcPr>
          <w:p>
            <w:pPr>
              <w:pStyle w:val="TableContents"/>
              <w:spacing w:before="0" w:after="283"/>
              <w:jc w:val="right"/>
              <w:rPr>
                <w:rFonts w:ascii="Arial" w:hAnsi="Arial"/>
              </w:rPr>
            </w:pPr>
            <w:r>
              <w:rPr>
                <w:rFonts w:ascii="Arial" w:hAnsi="Arial"/>
              </w:rPr>
              <w:t>166</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bottom"/>
          </w:tcPr>
          <w:p>
            <w:pPr>
              <w:pStyle w:val="TableContents"/>
              <w:spacing w:before="0" w:after="283"/>
              <w:jc w:val="right"/>
              <w:rPr>
                <w:rFonts w:ascii="Arial" w:hAnsi="Arial"/>
              </w:rPr>
            </w:pPr>
            <w:r>
              <w:rPr>
                <w:rFonts w:ascii="Arial" w:hAnsi="Arial"/>
              </w:rPr>
              <w:t>160</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bottom"/>
          </w:tcPr>
          <w:p>
            <w:pPr>
              <w:pStyle w:val="TableContents"/>
              <w:spacing w:before="0" w:after="283"/>
              <w:jc w:val="right"/>
              <w:rPr>
                <w:rFonts w:ascii="Arial" w:hAnsi="Arial"/>
              </w:rPr>
            </w:pPr>
            <w:r>
              <w:rPr>
                <w:rFonts w:ascii="Arial" w:hAnsi="Arial"/>
              </w:rPr>
              <w:t>67</w:t>
            </w:r>
          </w:p>
        </w:tc>
        <w:tc>
          <w:tcPr>
            <w:tcW w:w="112"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5942" w:type="dxa"/>
            <w:tcBorders/>
            <w:shd w:fill="E5FFFF" w:val="clear"/>
            <w:vAlign w:val="bottom"/>
          </w:tcPr>
          <w:p>
            <w:pPr>
              <w:pStyle w:val="TableContents"/>
              <w:spacing w:before="0" w:after="283"/>
              <w:jc w:val="left"/>
              <w:rPr>
                <w:rFonts w:ascii="Arial" w:hAnsi="Arial"/>
              </w:rPr>
            </w:pPr>
            <w:r>
              <w:rPr>
                <w:rFonts w:ascii="Arial" w:hAnsi="Arial"/>
              </w:rPr>
              <w:t>Asbestos related liability payments</w:t>
            </w:r>
          </w:p>
        </w:tc>
        <w:tc>
          <w:tcPr>
            <w:tcW w:w="276"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586" w:type="dxa"/>
            <w:tcBorders/>
            <w:shd w:fill="E5FFFF" w:val="clear"/>
            <w:vAlign w:val="bottom"/>
          </w:tcPr>
          <w:p>
            <w:pPr>
              <w:pStyle w:val="TableContents"/>
              <w:spacing w:before="0" w:after="283"/>
              <w:jc w:val="right"/>
              <w:rPr>
                <w:rFonts w:ascii="Arial" w:hAnsi="Arial"/>
              </w:rPr>
            </w:pPr>
            <w:r>
              <w:rPr>
                <w:rFonts w:ascii="Arial" w:hAnsi="Arial"/>
              </w:rPr>
              <w:t>(419</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c>
          <w:tcPr>
            <w:tcW w:w="352" w:type="dxa"/>
            <w:tcBorders/>
            <w:shd w:fill="E5FFFF" w:val="clear"/>
            <w:vAlign w:val="bottom"/>
          </w:tcPr>
          <w:p>
            <w:pPr>
              <w:pStyle w:val="TableContents"/>
              <w:spacing w:before="0" w:after="283"/>
              <w:jc w:val="right"/>
              <w:rPr/>
            </w:pPr>
            <w:r>
              <w:rPr/>
              <w:t>     </w:t>
            </w:r>
          </w:p>
        </w:tc>
        <w:tc>
          <w:tcPr>
            <w:tcW w:w="182" w:type="dxa"/>
            <w:tcBorders/>
            <w:shd w:fill="E5FFFF" w:val="clear"/>
            <w:vAlign w:val="center"/>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Arial" w:hAnsi="Arial"/>
              </w:rPr>
            </w:pPr>
            <w:r>
              <w:rPr>
                <w:rFonts w:ascii="Arial" w:hAnsi="Arial"/>
              </w:rPr>
              <w:t>(750</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c>
          <w:tcPr>
            <w:tcW w:w="352" w:type="dxa"/>
            <w:tcBorders/>
            <w:shd w:fill="E5FFFF" w:val="clear"/>
            <w:vAlign w:val="bottom"/>
          </w:tcPr>
          <w:p>
            <w:pPr>
              <w:pStyle w:val="TableContents"/>
              <w:spacing w:before="0" w:after="283"/>
              <w:jc w:val="right"/>
              <w:rPr/>
            </w:pPr>
            <w:r>
              <w:rPr/>
              <w:t>     </w:t>
            </w:r>
          </w:p>
        </w:tc>
        <w:tc>
          <w:tcPr>
            <w:tcW w:w="181" w:type="dxa"/>
            <w:tcBorders/>
            <w:shd w:fill="E5FFFF" w:val="clear"/>
            <w:vAlign w:val="center"/>
          </w:tcPr>
          <w:p>
            <w:pPr>
              <w:pStyle w:val="TableContents"/>
              <w:spacing w:before="0" w:after="283"/>
              <w:rPr/>
            </w:pPr>
            <w:r>
              <w:rPr/>
              <w:t> </w:t>
            </w:r>
          </w:p>
        </w:tc>
        <w:tc>
          <w:tcPr>
            <w:tcW w:w="587" w:type="dxa"/>
            <w:tcBorders/>
            <w:shd w:fill="E5FFFF" w:val="clear"/>
            <w:vAlign w:val="bottom"/>
          </w:tcPr>
          <w:p>
            <w:pPr>
              <w:pStyle w:val="TableContents"/>
              <w:spacing w:before="0" w:after="283"/>
              <w:jc w:val="right"/>
              <w:rPr>
                <w:rFonts w:ascii="Arial" w:hAnsi="Arial"/>
              </w:rPr>
            </w:pPr>
            <w:r>
              <w:rPr>
                <w:rFonts w:ascii="Arial" w:hAnsi="Arial"/>
              </w:rPr>
              <w:t>(518</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4" w:type="dxa"/>
            <w:tcBorders/>
            <w:shd w:fill="FFFFFF" w:val="clear"/>
            <w:vAlign w:val="center"/>
          </w:tcPr>
          <w:p>
            <w:pPr>
              <w:pStyle w:val="TableContents"/>
              <w:spacing w:before="0" w:after="283"/>
              <w:rPr/>
            </w:pPr>
            <w:r>
              <w:rPr/>
              <w:t> </w:t>
            </w:r>
          </w:p>
        </w:tc>
        <w:tc>
          <w:tcPr>
            <w:tcW w:w="5942" w:type="dxa"/>
            <w:tcBorders/>
            <w:shd w:fill="FFFFFF" w:val="clear"/>
            <w:vAlign w:val="center"/>
          </w:tcPr>
          <w:p>
            <w:pPr>
              <w:pStyle w:val="TableContents"/>
              <w:spacing w:before="0" w:after="283"/>
              <w:rPr/>
            </w:pPr>
            <w:r>
              <w:rPr/>
              <w:t> </w:t>
            </w:r>
          </w:p>
        </w:tc>
        <w:tc>
          <w:tcPr>
            <w:tcW w:w="276"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bottom"/>
          </w:tcPr>
          <w:p>
            <w:pPr>
              <w:pStyle w:val="HorizontalLine"/>
              <w:pBdr>
                <w:bottom w:val="single" w:sz="6" w:space="0" w:color="000000"/>
              </w:pBdr>
              <w:spacing w:before="0" w:after="283"/>
              <w:rPr/>
            </w:pPr>
            <w:r>
              <w:rPr/>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bottom"/>
          </w:tcPr>
          <w:p>
            <w:pPr>
              <w:pStyle w:val="HorizontalLine"/>
              <w:pBdr>
                <w:bottom w:val="single" w:sz="6" w:space="0" w:color="000000"/>
              </w:pBdr>
              <w:spacing w:before="0" w:after="283"/>
              <w:rPr/>
            </w:pPr>
            <w:r>
              <w:rPr/>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bottom"/>
          </w:tcPr>
          <w:p>
            <w:pPr>
              <w:pStyle w:val="HorizontalLine"/>
              <w:pBdr>
                <w:bottom w:val="single" w:sz="6" w:space="0" w:color="000000"/>
              </w:pBdr>
              <w:spacing w:before="0" w:after="283"/>
              <w:rPr/>
            </w:pPr>
            <w:r>
              <w:rPr/>
            </w:r>
          </w:p>
        </w:tc>
        <w:tc>
          <w:tcPr>
            <w:tcW w:w="112"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5942" w:type="dxa"/>
            <w:tcBorders/>
            <w:shd w:fill="E5FFFF" w:val="clear"/>
            <w:vAlign w:val="bottom"/>
          </w:tcPr>
          <w:p>
            <w:pPr>
              <w:pStyle w:val="TableContents"/>
              <w:spacing w:before="0" w:after="283"/>
              <w:rPr>
                <w:sz w:val="4"/>
                <w:szCs w:val="4"/>
              </w:rPr>
            </w:pPr>
            <w:r>
              <w:rPr>
                <w:sz w:val="4"/>
                <w:szCs w:val="4"/>
              </w:rPr>
            </w:r>
          </w:p>
        </w:tc>
        <w:tc>
          <w:tcPr>
            <w:tcW w:w="276"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586" w:type="dxa"/>
            <w:tcBorders/>
            <w:shd w:fill="E5FFFF" w:val="clear"/>
            <w:vAlign w:val="bottom"/>
          </w:tcPr>
          <w:p>
            <w:pPr>
              <w:pStyle w:val="TableContents"/>
              <w:spacing w:before="0" w:after="283"/>
              <w:jc w:val="right"/>
              <w:rPr>
                <w:rFonts w:ascii="Arial" w:hAnsi="Arial"/>
              </w:rPr>
            </w:pPr>
            <w:r>
              <w:rPr>
                <w:rFonts w:ascii="Arial" w:hAnsi="Arial"/>
              </w:rPr>
              <w:t>(559</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c>
          <w:tcPr>
            <w:tcW w:w="352"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815" w:type="dxa"/>
            <w:tcBorders/>
            <w:shd w:fill="E5FFFF" w:val="clear"/>
            <w:vAlign w:val="bottom"/>
          </w:tcPr>
          <w:p>
            <w:pPr>
              <w:pStyle w:val="TableContents"/>
              <w:spacing w:before="0" w:after="283"/>
              <w:jc w:val="right"/>
              <w:rPr>
                <w:rFonts w:ascii="Arial" w:hAnsi="Arial"/>
              </w:rPr>
            </w:pPr>
            <w:r>
              <w:rPr>
                <w:rFonts w:ascii="Arial" w:hAnsi="Arial"/>
              </w:rPr>
              <w:t>(1,008</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c>
          <w:tcPr>
            <w:tcW w:w="352"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587" w:type="dxa"/>
            <w:tcBorders/>
            <w:shd w:fill="E5FFFF" w:val="clear"/>
            <w:vAlign w:val="bottom"/>
          </w:tcPr>
          <w:p>
            <w:pPr>
              <w:pStyle w:val="TableContents"/>
              <w:spacing w:before="0" w:after="283"/>
              <w:jc w:val="right"/>
              <w:rPr>
                <w:rFonts w:ascii="Arial" w:hAnsi="Arial"/>
              </w:rPr>
            </w:pPr>
            <w:r>
              <w:rPr>
                <w:rFonts w:ascii="Arial" w:hAnsi="Arial"/>
              </w:rPr>
              <w:t>(863</w:t>
            </w:r>
          </w:p>
        </w:tc>
        <w:tc>
          <w:tcPr>
            <w:tcW w:w="112"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414" w:type="dxa"/>
            <w:tcBorders/>
            <w:shd w:fill="FFFFFF" w:val="clear"/>
            <w:vAlign w:val="center"/>
          </w:tcPr>
          <w:p>
            <w:pPr>
              <w:pStyle w:val="TableContents"/>
              <w:spacing w:before="0" w:after="283"/>
              <w:rPr/>
            </w:pPr>
            <w:r>
              <w:rPr/>
              <w:t> </w:t>
            </w:r>
          </w:p>
        </w:tc>
        <w:tc>
          <w:tcPr>
            <w:tcW w:w="5942" w:type="dxa"/>
            <w:tcBorders/>
            <w:shd w:fill="FFFFFF" w:val="clear"/>
            <w:vAlign w:val="center"/>
          </w:tcPr>
          <w:p>
            <w:pPr>
              <w:pStyle w:val="TableContents"/>
              <w:spacing w:before="0" w:after="283"/>
              <w:rPr/>
            </w:pPr>
            <w:r>
              <w:rPr/>
              <w:t> </w:t>
            </w:r>
          </w:p>
        </w:tc>
        <w:tc>
          <w:tcPr>
            <w:tcW w:w="276"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bottom"/>
          </w:tcPr>
          <w:p>
            <w:pPr>
              <w:pStyle w:val="HorizontalLine"/>
              <w:pBdr>
                <w:bottom w:val="single" w:sz="18" w:space="0" w:color="000000"/>
              </w:pBdr>
              <w:spacing w:before="0" w:after="283"/>
              <w:rPr/>
            </w:pPr>
            <w:r>
              <w:rPr/>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bottom"/>
          </w:tcPr>
          <w:p>
            <w:pPr>
              <w:pStyle w:val="HorizontalLine"/>
              <w:pBdr>
                <w:bottom w:val="single" w:sz="18" w:space="0" w:color="000000"/>
              </w:pBdr>
              <w:spacing w:before="0" w:after="283"/>
              <w:rPr/>
            </w:pPr>
            <w:r>
              <w:rPr/>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bottom"/>
          </w:tcPr>
          <w:p>
            <w:pPr>
              <w:pStyle w:val="HorizontalLine"/>
              <w:pBdr>
                <w:bottom w:val="single" w:sz="18" w:space="0" w:color="000000"/>
              </w:pBdr>
              <w:spacing w:before="0" w:after="283"/>
              <w:rPr/>
            </w:pPr>
            <w:r>
              <w:rPr/>
            </w:r>
          </w:p>
        </w:tc>
        <w:tc>
          <w:tcPr>
            <w:tcW w:w="112"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5942" w:type="dxa"/>
            <w:tcBorders/>
            <w:shd w:fill="E5FFFF" w:val="clear"/>
            <w:vAlign w:val="bottom"/>
          </w:tcPr>
          <w:p>
            <w:pPr>
              <w:pStyle w:val="TableContents"/>
              <w:spacing w:before="0" w:after="283"/>
              <w:jc w:val="left"/>
              <w:rPr>
                <w:rFonts w:ascii="Arial" w:hAnsi="Arial"/>
              </w:rPr>
            </w:pPr>
            <w:r>
              <w:rPr>
                <w:rFonts w:ascii="Arial" w:hAnsi="Arial"/>
              </w:rPr>
              <w:t>Interest paid, net of amounts capitalized</w:t>
            </w:r>
          </w:p>
        </w:tc>
        <w:tc>
          <w:tcPr>
            <w:tcW w:w="276"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586" w:type="dxa"/>
            <w:tcBorders/>
            <w:shd w:fill="E5FFFF" w:val="clear"/>
            <w:vAlign w:val="bottom"/>
          </w:tcPr>
          <w:p>
            <w:pPr>
              <w:pStyle w:val="TableContents"/>
              <w:spacing w:before="0" w:after="283"/>
              <w:jc w:val="right"/>
              <w:rPr>
                <w:rFonts w:ascii="Arial" w:hAnsi="Arial"/>
              </w:rPr>
            </w:pPr>
            <w:r>
              <w:rPr>
                <w:rFonts w:ascii="Arial" w:hAnsi="Arial"/>
              </w:rPr>
              <w:t>361</w:t>
            </w:r>
          </w:p>
        </w:tc>
        <w:tc>
          <w:tcPr>
            <w:tcW w:w="112" w:type="dxa"/>
            <w:tcBorders/>
            <w:shd w:fill="E5FFFF" w:val="clear"/>
            <w:vAlign w:val="center"/>
          </w:tcPr>
          <w:p>
            <w:pPr>
              <w:pStyle w:val="TableContents"/>
              <w:spacing w:before="0" w:after="283"/>
              <w:rPr/>
            </w:pPr>
            <w:r>
              <w:rPr/>
              <w:t> </w:t>
            </w:r>
          </w:p>
        </w:tc>
        <w:tc>
          <w:tcPr>
            <w:tcW w:w="352" w:type="dxa"/>
            <w:tcBorders/>
            <w:shd w:fill="E5FFFF" w:val="clear"/>
            <w:vAlign w:val="bottom"/>
          </w:tcPr>
          <w:p>
            <w:pPr>
              <w:pStyle w:val="TableContents"/>
              <w:spacing w:before="0" w:after="283"/>
              <w:jc w:val="right"/>
              <w:rPr/>
            </w:pPr>
            <w:r>
              <w:rPr/>
              <w:t>     </w:t>
            </w:r>
          </w:p>
        </w:tc>
        <w:tc>
          <w:tcPr>
            <w:tcW w:w="182" w:type="dxa"/>
            <w:tcBorders/>
            <w:shd w:fill="E5FFFF" w:val="clear"/>
            <w:vAlign w:val="bottom"/>
          </w:tcPr>
          <w:p>
            <w:pPr>
              <w:pStyle w:val="TableContents"/>
              <w:spacing w:before="0" w:after="283"/>
              <w:jc w:val="right"/>
              <w:rPr>
                <w:rFonts w:ascii="Arial" w:hAnsi="Arial"/>
              </w:rPr>
            </w:pPr>
            <w:r>
              <w:rPr>
                <w:rFonts w:ascii="Arial" w:hAnsi="Arial"/>
              </w:rPr>
              <w:t>$</w:t>
            </w:r>
          </w:p>
        </w:tc>
        <w:tc>
          <w:tcPr>
            <w:tcW w:w="815" w:type="dxa"/>
            <w:tcBorders/>
            <w:shd w:fill="E5FFFF" w:val="clear"/>
            <w:vAlign w:val="bottom"/>
          </w:tcPr>
          <w:p>
            <w:pPr>
              <w:pStyle w:val="TableContents"/>
              <w:spacing w:before="0" w:after="283"/>
              <w:jc w:val="right"/>
              <w:rPr>
                <w:rFonts w:ascii="Arial" w:hAnsi="Arial"/>
              </w:rPr>
            </w:pPr>
            <w:r>
              <w:rPr>
                <w:rFonts w:ascii="Arial" w:hAnsi="Arial"/>
              </w:rPr>
              <w:t>397</w:t>
            </w:r>
          </w:p>
        </w:tc>
        <w:tc>
          <w:tcPr>
            <w:tcW w:w="112" w:type="dxa"/>
            <w:tcBorders/>
            <w:shd w:fill="E5FFFF" w:val="clear"/>
            <w:vAlign w:val="center"/>
          </w:tcPr>
          <w:p>
            <w:pPr>
              <w:pStyle w:val="TableContents"/>
              <w:spacing w:before="0" w:after="283"/>
              <w:rPr/>
            </w:pPr>
            <w:r>
              <w:rPr/>
              <w:t> </w:t>
            </w:r>
          </w:p>
        </w:tc>
        <w:tc>
          <w:tcPr>
            <w:tcW w:w="352" w:type="dxa"/>
            <w:tcBorders/>
            <w:shd w:fill="E5FFFF" w:val="clear"/>
            <w:vAlign w:val="bottom"/>
          </w:tcPr>
          <w:p>
            <w:pPr>
              <w:pStyle w:val="TableContents"/>
              <w:spacing w:before="0" w:after="283"/>
              <w:jc w:val="right"/>
              <w:rPr/>
            </w:pPr>
            <w:r>
              <w:rPr/>
              <w:t>     </w:t>
            </w:r>
          </w:p>
        </w:tc>
        <w:tc>
          <w:tcPr>
            <w:tcW w:w="181" w:type="dxa"/>
            <w:tcBorders/>
            <w:shd w:fill="E5FFFF" w:val="clear"/>
            <w:vAlign w:val="bottom"/>
          </w:tcPr>
          <w:p>
            <w:pPr>
              <w:pStyle w:val="TableContents"/>
              <w:spacing w:before="0" w:after="283"/>
              <w:jc w:val="right"/>
              <w:rPr>
                <w:rFonts w:ascii="Arial" w:hAnsi="Arial"/>
              </w:rPr>
            </w:pPr>
            <w:r>
              <w:rPr>
                <w:rFonts w:ascii="Arial" w:hAnsi="Arial"/>
              </w:rPr>
              <w:t>$</w:t>
            </w:r>
          </w:p>
        </w:tc>
        <w:tc>
          <w:tcPr>
            <w:tcW w:w="587" w:type="dxa"/>
            <w:tcBorders/>
            <w:shd w:fill="E5FFFF" w:val="clear"/>
            <w:vAlign w:val="bottom"/>
          </w:tcPr>
          <w:p>
            <w:pPr>
              <w:pStyle w:val="TableContents"/>
              <w:spacing w:before="0" w:after="283"/>
              <w:jc w:val="right"/>
              <w:rPr>
                <w:rFonts w:ascii="Arial" w:hAnsi="Arial"/>
              </w:rPr>
            </w:pPr>
            <w:r>
              <w:rPr>
                <w:rFonts w:ascii="Arial" w:hAnsi="Arial"/>
              </w:rPr>
              <w:t>330</w:t>
            </w:r>
          </w:p>
        </w:tc>
        <w:tc>
          <w:tcPr>
            <w:tcW w:w="112"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5942" w:type="dxa"/>
            <w:tcBorders/>
            <w:shd w:fill="FFFFFF" w:val="clear"/>
            <w:vAlign w:val="bottom"/>
          </w:tcPr>
          <w:p>
            <w:pPr>
              <w:pStyle w:val="TableContents"/>
              <w:spacing w:before="0" w:after="283"/>
              <w:jc w:val="left"/>
              <w:rPr>
                <w:rFonts w:ascii="Arial" w:hAnsi="Arial"/>
              </w:rPr>
            </w:pPr>
            <w:r>
              <w:rPr>
                <w:rFonts w:ascii="Arial" w:hAnsi="Arial"/>
              </w:rPr>
              <w:t>Income taxes paid, net of refunds</w:t>
            </w:r>
          </w:p>
        </w:tc>
        <w:tc>
          <w:tcPr>
            <w:tcW w:w="276"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bottom"/>
          </w:tcPr>
          <w:p>
            <w:pPr>
              <w:pStyle w:val="TableContents"/>
              <w:spacing w:before="0" w:after="283"/>
              <w:jc w:val="right"/>
              <w:rPr>
                <w:rFonts w:ascii="Arial" w:hAnsi="Arial"/>
              </w:rPr>
            </w:pPr>
            <w:r>
              <w:rPr>
                <w:rFonts w:ascii="Arial" w:hAnsi="Arial"/>
              </w:rPr>
              <w:t>471</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bottom"/>
          </w:tcPr>
          <w:p>
            <w:pPr>
              <w:pStyle w:val="TableContents"/>
              <w:spacing w:before="0" w:after="283"/>
              <w:jc w:val="right"/>
              <w:rPr>
                <w:rFonts w:ascii="Arial" w:hAnsi="Arial"/>
              </w:rPr>
            </w:pPr>
            <w:r>
              <w:rPr>
                <w:rFonts w:ascii="Arial" w:hAnsi="Arial"/>
              </w:rPr>
              <w:t>235</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bottom"/>
          </w:tcPr>
          <w:p>
            <w:pPr>
              <w:pStyle w:val="TableContents"/>
              <w:spacing w:before="0" w:after="283"/>
              <w:jc w:val="right"/>
              <w:rPr>
                <w:rFonts w:ascii="Arial" w:hAnsi="Arial"/>
              </w:rPr>
            </w:pPr>
            <w:r>
              <w:rPr>
                <w:rFonts w:ascii="Arial" w:hAnsi="Arial"/>
              </w:rPr>
              <w:t>178</w:t>
            </w:r>
          </w:p>
        </w:tc>
        <w:tc>
          <w:tcPr>
            <w:tcW w:w="112" w:type="dxa"/>
            <w:tcBorders/>
            <w:shd w:fill="FFFFFF" w:val="clear"/>
            <w:vAlign w:val="center"/>
          </w:tcPr>
          <w:p>
            <w:pPr>
              <w:pStyle w:val="TableContents"/>
              <w:spacing w:before="0" w:after="283"/>
              <w:rPr/>
            </w:pPr>
            <w:r>
              <w:rPr/>
              <w:t> </w:t>
            </w:r>
          </w:p>
        </w:tc>
      </w:tr>
      <w:tr>
        <w:trPr/>
        <w:tc>
          <w:tcPr>
            <w:tcW w:w="414" w:type="dxa"/>
            <w:tcBorders/>
            <w:shd w:fill="E5FFFF" w:val="clear"/>
            <w:vAlign w:val="bottom"/>
          </w:tcPr>
          <w:p>
            <w:pPr>
              <w:pStyle w:val="TableContents"/>
              <w:spacing w:before="0" w:after="283"/>
              <w:jc w:val="left"/>
              <w:rPr/>
            </w:pPr>
            <w:r>
              <w:rPr/>
              <w:t>      </w:t>
            </w:r>
          </w:p>
        </w:tc>
        <w:tc>
          <w:tcPr>
            <w:tcW w:w="5942" w:type="dxa"/>
            <w:tcBorders/>
            <w:shd w:fill="E5FFFF" w:val="clear"/>
            <w:vAlign w:val="bottom"/>
          </w:tcPr>
          <w:p>
            <w:pPr>
              <w:pStyle w:val="TableContents"/>
              <w:spacing w:before="0" w:after="283"/>
              <w:jc w:val="left"/>
              <w:rPr>
                <w:rFonts w:ascii="Arial" w:hAnsi="Arial"/>
              </w:rPr>
            </w:pPr>
            <w:r>
              <w:rPr>
                <w:rFonts w:ascii="Arial" w:hAnsi="Arial"/>
              </w:rPr>
              <w:t>Non-cash investing and financing activities:</w:t>
            </w:r>
          </w:p>
        </w:tc>
        <w:tc>
          <w:tcPr>
            <w:tcW w:w="276" w:type="dxa"/>
            <w:tcBorders/>
            <w:shd w:fill="E5FFFF" w:val="clear"/>
            <w:vAlign w:val="center"/>
          </w:tcPr>
          <w:p>
            <w:pPr>
              <w:pStyle w:val="TableContents"/>
              <w:spacing w:before="0" w:after="283"/>
              <w:rPr/>
            </w:pPr>
            <w:r>
              <w:rPr/>
              <w:t> </w:t>
            </w:r>
          </w:p>
        </w:tc>
        <w:tc>
          <w:tcPr>
            <w:tcW w:w="182" w:type="dxa"/>
            <w:tcBorders/>
            <w:shd w:fill="E5FFFF" w:val="clear"/>
            <w:vAlign w:val="center"/>
          </w:tcPr>
          <w:p>
            <w:pPr>
              <w:pStyle w:val="TableContents"/>
              <w:spacing w:before="0" w:after="283"/>
              <w:rPr/>
            </w:pPr>
            <w:r>
              <w:rPr/>
              <w:t> </w:t>
            </w:r>
          </w:p>
        </w:tc>
        <w:tc>
          <w:tcPr>
            <w:tcW w:w="586" w:type="dxa"/>
            <w:tcBorders/>
            <w:shd w:fill="E5FFFF" w:val="clear"/>
            <w:vAlign w:val="center"/>
          </w:tcPr>
          <w:p>
            <w:pPr>
              <w:pStyle w:val="TableContents"/>
              <w:spacing w:before="0" w:after="283"/>
              <w:rPr/>
            </w:pPr>
            <w:r>
              <w:rPr/>
              <w:t> </w:t>
            </w:r>
          </w:p>
        </w:tc>
        <w:tc>
          <w:tcPr>
            <w:tcW w:w="112" w:type="dxa"/>
            <w:tcBorders/>
            <w:shd w:fill="E5FFFF" w:val="clear"/>
            <w:vAlign w:val="center"/>
          </w:tcPr>
          <w:p>
            <w:pPr>
              <w:pStyle w:val="TableContents"/>
              <w:spacing w:before="0" w:after="283"/>
              <w:rPr/>
            </w:pPr>
            <w:r>
              <w:rPr/>
              <w:t> </w:t>
            </w:r>
          </w:p>
        </w:tc>
        <w:tc>
          <w:tcPr>
            <w:tcW w:w="352" w:type="dxa"/>
            <w:tcBorders/>
            <w:shd w:fill="E5FFFF" w:val="clear"/>
            <w:vAlign w:val="center"/>
          </w:tcPr>
          <w:p>
            <w:pPr>
              <w:pStyle w:val="TableContents"/>
              <w:spacing w:before="0" w:after="283"/>
              <w:rPr/>
            </w:pPr>
            <w:r>
              <w:rPr/>
              <w:t> </w:t>
            </w:r>
          </w:p>
        </w:tc>
        <w:tc>
          <w:tcPr>
            <w:tcW w:w="182" w:type="dxa"/>
            <w:tcBorders/>
            <w:shd w:fill="E5FFFF" w:val="clear"/>
            <w:vAlign w:val="center"/>
          </w:tcPr>
          <w:p>
            <w:pPr>
              <w:pStyle w:val="TableContents"/>
              <w:spacing w:before="0" w:after="283"/>
              <w:rPr/>
            </w:pPr>
            <w:r>
              <w:rPr/>
              <w:t> </w:t>
            </w:r>
          </w:p>
        </w:tc>
        <w:tc>
          <w:tcPr>
            <w:tcW w:w="815" w:type="dxa"/>
            <w:tcBorders/>
            <w:shd w:fill="E5FFFF" w:val="clear"/>
            <w:vAlign w:val="center"/>
          </w:tcPr>
          <w:p>
            <w:pPr>
              <w:pStyle w:val="TableContents"/>
              <w:spacing w:before="0" w:after="283"/>
              <w:rPr/>
            </w:pPr>
            <w:r>
              <w:rPr/>
              <w:t> </w:t>
            </w:r>
          </w:p>
        </w:tc>
        <w:tc>
          <w:tcPr>
            <w:tcW w:w="112" w:type="dxa"/>
            <w:tcBorders/>
            <w:shd w:fill="E5FFFF" w:val="clear"/>
            <w:vAlign w:val="center"/>
          </w:tcPr>
          <w:p>
            <w:pPr>
              <w:pStyle w:val="TableContents"/>
              <w:spacing w:before="0" w:after="283"/>
              <w:rPr/>
            </w:pPr>
            <w:r>
              <w:rPr/>
              <w:t> </w:t>
            </w:r>
          </w:p>
        </w:tc>
        <w:tc>
          <w:tcPr>
            <w:tcW w:w="352" w:type="dxa"/>
            <w:tcBorders/>
            <w:shd w:fill="E5FFFF" w:val="clear"/>
            <w:vAlign w:val="center"/>
          </w:tcPr>
          <w:p>
            <w:pPr>
              <w:pStyle w:val="TableContents"/>
              <w:spacing w:before="0" w:after="283"/>
              <w:rPr/>
            </w:pPr>
            <w:r>
              <w:rPr/>
              <w:t> </w:t>
            </w:r>
          </w:p>
        </w:tc>
        <w:tc>
          <w:tcPr>
            <w:tcW w:w="181" w:type="dxa"/>
            <w:tcBorders/>
            <w:shd w:fill="E5FFFF" w:val="clear"/>
            <w:vAlign w:val="center"/>
          </w:tcPr>
          <w:p>
            <w:pPr>
              <w:pStyle w:val="TableContents"/>
              <w:spacing w:before="0" w:after="283"/>
              <w:rPr/>
            </w:pPr>
            <w:r>
              <w:rPr/>
              <w:t> </w:t>
            </w:r>
          </w:p>
        </w:tc>
        <w:tc>
          <w:tcPr>
            <w:tcW w:w="587" w:type="dxa"/>
            <w:tcBorders/>
            <w:shd w:fill="E5FFFF" w:val="clear"/>
            <w:vAlign w:val="center"/>
          </w:tcPr>
          <w:p>
            <w:pPr>
              <w:pStyle w:val="TableContents"/>
              <w:spacing w:before="0" w:after="283"/>
              <w:rPr/>
            </w:pPr>
            <w:r>
              <w:rPr/>
              <w:t> </w:t>
            </w:r>
          </w:p>
        </w:tc>
        <w:tc>
          <w:tcPr>
            <w:tcW w:w="112" w:type="dxa"/>
            <w:tcBorders/>
            <w:shd w:fill="E5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5942" w:type="dxa"/>
            <w:tcBorders/>
            <w:shd w:fill="FFFFFF" w:val="clear"/>
            <w:vAlign w:val="bottom"/>
          </w:tcPr>
          <w:p>
            <w:pPr>
              <w:pStyle w:val="TableContents"/>
              <w:spacing w:before="0" w:after="283"/>
              <w:jc w:val="left"/>
              <w:rPr>
                <w:rFonts w:ascii="Arial" w:hAnsi="Arial"/>
              </w:rPr>
            </w:pPr>
            <w:r>
              <w:rPr>
                <w:rFonts w:ascii="Arial" w:hAnsi="Arial"/>
              </w:rPr>
              <w:t>Common stock contributed to U.S. savings plans</w:t>
            </w:r>
          </w:p>
        </w:tc>
        <w:tc>
          <w:tcPr>
            <w:tcW w:w="276"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bottom"/>
          </w:tcPr>
          <w:p>
            <w:pPr>
              <w:pStyle w:val="TableContents"/>
              <w:spacing w:before="0" w:after="283"/>
              <w:jc w:val="right"/>
              <w:rPr>
                <w:rFonts w:ascii="Arial" w:hAnsi="Arial"/>
              </w:rPr>
            </w:pPr>
            <w:r>
              <w:rPr>
                <w:rFonts w:ascii="Arial" w:hAnsi="Arial"/>
              </w:rPr>
              <w:t>179</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bottom"/>
          </w:tcPr>
          <w:p>
            <w:pPr>
              <w:pStyle w:val="TableContents"/>
              <w:spacing w:before="0" w:after="283"/>
              <w:jc w:val="right"/>
              <w:rPr>
                <w:rFonts w:ascii="Arial" w:hAnsi="Arial"/>
              </w:rPr>
            </w:pPr>
            <w:r>
              <w:rPr>
                <w:rFonts w:ascii="Arial" w:hAnsi="Arial"/>
              </w:rPr>
              <w:t>153</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bottom"/>
          </w:tcPr>
          <w:p>
            <w:pPr>
              <w:pStyle w:val="TableContents"/>
              <w:spacing w:before="0" w:after="283"/>
              <w:jc w:val="right"/>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bottom"/>
          </w:tcPr>
          <w:p>
            <w:pPr>
              <w:pStyle w:val="TableContents"/>
              <w:spacing w:before="0" w:after="283"/>
              <w:jc w:val="right"/>
              <w:rPr>
                <w:rFonts w:ascii="Arial" w:hAnsi="Arial"/>
              </w:rPr>
            </w:pPr>
            <w:r>
              <w:rPr>
                <w:rFonts w:ascii="Arial" w:hAnsi="Arial"/>
              </w:rPr>
              <w:t>151</w:t>
            </w:r>
          </w:p>
        </w:tc>
        <w:tc>
          <w:tcPr>
            <w:tcW w:w="112" w:type="dxa"/>
            <w:tcBorders/>
            <w:shd w:fill="FFFFFF" w:val="clear"/>
            <w:vAlign w:val="center"/>
          </w:tcPr>
          <w:p>
            <w:pPr>
              <w:pStyle w:val="TableContents"/>
              <w:spacing w:before="0" w:after="283"/>
              <w:rPr/>
            </w:pPr>
            <w:r>
              <w:rPr/>
              <w:t> </w:t>
            </w:r>
          </w:p>
        </w:tc>
      </w:tr>
      <w:tr>
        <w:trPr/>
        <w:tc>
          <w:tcPr>
            <w:tcW w:w="414" w:type="dxa"/>
            <w:tcBorders/>
            <w:shd w:fill="FFFFFF" w:val="clear"/>
            <w:vAlign w:val="bottom"/>
          </w:tcPr>
          <w:p>
            <w:pPr>
              <w:pStyle w:val="TableContents"/>
              <w:spacing w:before="0" w:after="283"/>
              <w:jc w:val="left"/>
              <w:rPr/>
            </w:pPr>
            <w:r>
              <w:rPr/>
              <w:t>      </w:t>
            </w:r>
          </w:p>
        </w:tc>
        <w:tc>
          <w:tcPr>
            <w:tcW w:w="5942" w:type="dxa"/>
            <w:tcBorders/>
            <w:shd w:fill="FFFFFF" w:val="clear"/>
            <w:vAlign w:val="bottom"/>
          </w:tcPr>
          <w:p>
            <w:pPr>
              <w:pStyle w:val="TableContents"/>
              <w:spacing w:before="0" w:after="283"/>
              <w:rPr>
                <w:sz w:val="4"/>
                <w:szCs w:val="4"/>
              </w:rPr>
            </w:pPr>
            <w:r>
              <w:rPr>
                <w:sz w:val="4"/>
                <w:szCs w:val="4"/>
              </w:rPr>
            </w:r>
          </w:p>
        </w:tc>
        <w:tc>
          <w:tcPr>
            <w:tcW w:w="276"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586"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815"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rPr/>
            </w:pPr>
            <w:r>
              <w:rPr/>
              <w:t> </w:t>
            </w:r>
          </w:p>
        </w:tc>
        <w:tc>
          <w:tcPr>
            <w:tcW w:w="181"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94</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NOTES TO FINANCIAL STATEMENTS—(Continued)</w:t>
        <w:br/>
      </w:r>
      <w:r>
        <w:rPr>
          <w:rFonts w:ascii="Arial" w:hAnsi="Arial"/>
          <w:b/>
          <w:sz w:val="14"/>
        </w:rPr>
        <w:t>(Dollars in millions, except per share amounts)</w:t>
      </w:r>
    </w:p>
    <w:p>
      <w:pPr>
        <w:pStyle w:val="TextBody"/>
        <w:jc w:val="left"/>
        <w:rPr>
          <w:rFonts w:ascii="Arial" w:hAnsi="Arial"/>
          <w:b/>
        </w:rPr>
      </w:pPr>
      <w:r>
        <w:rPr>
          <w:rFonts w:ascii="Arial" w:hAnsi="Arial"/>
          <w:b/>
        </w:rPr>
        <w:t>Note 26—Unaudited Quarterly Financial Information</w:t>
      </w:r>
    </w:p>
    <w:tbl>
      <w:tblPr>
        <w:tblW w:w="10960" w:type="dxa"/>
        <w:jc w:val="left"/>
        <w:tblInd w:w="0" w:type="dxa"/>
        <w:tblCellMar>
          <w:top w:w="0" w:type="dxa"/>
          <w:left w:w="0" w:type="dxa"/>
          <w:bottom w:w="0" w:type="dxa"/>
          <w:right w:w="0" w:type="dxa"/>
        </w:tblCellMar>
      </w:tblPr>
      <w:tblGrid>
        <w:gridCol w:w="800"/>
        <w:gridCol w:w="120"/>
        <w:gridCol w:w="95"/>
        <w:gridCol w:w="725"/>
        <w:gridCol w:w="60"/>
        <w:gridCol w:w="240"/>
        <w:gridCol w:w="95"/>
        <w:gridCol w:w="725"/>
        <w:gridCol w:w="60"/>
        <w:gridCol w:w="240"/>
        <w:gridCol w:w="95"/>
        <w:gridCol w:w="725"/>
        <w:gridCol w:w="60"/>
        <w:gridCol w:w="240"/>
        <w:gridCol w:w="95"/>
        <w:gridCol w:w="725"/>
        <w:gridCol w:w="60"/>
        <w:gridCol w:w="240"/>
        <w:gridCol w:w="95"/>
        <w:gridCol w:w="800"/>
        <w:gridCol w:w="60"/>
        <w:gridCol w:w="120"/>
        <w:gridCol w:w="95"/>
        <w:gridCol w:w="395"/>
        <w:gridCol w:w="60"/>
        <w:gridCol w:w="420"/>
        <w:gridCol w:w="95"/>
        <w:gridCol w:w="395"/>
        <w:gridCol w:w="60"/>
        <w:gridCol w:w="420"/>
        <w:gridCol w:w="95"/>
        <w:gridCol w:w="395"/>
        <w:gridCol w:w="60"/>
        <w:gridCol w:w="420"/>
        <w:gridCol w:w="95"/>
        <w:gridCol w:w="395"/>
        <w:gridCol w:w="65"/>
        <w:gridCol w:w="420"/>
        <w:gridCol w:w="95"/>
        <w:gridCol w:w="440"/>
        <w:gridCol w:w="65"/>
      </w:tblGrid>
      <w:tr>
        <w:trPr/>
        <w:tc>
          <w:tcPr>
            <w:tcW w:w="80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5435" w:type="dxa"/>
            <w:gridSpan w:val="19"/>
            <w:tcBorders/>
            <w:shd w:fill="FFFFFF" w:val="clear"/>
            <w:vAlign w:val="bottom"/>
          </w:tcPr>
          <w:p>
            <w:pPr>
              <w:pStyle w:val="TableContents"/>
              <w:spacing w:before="0" w:after="0"/>
              <w:jc w:val="center"/>
              <w:rPr>
                <w:rFonts w:ascii="Arial" w:hAnsi="Arial"/>
                <w:b/>
                <w:sz w:val="14"/>
              </w:rPr>
            </w:pPr>
            <w:r>
              <w:rPr>
                <w:rFonts w:ascii="Arial" w:hAnsi="Arial"/>
                <w:b/>
                <w:sz w:val="14"/>
              </w:rPr>
              <w:t>2006</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4485" w:type="dxa"/>
            <w:gridSpan w:val="19"/>
            <w:tcBorders/>
            <w:shd w:fill="FFFFFF" w:val="clear"/>
            <w:vAlign w:val="bottom"/>
          </w:tcPr>
          <w:p>
            <w:pPr>
              <w:pStyle w:val="TableContents"/>
              <w:spacing w:before="0" w:after="0"/>
              <w:jc w:val="center"/>
              <w:rPr>
                <w:rFonts w:ascii="Arial" w:hAnsi="Arial"/>
                <w:b/>
                <w:sz w:val="14"/>
              </w:rPr>
            </w:pPr>
            <w:r>
              <w:rPr>
                <w:rFonts w:ascii="Arial" w:hAnsi="Arial"/>
                <w:b/>
                <w:sz w:val="14"/>
              </w:rPr>
              <w:t>2005</w:t>
            </w:r>
          </w:p>
          <w:p>
            <w:pPr>
              <w:pStyle w:val="HorizontalLine"/>
              <w:pBdr>
                <w:bottom w:val="single" w:sz="6" w:space="0" w:color="000000"/>
              </w:pBdr>
              <w:spacing w:before="0" w:after="283"/>
              <w:rPr/>
            </w:pPr>
            <w:r>
              <w:rPr/>
            </w:r>
          </w:p>
        </w:tc>
      </w:tr>
      <w:tr>
        <w:trPr/>
        <w:tc>
          <w:tcPr>
            <w:tcW w:w="80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88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Mar. 31</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8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June 30</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8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Sept. 30</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88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Dec. 31</w:t>
            </w:r>
          </w:p>
          <w:p>
            <w:pPr>
              <w:pStyle w:val="HorizontalLine"/>
              <w:pBdr>
                <w:bottom w:val="single" w:sz="6" w:space="0" w:color="000000"/>
              </w:pBdr>
              <w:spacing w:before="0" w:after="283"/>
              <w:rPr/>
            </w:pPr>
            <w:r>
              <w:rPr/>
            </w:r>
          </w:p>
        </w:tc>
        <w:tc>
          <w:tcPr>
            <w:tcW w:w="240" w:type="dxa"/>
            <w:tcBorders/>
            <w:shd w:fill="FFFFFF" w:val="clear"/>
            <w:vAlign w:val="center"/>
          </w:tcPr>
          <w:p>
            <w:pPr>
              <w:pStyle w:val="TableContents"/>
              <w:spacing w:before="0" w:after="283"/>
              <w:rPr/>
            </w:pPr>
            <w:r>
              <w:rPr/>
              <w:t> </w:t>
            </w:r>
          </w:p>
        </w:tc>
        <w:tc>
          <w:tcPr>
            <w:tcW w:w="955"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Year</w:t>
            </w:r>
          </w:p>
          <w:p>
            <w:pPr>
              <w:pStyle w:val="HorizontalLine"/>
              <w:pBdr>
                <w:bottom w:val="single" w:sz="6" w:space="0" w:color="000000"/>
              </w:pBdr>
              <w:spacing w:before="0" w:after="283"/>
              <w:rPr/>
            </w:pPr>
            <w:r>
              <w:rPr/>
            </w:r>
          </w:p>
        </w:tc>
        <w:tc>
          <w:tcPr>
            <w:tcW w:w="120" w:type="dxa"/>
            <w:tcBorders/>
            <w:shd w:fill="FFFFFF" w:val="clear"/>
            <w:vAlign w:val="center"/>
          </w:tcPr>
          <w:p>
            <w:pPr>
              <w:pStyle w:val="TableContents"/>
              <w:spacing w:before="0" w:after="283"/>
              <w:rPr/>
            </w:pPr>
            <w:r>
              <w:rPr/>
              <w:t> </w:t>
            </w:r>
          </w:p>
        </w:tc>
        <w:tc>
          <w:tcPr>
            <w:tcW w:w="55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Mar. 31</w:t>
            </w:r>
          </w:p>
          <w:p>
            <w:pPr>
              <w:pStyle w:val="HorizontalLine"/>
              <w:pBdr>
                <w:bottom w:val="single" w:sz="6" w:space="0" w:color="000000"/>
              </w:pBdr>
              <w:spacing w:before="0" w:after="283"/>
              <w:rPr/>
            </w:pPr>
            <w:r>
              <w:rPr/>
            </w:r>
          </w:p>
        </w:tc>
        <w:tc>
          <w:tcPr>
            <w:tcW w:w="420" w:type="dxa"/>
            <w:tcBorders/>
            <w:shd w:fill="FFFFFF" w:val="clear"/>
            <w:vAlign w:val="center"/>
          </w:tcPr>
          <w:p>
            <w:pPr>
              <w:pStyle w:val="TableContents"/>
              <w:spacing w:before="0" w:after="283"/>
              <w:rPr/>
            </w:pPr>
            <w:r>
              <w:rPr/>
              <w:t> </w:t>
            </w:r>
          </w:p>
        </w:tc>
        <w:tc>
          <w:tcPr>
            <w:tcW w:w="55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June 30</w:t>
            </w:r>
          </w:p>
          <w:p>
            <w:pPr>
              <w:pStyle w:val="HorizontalLine"/>
              <w:pBdr>
                <w:bottom w:val="single" w:sz="6" w:space="0" w:color="000000"/>
              </w:pBdr>
              <w:spacing w:before="0" w:after="283"/>
              <w:rPr/>
            </w:pPr>
            <w:r>
              <w:rPr/>
            </w:r>
          </w:p>
        </w:tc>
        <w:tc>
          <w:tcPr>
            <w:tcW w:w="420" w:type="dxa"/>
            <w:tcBorders/>
            <w:shd w:fill="FFFFFF" w:val="clear"/>
            <w:vAlign w:val="center"/>
          </w:tcPr>
          <w:p>
            <w:pPr>
              <w:pStyle w:val="TableContents"/>
              <w:spacing w:before="0" w:after="283"/>
              <w:rPr/>
            </w:pPr>
            <w:r>
              <w:rPr/>
              <w:t> </w:t>
            </w:r>
          </w:p>
        </w:tc>
        <w:tc>
          <w:tcPr>
            <w:tcW w:w="55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Sept. 30</w:t>
            </w:r>
          </w:p>
          <w:p>
            <w:pPr>
              <w:pStyle w:val="HorizontalLine"/>
              <w:pBdr>
                <w:bottom w:val="single" w:sz="6" w:space="0" w:color="000000"/>
              </w:pBdr>
              <w:spacing w:before="0" w:after="283"/>
              <w:rPr/>
            </w:pPr>
            <w:r>
              <w:rPr/>
            </w:r>
          </w:p>
        </w:tc>
        <w:tc>
          <w:tcPr>
            <w:tcW w:w="420" w:type="dxa"/>
            <w:tcBorders/>
            <w:shd w:fill="FFFFFF" w:val="clear"/>
            <w:vAlign w:val="center"/>
          </w:tcPr>
          <w:p>
            <w:pPr>
              <w:pStyle w:val="TableContents"/>
              <w:spacing w:before="0" w:after="283"/>
              <w:rPr/>
            </w:pPr>
            <w:r>
              <w:rPr/>
              <w:t> </w:t>
            </w:r>
          </w:p>
        </w:tc>
        <w:tc>
          <w:tcPr>
            <w:tcW w:w="555"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Dec. 31</w:t>
            </w:r>
          </w:p>
          <w:p>
            <w:pPr>
              <w:pStyle w:val="HorizontalLine"/>
              <w:pBdr>
                <w:bottom w:val="single" w:sz="6" w:space="0" w:color="000000"/>
              </w:pBdr>
              <w:spacing w:before="0" w:after="283"/>
              <w:rPr/>
            </w:pPr>
            <w:r>
              <w:rPr/>
            </w:r>
          </w:p>
        </w:tc>
        <w:tc>
          <w:tcPr>
            <w:tcW w:w="420" w:type="dxa"/>
            <w:tcBorders/>
            <w:shd w:fill="FFFFFF" w:val="clear"/>
            <w:vAlign w:val="center"/>
          </w:tcPr>
          <w:p>
            <w:pPr>
              <w:pStyle w:val="TableContents"/>
              <w:spacing w:before="0" w:after="283"/>
              <w:rPr/>
            </w:pPr>
            <w:r>
              <w:rPr/>
              <w:t> </w:t>
            </w:r>
          </w:p>
        </w:tc>
        <w:tc>
          <w:tcPr>
            <w:tcW w:w="600" w:type="dxa"/>
            <w:gridSpan w:val="3"/>
            <w:tcBorders/>
            <w:shd w:fill="FFFFFF" w:val="clear"/>
            <w:vAlign w:val="bottom"/>
          </w:tcPr>
          <w:p>
            <w:pPr>
              <w:pStyle w:val="TableContents"/>
              <w:spacing w:before="0" w:after="0"/>
              <w:jc w:val="center"/>
              <w:rPr>
                <w:rFonts w:ascii="Arial" w:hAnsi="Arial"/>
                <w:b/>
                <w:sz w:val="14"/>
              </w:rPr>
            </w:pPr>
            <w:r>
              <w:rPr>
                <w:rFonts w:ascii="Arial" w:hAnsi="Arial"/>
                <w:b/>
                <w:sz w:val="14"/>
              </w:rPr>
              <w:t>Year</w:t>
            </w:r>
          </w:p>
          <w:p>
            <w:pPr>
              <w:pStyle w:val="HorizontalLine"/>
              <w:pBdr>
                <w:bottom w:val="single" w:sz="6" w:space="0" w:color="000000"/>
              </w:pBdr>
              <w:spacing w:before="0" w:after="283"/>
              <w:rPr/>
            </w:pPr>
            <w:r>
              <w:rPr/>
            </w:r>
          </w:p>
        </w:tc>
      </w:tr>
      <w:tr>
        <w:trPr/>
        <w:tc>
          <w:tcPr>
            <w:tcW w:w="800" w:type="dxa"/>
            <w:tcBorders/>
            <w:shd w:fill="E5FFFF" w:val="clear"/>
            <w:vAlign w:val="bottom"/>
          </w:tcPr>
          <w:p>
            <w:pPr>
              <w:pStyle w:val="TableContents"/>
              <w:spacing w:before="0" w:after="283"/>
              <w:rPr>
                <w:sz w:val="4"/>
                <w:szCs w:val="4"/>
              </w:rPr>
            </w:pPr>
            <w:r>
              <w:rPr>
                <w:sz w:val="4"/>
                <w:szCs w:val="4"/>
              </w:rPr>
            </w:r>
          </w:p>
        </w:tc>
        <w:tc>
          <w:tcPr>
            <w:tcW w:w="1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Net sales</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25" w:type="dxa"/>
            <w:tcBorders/>
            <w:shd w:fill="FFFFFF" w:val="clear"/>
            <w:vAlign w:val="bottom"/>
          </w:tcPr>
          <w:p>
            <w:pPr>
              <w:pStyle w:val="TableContents"/>
              <w:spacing w:before="0" w:after="283"/>
              <w:jc w:val="right"/>
              <w:rPr/>
            </w:pPr>
            <w:r>
              <w:rPr/>
              <w:t>      </w:t>
            </w:r>
            <w:r>
              <w:rPr>
                <w:rFonts w:ascii="Arial" w:hAnsi="Arial"/>
                <w:sz w:val="14"/>
              </w:rPr>
              <w:t>7,241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25" w:type="dxa"/>
            <w:tcBorders/>
            <w:shd w:fill="FFFFFF" w:val="clear"/>
            <w:vAlign w:val="bottom"/>
          </w:tcPr>
          <w:p>
            <w:pPr>
              <w:pStyle w:val="TableContents"/>
              <w:spacing w:before="0" w:after="283"/>
              <w:jc w:val="right"/>
              <w:rPr/>
            </w:pPr>
            <w:r>
              <w:rPr/>
              <w:t>      </w:t>
            </w:r>
            <w:r>
              <w:rPr>
                <w:rFonts w:ascii="Arial" w:hAnsi="Arial"/>
                <w:sz w:val="14"/>
              </w:rPr>
              <w:t>7,898</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25" w:type="dxa"/>
            <w:tcBorders/>
            <w:shd w:fill="FFFFFF" w:val="clear"/>
            <w:vAlign w:val="bottom"/>
          </w:tcPr>
          <w:p>
            <w:pPr>
              <w:pStyle w:val="TableContents"/>
              <w:spacing w:before="0" w:after="283"/>
              <w:jc w:val="right"/>
              <w:rPr/>
            </w:pPr>
            <w:r>
              <w:rPr/>
              <w:t>      </w:t>
            </w:r>
            <w:r>
              <w:rPr>
                <w:rFonts w:ascii="Arial" w:hAnsi="Arial"/>
                <w:sz w:val="14"/>
              </w:rPr>
              <w:t>7,952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725" w:type="dxa"/>
            <w:tcBorders/>
            <w:shd w:fill="FFFFFF" w:val="clear"/>
            <w:vAlign w:val="bottom"/>
          </w:tcPr>
          <w:p>
            <w:pPr>
              <w:pStyle w:val="TableContents"/>
              <w:spacing w:before="0" w:after="283"/>
              <w:jc w:val="right"/>
              <w:rPr/>
            </w:pPr>
            <w:r>
              <w:rPr/>
              <w:t>      </w:t>
            </w:r>
            <w:r>
              <w:rPr>
                <w:rFonts w:ascii="Arial" w:hAnsi="Arial"/>
                <w:sz w:val="14"/>
              </w:rPr>
              <w:t>8,276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800" w:type="dxa"/>
            <w:tcBorders/>
            <w:shd w:fill="FFFFFF" w:val="clear"/>
            <w:vAlign w:val="bottom"/>
          </w:tcPr>
          <w:p>
            <w:pPr>
              <w:pStyle w:val="TableContents"/>
              <w:spacing w:before="0" w:after="283"/>
              <w:jc w:val="right"/>
              <w:rPr/>
            </w:pPr>
            <w:r>
              <w:rPr/>
              <w:t>      </w:t>
            </w:r>
            <w:r>
              <w:rPr>
                <w:rFonts w:ascii="Arial" w:hAnsi="Arial"/>
                <w:sz w:val="14"/>
              </w:rPr>
              <w:t>31,367</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6,449</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7,028</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6,900</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7,275</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right"/>
              <w:rPr>
                <w:rFonts w:ascii="Arial" w:hAnsi="Arial"/>
                <w:sz w:val="14"/>
              </w:rPr>
            </w:pPr>
            <w:r>
              <w:rPr>
                <w:rFonts w:ascii="Arial" w:hAnsi="Arial"/>
                <w:sz w:val="14"/>
              </w:rPr>
              <w:t>$</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27,652</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Gross profit</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1,641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1,871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1,841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1,918</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7,271</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1,367</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1,525</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1,598</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1,638</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6,128</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Income from continuing operations</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431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521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541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585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rFonts w:ascii="Arial" w:hAnsi="Arial"/>
                <w:sz w:val="14"/>
              </w:rPr>
            </w:pPr>
            <w:r>
              <w:rPr>
                <w:rFonts w:ascii="Arial" w:hAnsi="Arial"/>
                <w:sz w:val="14"/>
              </w:rPr>
              <w:t>2,078</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358</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274</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427</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505</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1,564</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Income from discontinued operations</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5</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28</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37</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30</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95</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Cumulative effect of accounting change(1)</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(21</w:t>
            </w:r>
          </w:p>
        </w:tc>
        <w:tc>
          <w:tcPr>
            <w:tcW w:w="65"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(21</w:t>
            </w:r>
          </w:p>
        </w:tc>
        <w:tc>
          <w:tcPr>
            <w:tcW w:w="65" w:type="dxa"/>
            <w:tcBorders/>
            <w:shd w:fill="FFFFFF" w:val="clear"/>
            <w:vAlign w:val="bottom"/>
          </w:tcPr>
          <w:p>
            <w:pPr>
              <w:pStyle w:val="TableContents"/>
              <w:spacing w:before="0" w:after="283"/>
              <w:jc w:val="left"/>
              <w:rPr>
                <w:rFonts w:ascii="Arial" w:hAnsi="Arial"/>
                <w:sz w:val="14"/>
              </w:rPr>
            </w:pPr>
            <w:r>
              <w:rPr>
                <w:rFonts w:ascii="Arial" w:hAnsi="Arial"/>
                <w:sz w:val="14"/>
              </w:rPr>
              <w:t>)</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Net income</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436</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521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541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585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2,083</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358</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302</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464</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514</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1,638</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Earnings per share—basic:</w:t>
            </w:r>
          </w:p>
        </w:tc>
        <w:tc>
          <w:tcPr>
            <w:tcW w:w="1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Income from continuing operations</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.51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.63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.66</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.72</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2.53</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.42</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.33</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.50</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.60</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1.85</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Income from discontinued operations</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.01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rFonts w:ascii="Arial" w:hAnsi="Arial"/>
                <w:sz w:val="14"/>
              </w:rPr>
            </w:pPr>
            <w:r>
              <w:rPr>
                <w:rFonts w:ascii="Arial" w:hAnsi="Arial"/>
                <w:sz w:val="14"/>
              </w:rPr>
              <w:t>.01</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.03</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.04</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.04</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.11</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Cumulative effect of accounting change</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(.03</w:t>
            </w:r>
          </w:p>
        </w:tc>
        <w:tc>
          <w:tcPr>
            <w:tcW w:w="65" w:type="dxa"/>
            <w:tcBorders/>
            <w:shd w:fill="E5FFFF" w:val="clear"/>
            <w:vAlign w:val="bottom"/>
          </w:tcPr>
          <w:p>
            <w:pPr>
              <w:pStyle w:val="TableContents"/>
              <w:spacing w:before="0" w:after="283"/>
              <w:jc w:val="left"/>
              <w:rPr>
                <w:rFonts w:ascii="Arial" w:hAnsi="Arial"/>
                <w:sz w:val="14"/>
              </w:rPr>
            </w:pPr>
            <w:r>
              <w:rPr>
                <w:rFonts w:ascii="Arial" w:hAnsi="Arial"/>
                <w:sz w:val="14"/>
              </w:rPr>
              <w:t>)</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(.03</w:t>
            </w:r>
          </w:p>
        </w:tc>
        <w:tc>
          <w:tcPr>
            <w:tcW w:w="65" w:type="dxa"/>
            <w:tcBorders/>
            <w:shd w:fill="E5FFFF" w:val="clear"/>
            <w:vAlign w:val="bottom"/>
          </w:tcPr>
          <w:p>
            <w:pPr>
              <w:pStyle w:val="TableContents"/>
              <w:spacing w:before="0" w:after="283"/>
              <w:jc w:val="left"/>
              <w:rPr>
                <w:rFonts w:ascii="Arial" w:hAnsi="Arial"/>
                <w:sz w:val="14"/>
              </w:rPr>
            </w:pPr>
            <w:r>
              <w:rPr>
                <w:rFonts w:ascii="Arial" w:hAnsi="Arial"/>
                <w:sz w:val="14"/>
              </w:rPr>
              <w:t>)</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Net income</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.52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.63</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.66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.72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rFonts w:ascii="Arial" w:hAnsi="Arial"/>
                <w:sz w:val="14"/>
              </w:rPr>
            </w:pPr>
            <w:r>
              <w:rPr>
                <w:rFonts w:ascii="Arial" w:hAnsi="Arial"/>
                <w:sz w:val="14"/>
              </w:rPr>
              <w:t>2.54</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.42</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.36</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.54</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.61</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1.93</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Earnings per share—assuming dilution:</w:t>
            </w:r>
          </w:p>
        </w:tc>
        <w:tc>
          <w:tcPr>
            <w:tcW w:w="1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Income from continuing operations</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.51</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.63</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.66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.72</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rFonts w:ascii="Arial" w:hAnsi="Arial"/>
                <w:sz w:val="14"/>
              </w:rPr>
            </w:pPr>
            <w:r>
              <w:rPr>
                <w:rFonts w:ascii="Arial" w:hAnsi="Arial"/>
                <w:sz w:val="14"/>
              </w:rPr>
              <w:t>2.51</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.42</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.33</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.50</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.60</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1.84</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Income from discontinued operations</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.01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.01</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pPr>
            <w:r>
              <w:rPr/>
              <w:t>—</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.03</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.04</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.04</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.11</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Cumulative effect of accounting change</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(.03</w:t>
            </w:r>
          </w:p>
        </w:tc>
        <w:tc>
          <w:tcPr>
            <w:tcW w:w="65" w:type="dxa"/>
            <w:tcBorders/>
            <w:shd w:fill="FFFFFF" w:val="clear"/>
            <w:vAlign w:val="bottom"/>
          </w:tcPr>
          <w:p>
            <w:pPr>
              <w:pStyle w:val="TableContents"/>
              <w:spacing w:before="0" w:after="283"/>
              <w:jc w:val="left"/>
              <w:rPr>
                <w:rFonts w:ascii="Arial" w:hAnsi="Arial"/>
                <w:sz w:val="14"/>
              </w:rPr>
            </w:pPr>
            <w:r>
              <w:rPr>
                <w:rFonts w:ascii="Arial" w:hAnsi="Arial"/>
                <w:sz w:val="14"/>
              </w:rPr>
              <w:t>)</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(.03</w:t>
            </w:r>
          </w:p>
        </w:tc>
        <w:tc>
          <w:tcPr>
            <w:tcW w:w="65" w:type="dxa"/>
            <w:tcBorders/>
            <w:shd w:fill="FFFFFF" w:val="clear"/>
            <w:vAlign w:val="bottom"/>
          </w:tcPr>
          <w:p>
            <w:pPr>
              <w:pStyle w:val="TableContents"/>
              <w:spacing w:before="0" w:after="283"/>
              <w:jc w:val="left"/>
              <w:rPr>
                <w:rFonts w:ascii="Arial" w:hAnsi="Arial"/>
                <w:sz w:val="14"/>
              </w:rPr>
            </w:pPr>
            <w:r>
              <w:rPr>
                <w:rFonts w:ascii="Arial" w:hAnsi="Arial"/>
                <w:sz w:val="14"/>
              </w:rPr>
              <w:t>)</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Net income</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.52</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.63</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.66</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.72</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2.52</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.42</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.36</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.54</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.61</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1.92</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Dividends paid</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.226875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.226875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.226875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.226875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rFonts w:ascii="Arial" w:hAnsi="Arial"/>
                <w:sz w:val="14"/>
              </w:rPr>
            </w:pPr>
            <w:r>
              <w:rPr>
                <w:rFonts w:ascii="Arial" w:hAnsi="Arial"/>
                <w:sz w:val="14"/>
              </w:rPr>
              <w:t>.9075</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.20625</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.20625</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.20625</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.20625</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.8250</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Market price(2)</w:t>
            </w:r>
          </w:p>
        </w:tc>
        <w:tc>
          <w:tcPr>
            <w:tcW w:w="1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center"/>
          </w:tcPr>
          <w:p>
            <w:pPr>
              <w:pStyle w:val="TableContents"/>
              <w:spacing w:before="0" w:after="283"/>
              <w:rPr/>
            </w:pPr>
            <w:r>
              <w:rPr/>
              <w:t> </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jc w:val="left"/>
              <w:rPr>
                <w:rFonts w:ascii="Arial" w:hAnsi="Arial"/>
                <w:sz w:val="14"/>
              </w:rPr>
            </w:pPr>
            <w:r>
              <w:rPr>
                <w:rFonts w:ascii="Arial" w:hAnsi="Arial"/>
                <w:sz w:val="14"/>
              </w:rPr>
              <w:t>High</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42.85</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44.16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41.37</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bottom"/>
          </w:tcPr>
          <w:p>
            <w:pPr>
              <w:pStyle w:val="TableContents"/>
              <w:spacing w:before="0" w:after="283"/>
              <w:jc w:val="right"/>
              <w:rPr>
                <w:rFonts w:ascii="Arial" w:hAnsi="Arial"/>
                <w:sz w:val="14"/>
              </w:rPr>
            </w:pPr>
            <w:r>
              <w:rPr>
                <w:rFonts w:ascii="Arial" w:hAnsi="Arial"/>
                <w:sz w:val="14"/>
              </w:rPr>
              <w:t>45.46</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bottom"/>
          </w:tcPr>
          <w:p>
            <w:pPr>
              <w:pStyle w:val="TableContents"/>
              <w:spacing w:before="0" w:after="283"/>
              <w:jc w:val="right"/>
              <w:rPr>
                <w:rFonts w:ascii="Arial" w:hAnsi="Arial"/>
                <w:sz w:val="14"/>
              </w:rPr>
            </w:pPr>
            <w:r>
              <w:rPr>
                <w:rFonts w:ascii="Arial" w:hAnsi="Arial"/>
                <w:sz w:val="14"/>
              </w:rPr>
              <w:t>45.46</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39.30</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38.12</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39.29</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bottom"/>
          </w:tcPr>
          <w:p>
            <w:pPr>
              <w:pStyle w:val="TableContents"/>
              <w:spacing w:before="0" w:after="283"/>
              <w:jc w:val="right"/>
              <w:rPr>
                <w:rFonts w:ascii="Arial" w:hAnsi="Arial"/>
                <w:sz w:val="14"/>
              </w:rPr>
            </w:pPr>
            <w:r>
              <w:rPr>
                <w:rFonts w:ascii="Arial" w:hAnsi="Arial"/>
                <w:sz w:val="14"/>
              </w:rPr>
              <w:t>37.96</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bottom"/>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bottom"/>
          </w:tcPr>
          <w:p>
            <w:pPr>
              <w:pStyle w:val="TableContents"/>
              <w:spacing w:before="0" w:after="283"/>
              <w:jc w:val="right"/>
              <w:rPr>
                <w:rFonts w:ascii="Arial" w:hAnsi="Arial"/>
                <w:sz w:val="14"/>
              </w:rPr>
            </w:pPr>
            <w:r>
              <w:rPr>
                <w:rFonts w:ascii="Arial" w:hAnsi="Arial"/>
                <w:sz w:val="14"/>
              </w:rPr>
              <w:t>39.30</w:t>
            </w:r>
          </w:p>
        </w:tc>
        <w:tc>
          <w:tcPr>
            <w:tcW w:w="65" w:type="dxa"/>
            <w:tcBorders/>
            <w:shd w:fill="FFFFFF" w:val="clear"/>
            <w:vAlign w:val="center"/>
          </w:tcPr>
          <w:p>
            <w:pPr>
              <w:pStyle w:val="TableContents"/>
              <w:spacing w:before="0" w:after="283"/>
              <w:rPr/>
            </w:pPr>
            <w:r>
              <w:rPr/>
              <w:t> </w:t>
            </w:r>
          </w:p>
        </w:tc>
      </w:tr>
      <w:tr>
        <w:trPr/>
        <w:tc>
          <w:tcPr>
            <w:tcW w:w="800" w:type="dxa"/>
            <w:tcBorders/>
            <w:shd w:fill="E5FFFF" w:val="clear"/>
            <w:vAlign w:val="bottom"/>
          </w:tcPr>
          <w:p>
            <w:pPr>
              <w:pStyle w:val="TableContents"/>
              <w:spacing w:before="0" w:after="283"/>
              <w:jc w:val="left"/>
              <w:rPr>
                <w:rFonts w:ascii="Arial" w:hAnsi="Arial"/>
                <w:sz w:val="14"/>
              </w:rPr>
            </w:pPr>
            <w:r>
              <w:rPr>
                <w:rFonts w:ascii="Arial" w:hAnsi="Arial"/>
                <w:sz w:val="14"/>
              </w:rPr>
              <w:t>Low</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35.84</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37.62</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36.21</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725" w:type="dxa"/>
            <w:tcBorders/>
            <w:shd w:fill="E5FFFF" w:val="clear"/>
            <w:vAlign w:val="bottom"/>
          </w:tcPr>
          <w:p>
            <w:pPr>
              <w:pStyle w:val="TableContents"/>
              <w:spacing w:before="0" w:after="283"/>
              <w:jc w:val="right"/>
              <w:rPr>
                <w:rFonts w:ascii="Arial" w:hAnsi="Arial"/>
                <w:sz w:val="14"/>
              </w:rPr>
            </w:pPr>
            <w:r>
              <w:rPr>
                <w:rFonts w:ascii="Arial" w:hAnsi="Arial"/>
                <w:sz w:val="14"/>
              </w:rPr>
              <w:t>41.35</w:t>
            </w:r>
          </w:p>
        </w:tc>
        <w:tc>
          <w:tcPr>
            <w:tcW w:w="60"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800" w:type="dxa"/>
            <w:tcBorders/>
            <w:shd w:fill="E5FFFF" w:val="clear"/>
            <w:vAlign w:val="bottom"/>
          </w:tcPr>
          <w:p>
            <w:pPr>
              <w:pStyle w:val="TableContents"/>
              <w:spacing w:before="0" w:after="283"/>
              <w:jc w:val="right"/>
              <w:rPr>
                <w:rFonts w:ascii="Arial" w:hAnsi="Arial"/>
                <w:sz w:val="14"/>
              </w:rPr>
            </w:pPr>
            <w:r>
              <w:rPr>
                <w:rFonts w:ascii="Arial" w:hAnsi="Arial"/>
                <w:sz w:val="14"/>
              </w:rPr>
              <w:t>35.84</w:t>
            </w:r>
          </w:p>
        </w:tc>
        <w:tc>
          <w:tcPr>
            <w:tcW w:w="60" w:type="dxa"/>
            <w:tcBorders/>
            <w:shd w:fill="E5FFFF" w:val="clear"/>
            <w:vAlign w:val="center"/>
          </w:tcPr>
          <w:p>
            <w:pPr>
              <w:pStyle w:val="TableContents"/>
              <w:spacing w:before="0" w:after="283"/>
              <w:rPr/>
            </w:pPr>
            <w:r>
              <w:rPr/>
              <w:t> </w:t>
            </w:r>
          </w:p>
        </w:tc>
        <w:tc>
          <w:tcPr>
            <w:tcW w:w="1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34.00</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35.17</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35.41</w:t>
            </w:r>
          </w:p>
        </w:tc>
        <w:tc>
          <w:tcPr>
            <w:tcW w:w="60"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395" w:type="dxa"/>
            <w:tcBorders/>
            <w:shd w:fill="E5FFFF" w:val="clear"/>
            <w:vAlign w:val="bottom"/>
          </w:tcPr>
          <w:p>
            <w:pPr>
              <w:pStyle w:val="TableContents"/>
              <w:spacing w:before="0" w:after="283"/>
              <w:jc w:val="right"/>
              <w:rPr>
                <w:rFonts w:ascii="Arial" w:hAnsi="Arial"/>
                <w:sz w:val="14"/>
              </w:rPr>
            </w:pPr>
            <w:r>
              <w:rPr>
                <w:rFonts w:ascii="Arial" w:hAnsi="Arial"/>
                <w:sz w:val="14"/>
              </w:rPr>
              <w:t>33.21</w:t>
            </w:r>
          </w:p>
        </w:tc>
        <w:tc>
          <w:tcPr>
            <w:tcW w:w="65" w:type="dxa"/>
            <w:tcBorders/>
            <w:shd w:fill="E5FFFF" w:val="clear"/>
            <w:vAlign w:val="center"/>
          </w:tcPr>
          <w:p>
            <w:pPr>
              <w:pStyle w:val="TableContents"/>
              <w:spacing w:before="0" w:after="283"/>
              <w:rPr/>
            </w:pPr>
            <w:r>
              <w:rPr/>
              <w:t> </w:t>
            </w:r>
          </w:p>
        </w:tc>
        <w:tc>
          <w:tcPr>
            <w:tcW w:w="420" w:type="dxa"/>
            <w:tcBorders/>
            <w:shd w:fill="E5FFFF" w:val="clear"/>
            <w:vAlign w:val="bottom"/>
          </w:tcPr>
          <w:p>
            <w:pPr>
              <w:pStyle w:val="TableContents"/>
              <w:spacing w:before="0" w:after="283"/>
              <w:jc w:val="right"/>
              <w:rPr/>
            </w:pPr>
            <w:r>
              <w:rPr/>
              <w:t>       </w:t>
            </w:r>
          </w:p>
        </w:tc>
        <w:tc>
          <w:tcPr>
            <w:tcW w:w="95" w:type="dxa"/>
            <w:tcBorders/>
            <w:shd w:fill="E5FFFF" w:val="clear"/>
            <w:vAlign w:val="center"/>
          </w:tcPr>
          <w:p>
            <w:pPr>
              <w:pStyle w:val="TableContents"/>
              <w:spacing w:before="0" w:after="283"/>
              <w:rPr/>
            </w:pPr>
            <w:r>
              <w:rPr/>
              <w:t> </w:t>
            </w:r>
          </w:p>
        </w:tc>
        <w:tc>
          <w:tcPr>
            <w:tcW w:w="440" w:type="dxa"/>
            <w:tcBorders/>
            <w:shd w:fill="E5FFFF" w:val="clear"/>
            <w:vAlign w:val="bottom"/>
          </w:tcPr>
          <w:p>
            <w:pPr>
              <w:pStyle w:val="TableContents"/>
              <w:spacing w:before="0" w:after="283"/>
              <w:jc w:val="right"/>
              <w:rPr>
                <w:rFonts w:ascii="Arial" w:hAnsi="Arial"/>
                <w:sz w:val="14"/>
              </w:rPr>
            </w:pPr>
            <w:r>
              <w:rPr>
                <w:rFonts w:ascii="Arial" w:hAnsi="Arial"/>
                <w:sz w:val="14"/>
              </w:rPr>
              <w:t>33.21</w:t>
            </w:r>
          </w:p>
        </w:tc>
        <w:tc>
          <w:tcPr>
            <w:tcW w:w="65" w:type="dxa"/>
            <w:tcBorders/>
            <w:shd w:fill="E5FFFF" w:val="clear"/>
            <w:vAlign w:val="center"/>
          </w:tcPr>
          <w:p>
            <w:pPr>
              <w:pStyle w:val="TableContents"/>
              <w:spacing w:before="0" w:after="283"/>
              <w:rPr/>
            </w:pPr>
            <w:r>
              <w:rPr/>
              <w:t> </w:t>
            </w:r>
          </w:p>
        </w:tc>
      </w:tr>
      <w:tr>
        <w:trPr/>
        <w:tc>
          <w:tcPr>
            <w:tcW w:w="800" w:type="dxa"/>
            <w:tcBorders/>
            <w:shd w:fill="FFFFFF" w:val="clear"/>
            <w:vAlign w:val="bottom"/>
          </w:tcPr>
          <w:p>
            <w:pPr>
              <w:pStyle w:val="TableContents"/>
              <w:spacing w:before="0" w:after="283"/>
              <w:rPr>
                <w:sz w:val="4"/>
                <w:szCs w:val="4"/>
              </w:rPr>
            </w:pPr>
            <w:r>
              <w:rPr>
                <w:sz w:val="4"/>
                <w:szCs w:val="4"/>
              </w:rPr>
            </w:r>
          </w:p>
        </w:tc>
        <w:tc>
          <w:tcPr>
            <w:tcW w:w="1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8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95"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c>
          <w:tcPr>
            <w:tcW w:w="4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50"/>
        <w:gridCol w:w="68"/>
        <w:gridCol w:w="9787"/>
      </w:tblGrid>
      <w:tr>
        <w:trPr/>
        <w:tc>
          <w:tcPr>
            <w:tcW w:w="350" w:type="dxa"/>
            <w:tcBorders/>
            <w:shd w:fill="FFFFFF" w:val="clear"/>
          </w:tcPr>
          <w:p>
            <w:pPr>
              <w:pStyle w:val="TableContents"/>
              <w:spacing w:before="0" w:after="283"/>
              <w:jc w:val="right"/>
              <w:rPr>
                <w:rFonts w:ascii="Arial" w:hAnsi="Arial"/>
              </w:rPr>
            </w:pPr>
            <w:r>
              <w:rPr>
                <w:rFonts w:ascii="Arial" w:hAnsi="Arial"/>
              </w:rPr>
              <w:t>(1)</w:t>
            </w:r>
          </w:p>
        </w:tc>
        <w:tc>
          <w:tcPr>
            <w:tcW w:w="68" w:type="dxa"/>
            <w:tcBorders/>
            <w:shd w:fill="FFFFFF" w:val="clear"/>
          </w:tcPr>
          <w:p>
            <w:pPr>
              <w:pStyle w:val="TableContents"/>
              <w:spacing w:before="0" w:after="283"/>
              <w:jc w:val="left"/>
              <w:rPr/>
            </w:pPr>
            <w:r>
              <w:rPr/>
              <w:t> </w:t>
            </w:r>
          </w:p>
        </w:tc>
        <w:tc>
          <w:tcPr>
            <w:tcW w:w="9787" w:type="dxa"/>
            <w:tcBorders/>
            <w:shd w:fill="FFFFFF" w:val="clear"/>
          </w:tcPr>
          <w:p>
            <w:pPr>
              <w:pStyle w:val="TableContents"/>
              <w:spacing w:before="0" w:after="283"/>
              <w:jc w:val="left"/>
              <w:rPr>
                <w:rFonts w:ascii="Arial" w:hAnsi="Arial"/>
              </w:rPr>
            </w:pPr>
            <w:r>
              <w:rPr>
                <w:rFonts w:ascii="Arial" w:hAnsi="Arial"/>
              </w:rPr>
              <w:t>Represents the net of tax effect of adopting FIN 47 as of December 31, 2005.</w:t>
            </w:r>
          </w:p>
        </w:tc>
      </w:tr>
      <w:tr>
        <w:trPr/>
        <w:tc>
          <w:tcPr>
            <w:tcW w:w="350" w:type="dxa"/>
            <w:tcBorders/>
            <w:shd w:fill="FFFFFF" w:val="clear"/>
          </w:tcPr>
          <w:p>
            <w:pPr>
              <w:pStyle w:val="TableContents"/>
              <w:spacing w:before="0" w:after="283"/>
              <w:jc w:val="right"/>
              <w:rPr>
                <w:rFonts w:ascii="Arial" w:hAnsi="Arial"/>
              </w:rPr>
            </w:pPr>
            <w:r>
              <w:rPr>
                <w:rFonts w:ascii="Arial" w:hAnsi="Arial"/>
              </w:rPr>
              <w:t>(2)</w:t>
            </w:r>
          </w:p>
        </w:tc>
        <w:tc>
          <w:tcPr>
            <w:tcW w:w="68" w:type="dxa"/>
            <w:tcBorders/>
            <w:shd w:fill="FFFFFF" w:val="clear"/>
          </w:tcPr>
          <w:p>
            <w:pPr>
              <w:pStyle w:val="TableContents"/>
              <w:spacing w:before="0" w:after="283"/>
              <w:jc w:val="left"/>
              <w:rPr/>
            </w:pPr>
            <w:r>
              <w:rPr/>
              <w:t> </w:t>
            </w:r>
          </w:p>
        </w:tc>
        <w:tc>
          <w:tcPr>
            <w:tcW w:w="9787" w:type="dxa"/>
            <w:tcBorders/>
            <w:shd w:fill="FFFFFF" w:val="clear"/>
          </w:tcPr>
          <w:p>
            <w:pPr>
              <w:pStyle w:val="TableContents"/>
              <w:spacing w:before="0" w:after="283"/>
              <w:jc w:val="left"/>
              <w:rPr>
                <w:rFonts w:ascii="Arial" w:hAnsi="Arial"/>
              </w:rPr>
            </w:pPr>
            <w:r>
              <w:rPr>
                <w:rFonts w:ascii="Arial" w:hAnsi="Arial"/>
              </w:rPr>
              <w:t>From composite tape-stock is primarily traded on the New York Stock Exchange.</w:t>
            </w:r>
          </w:p>
        </w:tc>
      </w:tr>
    </w:tbl>
    <w:p>
      <w:pPr>
        <w:pStyle w:val="TextBody"/>
        <w:jc w:val="center"/>
        <w:rPr>
          <w:rFonts w:ascii="Arial" w:hAnsi="Arial"/>
        </w:rPr>
      </w:pPr>
      <w:r>
        <w:rPr>
          <w:rFonts w:ascii="Arial" w:hAnsi="Arial"/>
        </w:rPr>
        <w:t>95</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REPORT OF INDEPENDENT REGISTERED PUBLIC ACCOUNTING FIRM</w:t>
      </w:r>
    </w:p>
    <w:p>
      <w:pPr>
        <w:pStyle w:val="TextBody"/>
        <w:jc w:val="left"/>
        <w:rPr/>
      </w:pPr>
      <w:r>
        <w:rPr>
          <w:rFonts w:ascii="Arial" w:hAnsi="Arial"/>
        </w:rPr>
        <w:t>T</w:t>
      </w:r>
      <w:r>
        <w:rPr>
          <w:rFonts w:ascii="Arial" w:hAnsi="Arial"/>
          <w:sz w:val="14"/>
        </w:rPr>
        <w:t>O</w:t>
      </w:r>
      <w:r>
        <w:rPr/>
        <w:t xml:space="preserve"> </w:t>
      </w:r>
      <w:r>
        <w:rPr>
          <w:rFonts w:ascii="Arial" w:hAnsi="Arial"/>
          <w:sz w:val="14"/>
        </w:rPr>
        <w:t>THE</w:t>
      </w:r>
      <w:r>
        <w:rPr/>
        <w:t xml:space="preserve"> </w:t>
      </w:r>
      <w:r>
        <w:rPr>
          <w:rFonts w:ascii="Arial" w:hAnsi="Arial"/>
        </w:rPr>
        <w:t>B</w:t>
      </w:r>
      <w:r>
        <w:rPr>
          <w:rFonts w:ascii="Arial" w:hAnsi="Arial"/>
          <w:sz w:val="14"/>
        </w:rPr>
        <w:t>OARD</w:t>
      </w:r>
      <w:r>
        <w:rPr/>
        <w:t xml:space="preserve"> </w:t>
      </w:r>
      <w:r>
        <w:rPr>
          <w:rFonts w:ascii="Arial" w:hAnsi="Arial"/>
          <w:sz w:val="14"/>
        </w:rPr>
        <w:t>OF</w:t>
      </w:r>
      <w:r>
        <w:rPr/>
        <w:t xml:space="preserve"> </w:t>
      </w:r>
      <w:r>
        <w:rPr>
          <w:rFonts w:ascii="Arial" w:hAnsi="Arial"/>
        </w:rPr>
        <w:t>D</w:t>
      </w:r>
      <w:r>
        <w:rPr>
          <w:rFonts w:ascii="Arial" w:hAnsi="Arial"/>
          <w:sz w:val="14"/>
        </w:rPr>
        <w:t>IRECTORS</w:t>
      </w:r>
      <w:r>
        <w:rPr/>
        <w:t xml:space="preserve"> </w:t>
      </w:r>
      <w:r>
        <w:rPr>
          <w:rFonts w:ascii="Arial" w:hAnsi="Arial"/>
          <w:sz w:val="14"/>
        </w:rPr>
        <w:t>AND</w:t>
      </w:r>
      <w:r>
        <w:rPr/>
        <w:t xml:space="preserve"> </w:t>
      </w:r>
      <w:r>
        <w:rPr>
          <w:rFonts w:ascii="Arial" w:hAnsi="Arial"/>
        </w:rPr>
        <w:t>S</w:t>
      </w:r>
      <w:r>
        <w:rPr>
          <w:rFonts w:ascii="Arial" w:hAnsi="Arial"/>
          <w:sz w:val="14"/>
        </w:rPr>
        <w:t>HAREOWNERS</w:t>
      </w:r>
      <w:r>
        <w:rPr/>
        <w:t xml:space="preserve"> </w:t>
      </w:r>
      <w:r>
        <w:rPr>
          <w:rFonts w:ascii="Arial" w:hAnsi="Arial"/>
          <w:sz w:val="14"/>
        </w:rPr>
        <w:t>OF</w:t>
      </w:r>
      <w:r>
        <w:rPr>
          <w:rFonts w:ascii="Arial" w:hAnsi="Arial"/>
        </w:rPr>
        <w:br/>
        <w:t>H</w:t>
      </w:r>
      <w:r>
        <w:rPr>
          <w:rFonts w:ascii="Arial" w:hAnsi="Arial"/>
          <w:sz w:val="14"/>
        </w:rPr>
        <w:t>ONEYWELL</w:t>
      </w:r>
      <w:r>
        <w:rPr/>
        <w:t xml:space="preserve"> </w:t>
      </w:r>
      <w:r>
        <w:rPr>
          <w:rFonts w:ascii="Arial" w:hAnsi="Arial"/>
        </w:rPr>
        <w:t>I</w:t>
      </w:r>
      <w:r>
        <w:rPr>
          <w:rFonts w:ascii="Arial" w:hAnsi="Arial"/>
          <w:sz w:val="14"/>
        </w:rPr>
        <w:t>NTERNATIONAL</w:t>
      </w:r>
      <w:r>
        <w:rPr/>
        <w:t xml:space="preserve"> </w:t>
      </w:r>
      <w:r>
        <w:rPr>
          <w:rFonts w:ascii="Arial" w:hAnsi="Arial"/>
        </w:rPr>
        <w:t>I</w:t>
      </w:r>
      <w:r>
        <w:rPr>
          <w:rFonts w:ascii="Arial" w:hAnsi="Arial"/>
          <w:sz w:val="14"/>
        </w:rPr>
        <w:t>NC</w:t>
      </w:r>
      <w:r>
        <w:rPr>
          <w:rFonts w:ascii="Arial" w:hAnsi="Arial"/>
        </w:rPr>
        <w:t>.:</w:t>
      </w:r>
    </w:p>
    <w:p>
      <w:pPr>
        <w:pStyle w:val="TextBody"/>
        <w:jc w:val="left"/>
        <w:rPr/>
      </w:pPr>
      <w:r>
        <w:rPr/>
        <w:t>      </w:t>
      </w:r>
      <w:r>
        <w:rPr>
          <w:rFonts w:ascii="Arial" w:hAnsi="Arial"/>
        </w:rPr>
        <w:t>We have completed integrated audits of Honeywell International Inc.'s consolidated financial statements and of its internal control over financial reporting as of December 31, 2006, in accordance with the standards of the Public Company Accounting Oversight Board (United States). Our opinions, based on our audits, are presented below.</w:t>
      </w:r>
    </w:p>
    <w:p>
      <w:pPr>
        <w:pStyle w:val="TextBody"/>
        <w:jc w:val="left"/>
        <w:rPr>
          <w:rFonts w:ascii="Arial" w:hAnsi="Arial"/>
          <w:u w:val="single"/>
        </w:rPr>
      </w:pPr>
      <w:r>
        <w:rPr>
          <w:rFonts w:ascii="Arial" w:hAnsi="Arial"/>
          <w:u w:val="single"/>
        </w:rPr>
        <w:t>Consolidated financial statements and financial statement schedule</w:t>
      </w:r>
    </w:p>
    <w:p>
      <w:pPr>
        <w:pStyle w:val="TextBody"/>
        <w:jc w:val="left"/>
        <w:rPr/>
      </w:pPr>
      <w:r>
        <w:rPr/>
        <w:t>      </w:t>
      </w:r>
      <w:r>
        <w:rPr>
          <w:rFonts w:ascii="Arial" w:hAnsi="Arial"/>
        </w:rPr>
        <w:t>In our opinion, the consolidated financial statements listed in the index appearing under Item 15(a)(1.) present fairly, in all material respects, the financial position of Honeywell International Inc. and its subsidiaries at December 31, 2006 and 2005, and the results of their operations and their cash flows for each of the three years in the period ended December 31, 2006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pStyle w:val="TextBody"/>
        <w:jc w:val="left"/>
        <w:rPr/>
      </w:pPr>
      <w:r>
        <w:rPr/>
        <w:t>      </w:t>
      </w:r>
      <w:r>
        <w:rPr>
          <w:rFonts w:ascii="Arial" w:hAnsi="Arial"/>
        </w:rPr>
        <w:t>As discussed in Note 1 to the consolidated financial statements, the Company changed the manner in which it accounts for stock-based compensation and defined benefit pension and other postretirement plans in 2006 and the manner in which it accounts for conditional asset retirement obligations in 2005.</w:t>
      </w:r>
    </w:p>
    <w:p>
      <w:pPr>
        <w:pStyle w:val="TextBody"/>
        <w:jc w:val="left"/>
        <w:rPr>
          <w:rFonts w:ascii="Arial" w:hAnsi="Arial"/>
          <w:u w:val="single"/>
        </w:rPr>
      </w:pPr>
      <w:r>
        <w:rPr>
          <w:rFonts w:ascii="Arial" w:hAnsi="Arial"/>
          <w:u w:val="single"/>
        </w:rPr>
        <w:t>Internal control over financial reporting</w:t>
      </w:r>
    </w:p>
    <w:p>
      <w:pPr>
        <w:pStyle w:val="TextBody"/>
        <w:jc w:val="left"/>
        <w:rPr/>
      </w:pPr>
      <w:r>
        <w:rPr/>
        <w:t>      </w:t>
      </w:r>
      <w:r>
        <w:rPr>
          <w:rFonts w:ascii="Arial" w:hAnsi="Arial"/>
        </w:rPr>
        <w:t xml:space="preserve">Also, in our opinion, management's assessment, included in Management's Report on Internal Control Over Financial Reporting appearing under Item 9A, that the Company maintained effective internal control over financial reporting as of December 31, 2006 based on criteria established in </w:t>
      </w:r>
      <w:r>
        <w:rPr>
          <w:rFonts w:ascii="Arial" w:hAnsi="Arial"/>
          <w:i/>
        </w:rPr>
        <w:t xml:space="preserve">Internal Control—Integrated Framework </w:t>
      </w:r>
      <w:r>
        <w:rPr>
          <w:rFonts w:ascii="Arial" w:hAnsi="Arial"/>
        </w:rPr>
        <w:t xml:space="preserve">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w:t>
      </w:r>
      <w:r>
        <w:rPr>
          <w:rFonts w:ascii="Arial" w:hAnsi="Arial"/>
          <w:i/>
        </w:rPr>
        <w:t xml:space="preserve">Internal Control—Integrated Framework </w:t>
      </w:r>
      <w:r>
        <w:rPr>
          <w:rFonts w:ascii="Arial" w:hAnsi="Arial"/>
        </w:rPr>
        <w:t>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pStyle w:val="TextBody"/>
        <w:jc w:val="center"/>
        <w:rPr>
          <w:rFonts w:ascii="Arial" w:hAnsi="Arial"/>
        </w:rPr>
      </w:pPr>
      <w:r>
        <w:rPr>
          <w:rFonts w:ascii="Arial" w:hAnsi="Arial"/>
        </w:rPr>
        <w:t>96</w:t>
      </w:r>
    </w:p>
    <w:p>
      <w:pPr>
        <w:pStyle w:val="HorizontalLine"/>
        <w:pBdr>
          <w:bottom w:val="single" w:sz="20" w:space="0" w:color="000000"/>
        </w:pBdr>
        <w:rPr/>
      </w:pPr>
      <w:r>
        <w:rPr/>
      </w:r>
      <w:r>
        <w:br w:type="page"/>
      </w:r>
    </w:p>
    <w:p>
      <w:pPr>
        <w:pStyle w:val="TextBody"/>
        <w:jc w:val="left"/>
        <w:rPr/>
      </w:pPr>
      <w:r>
        <w:rPr/>
        <w:t>      </w:t>
      </w:r>
      <w:r>
        <w:rPr>
          <w:rFonts w:ascii="Arial" w:hAnsi="Arial"/>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jc w:val="left"/>
        <w:rPr/>
      </w:pPr>
      <w:r>
        <w:rPr/>
        <w:t>      </w:t>
      </w:r>
      <w:r>
        <w:rPr>
          <w:rFonts w:ascii="Arial" w:hAnsi="Arial"/>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jc w:val="left"/>
        <w:rPr>
          <w:rFonts w:ascii="Arial" w:hAnsi="Arial"/>
        </w:rPr>
      </w:pPr>
      <w:r>
        <w:rPr>
          <w:rFonts w:ascii="Arial" w:hAnsi="Arial"/>
        </w:rPr>
        <w:t>/s/ PricewaterhouseCoopers LLP</w:t>
      </w:r>
    </w:p>
    <w:p>
      <w:pPr>
        <w:pStyle w:val="TextBody"/>
        <w:jc w:val="left"/>
        <w:rPr>
          <w:rFonts w:ascii="Arial" w:hAnsi="Arial"/>
        </w:rPr>
      </w:pPr>
      <w:r>
        <w:rPr>
          <w:rFonts w:ascii="Arial" w:hAnsi="Arial"/>
        </w:rPr>
        <w:t>PricewaterhouseCoopers LLP</w:t>
        <w:br/>
        <w:t>Florham Park, New Jersey</w:t>
        <w:br/>
        <w:t>February 15, 2007</w:t>
      </w:r>
    </w:p>
    <w:p>
      <w:pPr>
        <w:pStyle w:val="TextBody"/>
        <w:jc w:val="center"/>
        <w:rPr>
          <w:rFonts w:ascii="Arial" w:hAnsi="Arial"/>
        </w:rPr>
      </w:pPr>
      <w:r>
        <w:rPr>
          <w:rFonts w:ascii="Arial" w:hAnsi="Arial"/>
        </w:rPr>
        <w:t>97</w:t>
      </w:r>
    </w:p>
    <w:p>
      <w:pPr>
        <w:pStyle w:val="HorizontalLine"/>
        <w:pBdr>
          <w:bottom w:val="single" w:sz="20" w:space="0" w:color="000000"/>
        </w:pBdr>
        <w:rPr/>
      </w:pPr>
      <w:r>
        <w:rPr/>
      </w:r>
      <w:r>
        <w:br w:type="page"/>
      </w:r>
    </w:p>
    <w:p>
      <w:pPr>
        <w:pStyle w:val="TextBody"/>
        <w:jc w:val="left"/>
        <w:rPr>
          <w:rFonts w:ascii="Arial" w:hAnsi="Arial"/>
          <w:b/>
        </w:rPr>
      </w:pPr>
      <w:bookmarkStart w:id="17" w:name="Changes"/>
      <w:bookmarkEnd w:id="17"/>
      <w:r>
        <w:rPr>
          <w:rFonts w:ascii="Arial" w:hAnsi="Arial"/>
          <w:b/>
        </w:rPr>
        <w:t>Item 9.    Changes in and Disagreements with Accountants on Accounting and Financial Disclosure</w:t>
      </w:r>
    </w:p>
    <w:p>
      <w:pPr>
        <w:pStyle w:val="TextBody"/>
        <w:jc w:val="left"/>
        <w:rPr/>
      </w:pPr>
      <w:r>
        <w:rPr/>
        <w:t>      </w:t>
      </w:r>
      <w:r>
        <w:rPr>
          <w:rFonts w:ascii="Arial" w:hAnsi="Arial"/>
        </w:rPr>
        <w:t>Not Applicable.</w:t>
      </w:r>
    </w:p>
    <w:p>
      <w:pPr>
        <w:pStyle w:val="TextBody"/>
        <w:jc w:val="left"/>
        <w:rPr>
          <w:rFonts w:ascii="Arial" w:hAnsi="Arial"/>
          <w:b/>
        </w:rPr>
      </w:pPr>
      <w:bookmarkStart w:id="18" w:name="Controls"/>
      <w:bookmarkEnd w:id="18"/>
      <w:r>
        <w:rPr>
          <w:rFonts w:ascii="Arial" w:hAnsi="Arial"/>
          <w:b/>
        </w:rPr>
        <w:t>Item 9A.    Controls and Procedures</w:t>
      </w:r>
    </w:p>
    <w:p>
      <w:pPr>
        <w:pStyle w:val="TextBody"/>
        <w:jc w:val="left"/>
        <w:rPr/>
      </w:pPr>
      <w:r>
        <w:rPr/>
        <w:t>      </w:t>
      </w:r>
      <w:r>
        <w:rPr>
          <w:rFonts w:ascii="Arial" w:hAnsi="Arial"/>
        </w:rPr>
        <w:t>Honeywell management, including the Chief Executive Officer and Chief Financial Officer, conducted an evaluation of the effectiveness of our disclosure controls and procedures as of the end of the period covered by this Annual Report on Form 10-K. Based upon that evaluation, the Chief Executive Officer and the Chief Financial Officer concluded that such disclosure controls and procedures were effective as of the end of the period covered by this Annual Report on Form 10-K in alerting them on a timely basis to material information relating to Honeywell required to be included in Honeywell's periodic filings under the Exchange Act. There have been no changes that have materially affected, or are reasonably likely to materially affect, Honeywell's internal control over financial reporting that have occurred during the period covered by this Annual Report on Form 10-K.</w:t>
      </w:r>
    </w:p>
    <w:p>
      <w:pPr>
        <w:pStyle w:val="TextBody"/>
        <w:jc w:val="center"/>
        <w:rPr>
          <w:rFonts w:ascii="Arial" w:hAnsi="Arial"/>
          <w:b/>
          <w:u w:val="single"/>
        </w:rPr>
      </w:pPr>
      <w:r>
        <w:rPr>
          <w:rFonts w:ascii="Arial" w:hAnsi="Arial"/>
          <w:b/>
          <w:u w:val="single"/>
        </w:rPr>
        <w:t>Management's Report on Internal Control Over Financial Reporting</w:t>
      </w:r>
    </w:p>
    <w:p>
      <w:pPr>
        <w:pStyle w:val="TextBody"/>
        <w:jc w:val="left"/>
        <w:rPr/>
      </w:pPr>
      <w:r>
        <w:rPr/>
        <w:t>      </w:t>
      </w:r>
      <w:r>
        <w:rPr>
          <w:rFonts w:ascii="Arial" w:hAnsi="Arial"/>
        </w:rPr>
        <w:t>Honeywell management is responsible for establishing and maintaining adequate internal control over financial reporting as defined in Rules 13a-15(f) and 15d-15(f) under the Securities Exchange Act of 1934. Honeywell's internal control over financial reporting is a process designed to provide reasonable assurance regarding the reliability of financial reporting and the preparation of financial statements for external purposes in accordance with generally accepted accounting principles. Honeywell's internal control over financial reporting includes those policies and procedures that:</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(i) pertain to the maintenance of records that, in reasonable detail, accurately and fairly reflect the transactions and dispositions of Honeywell's assets;</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Honeywell's management and directors;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(iii) provide reasonable assurance regarding prevention or timely detection of unauthorized acquisition, use or disposition of Honeywell's assets that could have a material effect on the financial statements.</w:t>
            </w:r>
          </w:p>
        </w:tc>
      </w:tr>
    </w:tbl>
    <w:p>
      <w:pPr>
        <w:pStyle w:val="TextBody"/>
        <w:jc w:val="left"/>
        <w:rPr/>
      </w:pPr>
      <w:r>
        <w:rPr/>
        <w:t>      </w:t>
      </w:r>
      <w:r>
        <w:rPr>
          <w:rFonts w:ascii="Arial" w:hAnsi="Arial"/>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jc w:val="left"/>
        <w:rPr/>
      </w:pPr>
      <w:r>
        <w:rPr/>
        <w:t>      </w:t>
      </w:r>
      <w:r>
        <w:rPr>
          <w:rFonts w:ascii="Arial" w:hAnsi="Arial"/>
        </w:rPr>
        <w:t xml:space="preserve">Management assessed the effectiveness of Honeywell's internal control over financial reporting as of December 31, 2006. In making this assessment, management used the criteria set forth by the Committee of Sponsoring Organizations of the Treadway Commission (COSO) in </w:t>
      </w:r>
      <w:r>
        <w:rPr>
          <w:rFonts w:ascii="Arial" w:hAnsi="Arial"/>
          <w:i/>
        </w:rPr>
        <w:t>Internal Control-Integrated Framework.</w:t>
      </w:r>
    </w:p>
    <w:p>
      <w:pPr>
        <w:pStyle w:val="TextBody"/>
        <w:jc w:val="left"/>
        <w:rPr/>
      </w:pPr>
      <w:r>
        <w:rPr/>
        <w:t>      </w:t>
      </w:r>
      <w:r>
        <w:rPr>
          <w:rFonts w:ascii="Arial" w:hAnsi="Arial"/>
        </w:rPr>
        <w:t>Based on this assessment, management determined that Honeywell maintained effective internal control over financial reporting as of December 31, 2006.</w:t>
      </w:r>
    </w:p>
    <w:p>
      <w:pPr>
        <w:pStyle w:val="TextBody"/>
        <w:jc w:val="left"/>
        <w:rPr/>
      </w:pPr>
      <w:r>
        <w:rPr/>
        <w:t>      </w:t>
      </w:r>
      <w:r>
        <w:rPr>
          <w:rFonts w:ascii="Arial" w:hAnsi="Arial"/>
        </w:rPr>
        <w:t>Management's assessment of the effectiveness of Honeywell's internal control over financial reporting as of December 31, 2006 has been audited by PricewaterhouseCoopers LLP, an independent registered public accouting firm, as stated in their report which is included in “Item 8. Financial Statements and Supplementary Data.”</w:t>
      </w:r>
    </w:p>
    <w:p>
      <w:pPr>
        <w:pStyle w:val="TextBody"/>
        <w:jc w:val="center"/>
        <w:rPr>
          <w:rFonts w:ascii="Arial" w:hAnsi="Arial"/>
        </w:rPr>
      </w:pPr>
      <w:r>
        <w:rPr>
          <w:rFonts w:ascii="Arial" w:hAnsi="Arial"/>
        </w:rPr>
        <w:t>98</w:t>
      </w:r>
    </w:p>
    <w:p>
      <w:pPr>
        <w:pStyle w:val="HorizontalLine"/>
        <w:pBdr>
          <w:bottom w:val="single" w:sz="20" w:space="0" w:color="000000"/>
        </w:pBdr>
        <w:rPr/>
      </w:pPr>
      <w:r>
        <w:rPr/>
      </w:r>
      <w:r>
        <w:br w:type="page"/>
      </w:r>
    </w:p>
    <w:p>
      <w:pPr>
        <w:pStyle w:val="TextBody"/>
        <w:jc w:val="left"/>
        <w:rPr>
          <w:rFonts w:ascii="Arial" w:hAnsi="Arial"/>
          <w:b/>
        </w:rPr>
      </w:pPr>
      <w:bookmarkStart w:id="19" w:name="Other_Information"/>
      <w:bookmarkEnd w:id="19"/>
      <w:r>
        <w:rPr>
          <w:rFonts w:ascii="Arial" w:hAnsi="Arial"/>
          <w:b/>
        </w:rPr>
        <w:t>Item 9B.    Other Information</w:t>
      </w:r>
    </w:p>
    <w:p>
      <w:pPr>
        <w:pStyle w:val="TextBody"/>
        <w:jc w:val="left"/>
        <w:rPr/>
      </w:pPr>
      <w:r>
        <w:rPr/>
        <w:t>      </w:t>
      </w:r>
      <w:r>
        <w:rPr>
          <w:rFonts w:ascii="Arial" w:hAnsi="Arial"/>
        </w:rPr>
        <w:t>Not Applicable.</w:t>
      </w:r>
    </w:p>
    <w:p>
      <w:pPr>
        <w:pStyle w:val="TextBody"/>
        <w:jc w:val="center"/>
        <w:rPr>
          <w:rFonts w:ascii="Arial" w:hAnsi="Arial"/>
          <w:b/>
        </w:rPr>
      </w:pPr>
      <w:bookmarkStart w:id="20" w:name="Directors"/>
      <w:bookmarkEnd w:id="20"/>
      <w:r>
        <w:rPr>
          <w:rFonts w:ascii="Arial" w:hAnsi="Arial"/>
          <w:b/>
        </w:rPr>
        <w:t>Part III.</w:t>
      </w:r>
    </w:p>
    <w:p>
      <w:pPr>
        <w:pStyle w:val="TextBody"/>
        <w:jc w:val="left"/>
        <w:rPr>
          <w:rFonts w:ascii="Arial" w:hAnsi="Arial"/>
          <w:b/>
        </w:rPr>
      </w:pPr>
      <w:r>
        <w:rPr>
          <w:rFonts w:ascii="Arial" w:hAnsi="Arial"/>
          <w:b/>
        </w:rPr>
        <w:t>Item 10.    Directors and Executive Officers of the Registrant</w:t>
      </w:r>
    </w:p>
    <w:p>
      <w:pPr>
        <w:pStyle w:val="TextBody"/>
        <w:jc w:val="left"/>
        <w:rPr/>
      </w:pPr>
      <w:r>
        <w:rPr/>
        <w:t>      </w:t>
      </w:r>
      <w:r>
        <w:rPr>
          <w:rFonts w:ascii="Arial" w:hAnsi="Arial"/>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2006, and such information is incorporated herein by reference. Certain other information relating to the Executive Officers of Honeywell appears in Part I of this Annual Report on Form 10-K under the heading “Executive Officers of the Registrant”.</w:t>
      </w:r>
    </w:p>
    <w:p>
      <w:pPr>
        <w:pStyle w:val="TextBody"/>
        <w:jc w:val="left"/>
        <w:rPr/>
      </w:pPr>
      <w:r>
        <w:rPr/>
        <w:t>      </w:t>
      </w:r>
      <w:r>
        <w:rPr>
          <w:rFonts w:ascii="Arial" w:hAnsi="Arial"/>
        </w:rPr>
        <w:t>The members of the Audit Committee of our Board of Directors are: Scott Davis (Chair), Linnet Deily, James J. Howard, Russell E. Palmer, Eric K. Shinseki, John R. Stafford, and Michael W. Wright. The Board has determined that Mr. Davis is the “audit committee financial expert” as defined by applicable SEC rules and that Mr. Davis and Mr. Palmer satisfy the “accounting or related financial management expertise” criteria established by the NYSE. All members of the Audit Committee are “independent” as that term is defined in applicable SEC Rules and NYSE listing standards.</w:t>
      </w:r>
    </w:p>
    <w:p>
      <w:pPr>
        <w:pStyle w:val="TextBody"/>
        <w:jc w:val="left"/>
        <w:rPr/>
      </w:pPr>
      <w:r>
        <w:rPr/>
        <w:t>      </w:t>
      </w:r>
      <w:r>
        <w:rPr>
          <w:rFonts w:ascii="Arial" w:hAnsi="Arial"/>
        </w:rPr>
        <w:t>Honeywell's Code of Business Conduct is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pStyle w:val="TextBody"/>
        <w:jc w:val="left"/>
        <w:rPr>
          <w:rFonts w:ascii="Arial" w:hAnsi="Arial"/>
          <w:b/>
        </w:rPr>
      </w:pPr>
      <w:bookmarkStart w:id="21" w:name="ExecutiveCompensation"/>
      <w:bookmarkEnd w:id="21"/>
      <w:r>
        <w:rPr>
          <w:rFonts w:ascii="Arial" w:hAnsi="Arial"/>
          <w:b/>
        </w:rPr>
        <w:t>Item 11.    Executive Compensation</w:t>
      </w:r>
    </w:p>
    <w:p>
      <w:pPr>
        <w:pStyle w:val="TextBody"/>
        <w:jc w:val="left"/>
        <w:rPr/>
      </w:pPr>
      <w:r>
        <w:rPr/>
        <w:t>      </w:t>
      </w:r>
      <w:r>
        <w:rPr>
          <w:rFonts w:ascii="Arial" w:hAnsi="Arial"/>
        </w:rPr>
        <w:t>Information relating to executive compensation is contained in the Proxy Statement referred to above in “Item 10. Directors and Executive Officers of the Registrant,” and such information is incorporated herein by reference.</w:t>
      </w:r>
    </w:p>
    <w:p>
      <w:pPr>
        <w:pStyle w:val="TextBody"/>
        <w:jc w:val="left"/>
        <w:rPr>
          <w:rFonts w:ascii="Arial" w:hAnsi="Arial"/>
          <w:b/>
        </w:rPr>
      </w:pPr>
      <w:bookmarkStart w:id="22" w:name="Security"/>
      <w:bookmarkEnd w:id="22"/>
      <w:r>
        <w:rPr>
          <w:rFonts w:ascii="Arial" w:hAnsi="Arial"/>
          <w:b/>
        </w:rPr>
        <w:t>Item 12.    Security Ownership of Certain Beneficial Owners and Management</w:t>
        <w:br/>
        <w:t>and Related Stockholder Matters</w:t>
      </w:r>
    </w:p>
    <w:p>
      <w:pPr>
        <w:pStyle w:val="TextBody"/>
        <w:jc w:val="left"/>
        <w:rPr/>
      </w:pPr>
      <w:r>
        <w:rPr/>
        <w:t>      </w:t>
      </w:r>
      <w:r>
        <w:rPr>
          <w:rFonts w:ascii="Arial" w:hAnsi="Arial"/>
        </w:rPr>
        <w:t>Information relating to security ownership of certain beneficial owners and management, equity compensation plans and related stockholder matters is contained in the Proxy Statement referred to above in “Item 10. Directors and Executive Officers of the Registrant,” and such information is incorporated herein by reference.</w:t>
      </w:r>
    </w:p>
    <w:p>
      <w:pPr>
        <w:pStyle w:val="TextBody"/>
        <w:jc w:val="left"/>
        <w:rPr>
          <w:rFonts w:ascii="Arial" w:hAnsi="Arial"/>
          <w:b/>
        </w:rPr>
      </w:pPr>
      <w:bookmarkStart w:id="23" w:name="Certain"/>
      <w:bookmarkEnd w:id="23"/>
      <w:r>
        <w:rPr>
          <w:rFonts w:ascii="Arial" w:hAnsi="Arial"/>
          <w:b/>
        </w:rPr>
        <w:t>Item 13.    Certain Relationships and Related Transactions</w:t>
      </w:r>
    </w:p>
    <w:p>
      <w:pPr>
        <w:pStyle w:val="TextBody"/>
        <w:jc w:val="left"/>
        <w:rPr/>
      </w:pPr>
      <w:r>
        <w:rPr/>
        <w:t>      </w:t>
      </w:r>
      <w:r>
        <w:rPr>
          <w:rFonts w:ascii="Arial" w:hAnsi="Arial"/>
        </w:rPr>
        <w:t>Information relating to certain relationships and related transactions is contained in the Proxy Statement referred to above in “Item 10. Directors and Executive Officers of the Registrant,” and such information is incorporated herein by reference.</w:t>
      </w:r>
    </w:p>
    <w:p>
      <w:pPr>
        <w:pStyle w:val="TextBody"/>
        <w:jc w:val="left"/>
        <w:rPr>
          <w:rFonts w:ascii="Arial" w:hAnsi="Arial"/>
          <w:b/>
        </w:rPr>
      </w:pPr>
      <w:bookmarkStart w:id="24" w:name="Principal"/>
      <w:bookmarkEnd w:id="24"/>
      <w:r>
        <w:rPr>
          <w:rFonts w:ascii="Arial" w:hAnsi="Arial"/>
          <w:b/>
        </w:rPr>
        <w:t>Item 14.    Principal Accounting Fees and Services</w:t>
      </w:r>
    </w:p>
    <w:p>
      <w:pPr>
        <w:pStyle w:val="TextBody"/>
        <w:jc w:val="left"/>
        <w:rPr/>
      </w:pPr>
      <w:r>
        <w:rPr/>
        <w:t>      </w:t>
      </w:r>
      <w:r>
        <w:rPr>
          <w:rFonts w:ascii="Arial" w:hAnsi="Arial"/>
        </w:rPr>
        <w:t>Information relating to fees paid to and services performed by PricewaterhouseCoopers LLP in 2006 and 2005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pStyle w:val="TextBody"/>
        <w:jc w:val="center"/>
        <w:rPr>
          <w:rFonts w:ascii="Arial" w:hAnsi="Arial"/>
        </w:rPr>
      </w:pPr>
      <w:r>
        <w:rPr>
          <w:rFonts w:ascii="Arial" w:hAnsi="Arial"/>
        </w:rPr>
        <w:t>99</w:t>
      </w:r>
    </w:p>
    <w:p>
      <w:pPr>
        <w:pStyle w:val="HorizontalLine"/>
        <w:pBdr>
          <w:bottom w:val="single" w:sz="20" w:space="0" w:color="000000"/>
        </w:pBdr>
        <w:rPr/>
      </w:pPr>
      <w:r>
        <w:rPr/>
      </w:r>
      <w:r>
        <w:br w:type="page"/>
      </w:r>
    </w:p>
    <w:p>
      <w:pPr>
        <w:pStyle w:val="TextBody"/>
        <w:jc w:val="center"/>
        <w:rPr>
          <w:rFonts w:ascii="Arial" w:hAnsi="Arial"/>
          <w:b/>
        </w:rPr>
      </w:pPr>
      <w:bookmarkStart w:id="25" w:name="Exhibits"/>
      <w:bookmarkEnd w:id="25"/>
      <w:r>
        <w:rPr>
          <w:rFonts w:ascii="Arial" w:hAnsi="Arial"/>
          <w:b/>
        </w:rPr>
        <w:t>Part IV.</w:t>
      </w:r>
    </w:p>
    <w:p>
      <w:pPr>
        <w:pStyle w:val="TextBody"/>
        <w:jc w:val="left"/>
        <w:rPr>
          <w:rFonts w:ascii="Arial" w:hAnsi="Arial"/>
          <w:b/>
        </w:rPr>
      </w:pPr>
      <w:r>
        <w:rPr>
          <w:rFonts w:ascii="Arial" w:hAnsi="Arial"/>
          <w:b/>
        </w:rPr>
        <w:t>Item 15.    Exhibits and Financial Statement Schedules</w:t>
      </w:r>
    </w:p>
    <w:tbl>
      <w:tblPr>
        <w:tblW w:w="5000" w:type="pct"/>
        <w:jc w:val="left"/>
        <w:tblInd w:w="0" w:type="dxa"/>
        <w:tblCellMar>
          <w:top w:w="0" w:type="dxa"/>
          <w:left w:w="0" w:type="dxa"/>
          <w:bottom w:w="0" w:type="dxa"/>
          <w:right w:w="0" w:type="dxa"/>
        </w:tblCellMar>
      </w:tblPr>
      <w:tblGrid>
        <w:gridCol w:w="8384"/>
        <w:gridCol w:w="240"/>
        <w:gridCol w:w="231"/>
        <w:gridCol w:w="1117"/>
        <w:gridCol w:w="233"/>
      </w:tblGrid>
      <w:tr>
        <w:trPr/>
        <w:tc>
          <w:tcPr>
            <w:tcW w:w="8384" w:type="dxa"/>
            <w:tcBorders/>
            <w:shd w:fill="FFFFFF" w:val="clear"/>
            <w:vAlign w:val="bottom"/>
          </w:tcPr>
          <w:p>
            <w:pPr>
              <w:pStyle w:val="TableContents"/>
              <w:spacing w:before="0" w:after="283"/>
              <w:jc w:val="left"/>
              <w:rPr>
                <w:rFonts w:ascii="Arial" w:hAnsi="Arial"/>
              </w:rPr>
            </w:pPr>
            <w:r>
              <w:rPr>
                <w:rFonts w:ascii="Arial" w:hAnsi="Arial"/>
              </w:rPr>
              <w:t>(a)(1.) Consolidated Financial Statements:</w:t>
            </w:r>
          </w:p>
        </w:tc>
        <w:tc>
          <w:tcPr>
            <w:tcW w:w="240" w:type="dxa"/>
            <w:tcBorders/>
            <w:shd w:fill="FFFFFF" w:val="clear"/>
            <w:vAlign w:val="center"/>
          </w:tcPr>
          <w:p>
            <w:pPr>
              <w:pStyle w:val="TableContents"/>
              <w:spacing w:before="0" w:after="283"/>
              <w:rPr/>
            </w:pPr>
            <w:r>
              <w:rPr/>
              <w:t> </w:t>
            </w:r>
          </w:p>
        </w:tc>
        <w:tc>
          <w:tcPr>
            <w:tcW w:w="1581" w:type="dxa"/>
            <w:gridSpan w:val="3"/>
            <w:tcBorders/>
            <w:shd w:fill="FFFFFF" w:val="clear"/>
            <w:vAlign w:val="bottom"/>
          </w:tcPr>
          <w:p>
            <w:pPr>
              <w:pStyle w:val="TableContents"/>
              <w:spacing w:before="0" w:after="0"/>
              <w:jc w:val="center"/>
              <w:rPr>
                <w:rFonts w:ascii="Arial" w:hAnsi="Arial"/>
                <w:b/>
              </w:rPr>
            </w:pPr>
            <w:r>
              <w:rPr>
                <w:rFonts w:ascii="Arial" w:hAnsi="Arial"/>
                <w:b/>
              </w:rPr>
              <w:t>Page Number</w:t>
              <w:br/>
              <w:t>in Form 10-K</w:t>
            </w:r>
          </w:p>
          <w:p>
            <w:pPr>
              <w:pStyle w:val="HorizontalLine"/>
              <w:pBdr>
                <w:bottom w:val="single" w:sz="6" w:space="0" w:color="000000"/>
              </w:pBdr>
              <w:spacing w:before="0" w:after="283"/>
              <w:rPr/>
            </w:pPr>
            <w:r>
              <w:rPr/>
            </w:r>
          </w:p>
        </w:tc>
      </w:tr>
      <w:tr>
        <w:trPr/>
        <w:tc>
          <w:tcPr>
            <w:tcW w:w="8384" w:type="dxa"/>
            <w:tcBorders/>
            <w:shd w:fill="FFFFFF" w:val="clear"/>
            <w:vAlign w:val="bottom"/>
          </w:tcPr>
          <w:p>
            <w:pPr>
              <w:pStyle w:val="TableContents"/>
              <w:spacing w:before="0" w:after="283"/>
              <w:jc w:val="left"/>
              <w:rPr>
                <w:rFonts w:ascii="Arial" w:hAnsi="Arial"/>
              </w:rPr>
            </w:pPr>
            <w:r>
              <w:rPr>
                <w:rFonts w:ascii="Arial" w:hAnsi="Arial"/>
              </w:rPr>
              <w:t>Consolidated Statement of Operations for the years ended December 31, 2006, 2005 and 2004</w:t>
            </w:r>
          </w:p>
        </w:tc>
        <w:tc>
          <w:tcPr>
            <w:tcW w:w="240" w:type="dxa"/>
            <w:tcBorders/>
            <w:shd w:fill="FFFFFF" w:val="clear"/>
            <w:vAlign w:val="bottom"/>
          </w:tcPr>
          <w:p>
            <w:pPr>
              <w:pStyle w:val="TableContents"/>
              <w:spacing w:before="0" w:after="283"/>
              <w:jc w:val="right"/>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bottom"/>
          </w:tcPr>
          <w:p>
            <w:pPr>
              <w:pStyle w:val="TableContents"/>
              <w:spacing w:before="0" w:after="283"/>
              <w:jc w:val="right"/>
              <w:rPr>
                <w:rFonts w:ascii="Arial" w:hAnsi="Arial"/>
              </w:rPr>
            </w:pPr>
            <w:r>
              <w:rPr>
                <w:rFonts w:ascii="Arial" w:hAnsi="Arial"/>
              </w:rPr>
              <w:t>45</w:t>
            </w:r>
          </w:p>
        </w:tc>
        <w:tc>
          <w:tcPr>
            <w:tcW w:w="233" w:type="dxa"/>
            <w:tcBorders/>
            <w:shd w:fill="FFFFFF" w:val="clear"/>
            <w:vAlign w:val="center"/>
          </w:tcPr>
          <w:p>
            <w:pPr>
              <w:pStyle w:val="TableContents"/>
              <w:spacing w:before="0" w:after="283"/>
              <w:rPr/>
            </w:pPr>
            <w:r>
              <w:rPr/>
              <w:t> </w:t>
            </w:r>
          </w:p>
        </w:tc>
      </w:tr>
      <w:tr>
        <w:trPr/>
        <w:tc>
          <w:tcPr>
            <w:tcW w:w="8384" w:type="dxa"/>
            <w:tcBorders/>
            <w:shd w:fill="FFFFFF" w:val="clear"/>
            <w:vAlign w:val="bottom"/>
          </w:tcPr>
          <w:p>
            <w:pPr>
              <w:pStyle w:val="TableContents"/>
              <w:spacing w:before="0" w:after="283"/>
              <w:jc w:val="left"/>
              <w:rPr>
                <w:rFonts w:ascii="Arial" w:hAnsi="Arial"/>
              </w:rPr>
            </w:pPr>
            <w:r>
              <w:rPr>
                <w:rFonts w:ascii="Arial" w:hAnsi="Arial"/>
              </w:rPr>
              <w:t>Consolidated Balance Sheet at December 31, 2006 and 2005</w:t>
            </w:r>
          </w:p>
        </w:tc>
        <w:tc>
          <w:tcPr>
            <w:tcW w:w="240" w:type="dxa"/>
            <w:tcBorders/>
            <w:shd w:fill="FFFFFF" w:val="clear"/>
            <w:vAlign w:val="bottom"/>
          </w:tcPr>
          <w:p>
            <w:pPr>
              <w:pStyle w:val="TableContents"/>
              <w:spacing w:before="0" w:after="283"/>
              <w:jc w:val="right"/>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bottom"/>
          </w:tcPr>
          <w:p>
            <w:pPr>
              <w:pStyle w:val="TableContents"/>
              <w:spacing w:before="0" w:after="283"/>
              <w:jc w:val="right"/>
              <w:rPr>
                <w:rFonts w:ascii="Arial" w:hAnsi="Arial"/>
              </w:rPr>
            </w:pPr>
            <w:r>
              <w:rPr>
                <w:rFonts w:ascii="Arial" w:hAnsi="Arial"/>
              </w:rPr>
              <w:t>46</w:t>
            </w:r>
          </w:p>
        </w:tc>
        <w:tc>
          <w:tcPr>
            <w:tcW w:w="233" w:type="dxa"/>
            <w:tcBorders/>
            <w:shd w:fill="FFFFFF" w:val="clear"/>
            <w:vAlign w:val="center"/>
          </w:tcPr>
          <w:p>
            <w:pPr>
              <w:pStyle w:val="TableContents"/>
              <w:spacing w:before="0" w:after="283"/>
              <w:rPr/>
            </w:pPr>
            <w:r>
              <w:rPr/>
              <w:t> </w:t>
            </w:r>
          </w:p>
        </w:tc>
      </w:tr>
      <w:tr>
        <w:trPr/>
        <w:tc>
          <w:tcPr>
            <w:tcW w:w="8384" w:type="dxa"/>
            <w:tcBorders/>
            <w:shd w:fill="FFFFFF" w:val="clear"/>
            <w:vAlign w:val="bottom"/>
          </w:tcPr>
          <w:p>
            <w:pPr>
              <w:pStyle w:val="TableContents"/>
              <w:spacing w:before="0" w:after="283"/>
              <w:jc w:val="left"/>
              <w:rPr>
                <w:rFonts w:ascii="Arial" w:hAnsi="Arial"/>
              </w:rPr>
            </w:pPr>
            <w:r>
              <w:rPr>
                <w:rFonts w:ascii="Arial" w:hAnsi="Arial"/>
              </w:rPr>
              <w:t>Consolidated Statement of Cash Flows for the years ended December 31, 2006, 2005 and 2004</w:t>
            </w:r>
          </w:p>
        </w:tc>
        <w:tc>
          <w:tcPr>
            <w:tcW w:w="240" w:type="dxa"/>
            <w:tcBorders/>
            <w:shd w:fill="FFFFFF" w:val="clear"/>
            <w:vAlign w:val="bottom"/>
          </w:tcPr>
          <w:p>
            <w:pPr>
              <w:pStyle w:val="TableContents"/>
              <w:spacing w:before="0" w:after="283"/>
              <w:jc w:val="right"/>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bottom"/>
          </w:tcPr>
          <w:p>
            <w:pPr>
              <w:pStyle w:val="TableContents"/>
              <w:spacing w:before="0" w:after="283"/>
              <w:jc w:val="right"/>
              <w:rPr>
                <w:rFonts w:ascii="Arial" w:hAnsi="Arial"/>
              </w:rPr>
            </w:pPr>
            <w:r>
              <w:rPr>
                <w:rFonts w:ascii="Arial" w:hAnsi="Arial"/>
              </w:rPr>
              <w:t>47</w:t>
            </w:r>
          </w:p>
        </w:tc>
        <w:tc>
          <w:tcPr>
            <w:tcW w:w="233" w:type="dxa"/>
            <w:tcBorders/>
            <w:shd w:fill="FFFFFF" w:val="clear"/>
            <w:vAlign w:val="center"/>
          </w:tcPr>
          <w:p>
            <w:pPr>
              <w:pStyle w:val="TableContents"/>
              <w:spacing w:before="0" w:after="283"/>
              <w:rPr/>
            </w:pPr>
            <w:r>
              <w:rPr/>
              <w:t> </w:t>
            </w:r>
          </w:p>
        </w:tc>
      </w:tr>
      <w:tr>
        <w:trPr/>
        <w:tc>
          <w:tcPr>
            <w:tcW w:w="8384" w:type="dxa"/>
            <w:tcBorders/>
            <w:shd w:fill="FFFFFF" w:val="clear"/>
            <w:vAlign w:val="bottom"/>
          </w:tcPr>
          <w:p>
            <w:pPr>
              <w:pStyle w:val="TableContents"/>
              <w:spacing w:before="0" w:after="283"/>
              <w:jc w:val="left"/>
              <w:rPr>
                <w:rFonts w:ascii="Arial" w:hAnsi="Arial"/>
              </w:rPr>
            </w:pPr>
            <w:r>
              <w:rPr>
                <w:rFonts w:ascii="Arial" w:hAnsi="Arial"/>
              </w:rPr>
              <w:t>Consolidated Statement of Shareowners' Equity for the years ended December 31, 2006, 2005 and 2004</w:t>
            </w:r>
          </w:p>
        </w:tc>
        <w:tc>
          <w:tcPr>
            <w:tcW w:w="240" w:type="dxa"/>
            <w:tcBorders/>
            <w:shd w:fill="FFFFFF" w:val="clear"/>
            <w:vAlign w:val="bottom"/>
          </w:tcPr>
          <w:p>
            <w:pPr>
              <w:pStyle w:val="TableContents"/>
              <w:spacing w:before="0" w:after="283"/>
              <w:jc w:val="right"/>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bottom"/>
          </w:tcPr>
          <w:p>
            <w:pPr>
              <w:pStyle w:val="TableContents"/>
              <w:spacing w:before="0" w:after="283"/>
              <w:jc w:val="right"/>
              <w:rPr>
                <w:rFonts w:ascii="Arial" w:hAnsi="Arial"/>
              </w:rPr>
            </w:pPr>
            <w:r>
              <w:rPr>
                <w:rFonts w:ascii="Arial" w:hAnsi="Arial"/>
              </w:rPr>
              <w:t>48</w:t>
            </w:r>
          </w:p>
        </w:tc>
        <w:tc>
          <w:tcPr>
            <w:tcW w:w="233" w:type="dxa"/>
            <w:tcBorders/>
            <w:shd w:fill="FFFFFF" w:val="clear"/>
            <w:vAlign w:val="center"/>
          </w:tcPr>
          <w:p>
            <w:pPr>
              <w:pStyle w:val="TableContents"/>
              <w:spacing w:before="0" w:after="283"/>
              <w:rPr/>
            </w:pPr>
            <w:r>
              <w:rPr/>
              <w:t> </w:t>
            </w:r>
          </w:p>
        </w:tc>
      </w:tr>
      <w:tr>
        <w:trPr/>
        <w:tc>
          <w:tcPr>
            <w:tcW w:w="8384" w:type="dxa"/>
            <w:tcBorders/>
            <w:shd w:fill="FFFFFF" w:val="clear"/>
            <w:vAlign w:val="bottom"/>
          </w:tcPr>
          <w:p>
            <w:pPr>
              <w:pStyle w:val="TableContents"/>
              <w:spacing w:before="0" w:after="283"/>
              <w:jc w:val="left"/>
              <w:rPr>
                <w:rFonts w:ascii="Arial" w:hAnsi="Arial"/>
              </w:rPr>
            </w:pPr>
            <w:r>
              <w:rPr>
                <w:rFonts w:ascii="Arial" w:hAnsi="Arial"/>
              </w:rPr>
              <w:t>Notes to Financial Statements</w:t>
            </w:r>
          </w:p>
        </w:tc>
        <w:tc>
          <w:tcPr>
            <w:tcW w:w="240" w:type="dxa"/>
            <w:tcBorders/>
            <w:shd w:fill="FFFFFF" w:val="clear"/>
            <w:vAlign w:val="bottom"/>
          </w:tcPr>
          <w:p>
            <w:pPr>
              <w:pStyle w:val="TableContents"/>
              <w:spacing w:before="0" w:after="283"/>
              <w:jc w:val="right"/>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bottom"/>
          </w:tcPr>
          <w:p>
            <w:pPr>
              <w:pStyle w:val="TableContents"/>
              <w:spacing w:before="0" w:after="283"/>
              <w:jc w:val="right"/>
              <w:rPr>
                <w:rFonts w:ascii="Arial" w:hAnsi="Arial"/>
              </w:rPr>
            </w:pPr>
            <w:r>
              <w:rPr>
                <w:rFonts w:ascii="Arial" w:hAnsi="Arial"/>
              </w:rPr>
              <w:t>49</w:t>
            </w:r>
          </w:p>
        </w:tc>
        <w:tc>
          <w:tcPr>
            <w:tcW w:w="233" w:type="dxa"/>
            <w:tcBorders/>
            <w:shd w:fill="FFFFFF" w:val="clear"/>
            <w:vAlign w:val="center"/>
          </w:tcPr>
          <w:p>
            <w:pPr>
              <w:pStyle w:val="TableContents"/>
              <w:spacing w:before="0" w:after="283"/>
              <w:rPr/>
            </w:pPr>
            <w:r>
              <w:rPr/>
              <w:t> </w:t>
            </w:r>
          </w:p>
        </w:tc>
      </w:tr>
      <w:tr>
        <w:trPr/>
        <w:tc>
          <w:tcPr>
            <w:tcW w:w="8384" w:type="dxa"/>
            <w:tcBorders/>
            <w:shd w:fill="FFFFFF" w:val="clear"/>
            <w:vAlign w:val="bottom"/>
          </w:tcPr>
          <w:p>
            <w:pPr>
              <w:pStyle w:val="TableContents"/>
              <w:spacing w:before="0" w:after="283"/>
              <w:jc w:val="left"/>
              <w:rPr>
                <w:rFonts w:ascii="Arial" w:hAnsi="Arial"/>
              </w:rPr>
            </w:pPr>
            <w:r>
              <w:rPr>
                <w:rFonts w:ascii="Arial" w:hAnsi="Arial"/>
              </w:rPr>
              <w:t>Report of Independent Registered Public Accounting Firm</w:t>
            </w:r>
          </w:p>
        </w:tc>
        <w:tc>
          <w:tcPr>
            <w:tcW w:w="240" w:type="dxa"/>
            <w:tcBorders/>
            <w:shd w:fill="FFFFFF" w:val="clear"/>
            <w:vAlign w:val="bottom"/>
          </w:tcPr>
          <w:p>
            <w:pPr>
              <w:pStyle w:val="TableContents"/>
              <w:spacing w:before="0" w:after="283"/>
              <w:jc w:val="right"/>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bottom"/>
          </w:tcPr>
          <w:p>
            <w:pPr>
              <w:pStyle w:val="TableContents"/>
              <w:spacing w:before="0" w:after="283"/>
              <w:jc w:val="right"/>
              <w:rPr>
                <w:rFonts w:ascii="Arial" w:hAnsi="Arial"/>
              </w:rPr>
            </w:pPr>
            <w:r>
              <w:rPr>
                <w:rFonts w:ascii="Arial" w:hAnsi="Arial"/>
              </w:rPr>
              <w:t>96</w:t>
            </w:r>
          </w:p>
        </w:tc>
        <w:tc>
          <w:tcPr>
            <w:tcW w:w="233" w:type="dxa"/>
            <w:tcBorders/>
            <w:shd w:fill="FFFFFF" w:val="clear"/>
            <w:vAlign w:val="center"/>
          </w:tcPr>
          <w:p>
            <w:pPr>
              <w:pStyle w:val="TableContents"/>
              <w:spacing w:before="0" w:after="283"/>
              <w:rPr/>
            </w:pPr>
            <w:r>
              <w:rPr/>
              <w:t> </w:t>
            </w:r>
          </w:p>
        </w:tc>
      </w:tr>
      <w:tr>
        <w:trPr/>
        <w:tc>
          <w:tcPr>
            <w:tcW w:w="838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1117" w:type="dxa"/>
            <w:tcBorders/>
            <w:shd w:fill="FFFFFF" w:val="clear"/>
            <w:vAlign w:val="center"/>
          </w:tcPr>
          <w:p>
            <w:pPr>
              <w:pStyle w:val="TableContents"/>
              <w:spacing w:before="0" w:after="283"/>
              <w:rPr/>
            </w:pPr>
            <w:r>
              <w:rPr/>
              <w:t> </w:t>
            </w:r>
          </w:p>
        </w:tc>
        <w:tc>
          <w:tcPr>
            <w:tcW w:w="233"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7696"/>
        <w:gridCol w:w="331"/>
        <w:gridCol w:w="239"/>
        <w:gridCol w:w="1697"/>
        <w:gridCol w:w="242"/>
      </w:tblGrid>
      <w:tr>
        <w:trPr/>
        <w:tc>
          <w:tcPr>
            <w:tcW w:w="7696" w:type="dxa"/>
            <w:tcBorders/>
            <w:shd w:fill="FFFFFF" w:val="clear"/>
            <w:vAlign w:val="bottom"/>
          </w:tcPr>
          <w:p>
            <w:pPr>
              <w:pStyle w:val="TableContents"/>
              <w:spacing w:before="0" w:after="283"/>
              <w:jc w:val="left"/>
              <w:rPr>
                <w:rFonts w:ascii="Arial" w:hAnsi="Arial"/>
              </w:rPr>
            </w:pPr>
            <w:r>
              <w:rPr>
                <w:rFonts w:ascii="Arial" w:hAnsi="Arial"/>
              </w:rPr>
              <w:t>(a)(2.) Consolidated Financial Statement Schedules:</w:t>
            </w:r>
          </w:p>
        </w:tc>
        <w:tc>
          <w:tcPr>
            <w:tcW w:w="331" w:type="dxa"/>
            <w:tcBorders/>
            <w:shd w:fill="FFFFFF" w:val="clear"/>
            <w:vAlign w:val="center"/>
          </w:tcPr>
          <w:p>
            <w:pPr>
              <w:pStyle w:val="TableContents"/>
              <w:spacing w:before="0" w:after="283"/>
              <w:rPr/>
            </w:pPr>
            <w:r>
              <w:rPr/>
              <w:t> </w:t>
            </w:r>
          </w:p>
        </w:tc>
        <w:tc>
          <w:tcPr>
            <w:tcW w:w="2178" w:type="dxa"/>
            <w:gridSpan w:val="3"/>
            <w:tcBorders/>
            <w:shd w:fill="FFFFFF" w:val="clear"/>
            <w:vAlign w:val="bottom"/>
          </w:tcPr>
          <w:p>
            <w:pPr>
              <w:pStyle w:val="TableContents"/>
              <w:spacing w:before="0" w:after="0"/>
              <w:jc w:val="right"/>
              <w:rPr>
                <w:rFonts w:ascii="Arial" w:hAnsi="Arial"/>
                <w:b/>
              </w:rPr>
            </w:pPr>
            <w:r>
              <w:rPr>
                <w:rFonts w:ascii="Arial" w:hAnsi="Arial"/>
                <w:b/>
              </w:rPr>
              <w:t>Page Number</w:t>
              <w:br/>
              <w:t>in Form 10-K</w:t>
            </w:r>
          </w:p>
          <w:p>
            <w:pPr>
              <w:pStyle w:val="HorizontalLine"/>
              <w:pBdr>
                <w:bottom w:val="single" w:sz="6" w:space="0" w:color="000000"/>
              </w:pBdr>
              <w:spacing w:before="0" w:after="283"/>
              <w:rPr/>
            </w:pPr>
            <w:r>
              <w:rPr/>
            </w:r>
          </w:p>
        </w:tc>
      </w:tr>
      <w:tr>
        <w:trPr/>
        <w:tc>
          <w:tcPr>
            <w:tcW w:w="7696" w:type="dxa"/>
            <w:tcBorders/>
            <w:shd w:fill="FFFFFF" w:val="clear"/>
            <w:vAlign w:val="bottom"/>
          </w:tcPr>
          <w:p>
            <w:pPr>
              <w:pStyle w:val="TableContents"/>
              <w:spacing w:before="0" w:after="283"/>
              <w:jc w:val="left"/>
              <w:rPr>
                <w:rFonts w:ascii="Arial" w:hAnsi="Arial"/>
              </w:rPr>
            </w:pPr>
            <w:r>
              <w:rPr>
                <w:rFonts w:ascii="Arial" w:hAnsi="Arial"/>
              </w:rPr>
              <w:t>Schedule II—Valuation and Qualifying Accounts</w:t>
            </w:r>
          </w:p>
        </w:tc>
        <w:tc>
          <w:tcPr>
            <w:tcW w:w="331" w:type="dxa"/>
            <w:tcBorders/>
            <w:shd w:fill="FFFFFF" w:val="clear"/>
            <w:vAlign w:val="bottom"/>
          </w:tcPr>
          <w:p>
            <w:pPr>
              <w:pStyle w:val="TableContents"/>
              <w:spacing w:before="0" w:after="283"/>
              <w:jc w:val="right"/>
              <w:rPr/>
            </w:pPr>
            <w:r>
              <w:rPr/>
              <w:t>    </w:t>
            </w:r>
          </w:p>
        </w:tc>
        <w:tc>
          <w:tcPr>
            <w:tcW w:w="239" w:type="dxa"/>
            <w:tcBorders/>
            <w:shd w:fill="FFFFFF" w:val="clear"/>
            <w:vAlign w:val="center"/>
          </w:tcPr>
          <w:p>
            <w:pPr>
              <w:pStyle w:val="TableContents"/>
              <w:spacing w:before="0" w:after="283"/>
              <w:rPr/>
            </w:pPr>
            <w:r>
              <w:rPr/>
              <w:t> </w:t>
            </w:r>
          </w:p>
        </w:tc>
        <w:tc>
          <w:tcPr>
            <w:tcW w:w="1697" w:type="dxa"/>
            <w:tcBorders/>
            <w:shd w:fill="FFFFFF" w:val="clear"/>
            <w:vAlign w:val="bottom"/>
          </w:tcPr>
          <w:p>
            <w:pPr>
              <w:pStyle w:val="TableContents"/>
              <w:spacing w:before="0" w:after="283"/>
              <w:jc w:val="right"/>
              <w:rPr>
                <w:rFonts w:ascii="Arial" w:hAnsi="Arial"/>
              </w:rPr>
            </w:pPr>
            <w:r>
              <w:rPr>
                <w:rFonts w:ascii="Arial" w:hAnsi="Arial"/>
              </w:rPr>
              <w:t>107</w:t>
            </w:r>
          </w:p>
        </w:tc>
        <w:tc>
          <w:tcPr>
            <w:tcW w:w="242" w:type="dxa"/>
            <w:tcBorders/>
            <w:shd w:fill="FFFFFF" w:val="clear"/>
            <w:vAlign w:val="center"/>
          </w:tcPr>
          <w:p>
            <w:pPr>
              <w:pStyle w:val="TableContents"/>
              <w:spacing w:before="0" w:after="283"/>
              <w:rPr/>
            </w:pPr>
            <w:r>
              <w:rPr/>
              <w:t> </w:t>
            </w:r>
          </w:p>
        </w:tc>
      </w:tr>
      <w:tr>
        <w:trPr/>
        <w:tc>
          <w:tcPr>
            <w:tcW w:w="7696" w:type="dxa"/>
            <w:tcBorders/>
            <w:shd w:fill="FFFFFF" w:val="clear"/>
            <w:vAlign w:val="bottom"/>
          </w:tcPr>
          <w:p>
            <w:pPr>
              <w:pStyle w:val="TableContents"/>
              <w:spacing w:before="0" w:after="283"/>
              <w:rPr>
                <w:sz w:val="4"/>
                <w:szCs w:val="4"/>
              </w:rPr>
            </w:pPr>
            <w:r>
              <w:rPr>
                <w:sz w:val="4"/>
                <w:szCs w:val="4"/>
              </w:rPr>
            </w:r>
          </w:p>
        </w:tc>
        <w:tc>
          <w:tcPr>
            <w:tcW w:w="331"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1697" w:type="dxa"/>
            <w:tcBorders/>
            <w:shd w:fill="FFFFFF" w:val="clear"/>
            <w:vAlign w:val="center"/>
          </w:tcPr>
          <w:p>
            <w:pPr>
              <w:pStyle w:val="TableContents"/>
              <w:spacing w:before="0" w:after="283"/>
              <w:rPr/>
            </w:pPr>
            <w:r>
              <w:rPr/>
              <w:t> </w:t>
            </w:r>
          </w:p>
        </w:tc>
        <w:tc>
          <w:tcPr>
            <w:tcW w:w="242" w:type="dxa"/>
            <w:tcBorders/>
            <w:shd w:fill="FFFFFF" w:val="clear"/>
            <w:vAlign w:val="center"/>
          </w:tcPr>
          <w:p>
            <w:pPr>
              <w:pStyle w:val="TableContents"/>
              <w:spacing w:before="0" w:after="283"/>
              <w:rPr/>
            </w:pPr>
            <w:r>
              <w:rPr/>
              <w:t> </w:t>
            </w:r>
          </w:p>
        </w:tc>
      </w:tr>
    </w:tbl>
    <w:p>
      <w:pPr>
        <w:pStyle w:val="TextBody"/>
        <w:jc w:val="left"/>
        <w:rPr/>
      </w:pPr>
      <w:r>
        <w:rPr/>
        <w:t>      </w:t>
      </w:r>
      <w:r>
        <w:rPr>
          <w:rFonts w:ascii="Arial" w:hAnsi="Arial"/>
        </w:rPr>
        <w:t>All other financial statement schedules have been omitted because they are not applicable to us or the required information is shown in the consolidated financial statements or notes thereto.</w:t>
      </w:r>
    </w:p>
    <w:p>
      <w:pPr>
        <w:pStyle w:val="TextBody"/>
        <w:jc w:val="left"/>
        <w:rPr>
          <w:rFonts w:ascii="Arial" w:hAnsi="Arial"/>
        </w:rPr>
      </w:pPr>
      <w:r>
        <w:rPr>
          <w:rFonts w:ascii="Arial" w:hAnsi="Arial"/>
        </w:rPr>
        <w:t>(a)(3.) Exhibits</w:t>
      </w:r>
    </w:p>
    <w:p>
      <w:pPr>
        <w:pStyle w:val="TextBody"/>
        <w:jc w:val="left"/>
        <w:rPr/>
      </w:pPr>
      <w:r>
        <w:rPr/>
        <w:t>      </w:t>
      </w:r>
      <w:r>
        <w:rPr>
          <w:rFonts w:ascii="Arial" w:hAnsi="Arial"/>
        </w:rPr>
        <w:t>See the Exhibit Index on pages 102 through 106 of this Annual Report on Form 10-K.</w:t>
      </w:r>
    </w:p>
    <w:p>
      <w:pPr>
        <w:pStyle w:val="TextBody"/>
        <w:jc w:val="center"/>
        <w:rPr>
          <w:rFonts w:ascii="Arial" w:hAnsi="Arial"/>
        </w:rPr>
      </w:pPr>
      <w:r>
        <w:rPr>
          <w:rFonts w:ascii="Arial" w:hAnsi="Arial"/>
        </w:rPr>
        <w:t>100</w:t>
      </w:r>
    </w:p>
    <w:p>
      <w:pPr>
        <w:pStyle w:val="HorizontalLine"/>
        <w:pBdr>
          <w:bottom w:val="single" w:sz="20" w:space="0" w:color="000000"/>
        </w:pBdr>
        <w:rPr/>
      </w:pPr>
      <w:r>
        <w:rPr/>
      </w:r>
      <w:r>
        <w:br w:type="page"/>
      </w:r>
    </w:p>
    <w:p>
      <w:pPr>
        <w:pStyle w:val="TextBody"/>
        <w:jc w:val="center"/>
        <w:rPr>
          <w:rFonts w:ascii="Arial" w:hAnsi="Arial"/>
          <w:b/>
        </w:rPr>
      </w:pPr>
      <w:bookmarkStart w:id="26" w:name="Signatures"/>
      <w:bookmarkEnd w:id="26"/>
      <w:r>
        <w:rPr>
          <w:rFonts w:ascii="Arial" w:hAnsi="Arial"/>
          <w:b/>
        </w:rPr>
        <w:t>SIGNATURES</w:t>
      </w:r>
    </w:p>
    <w:p>
      <w:pPr>
        <w:pStyle w:val="TextBody"/>
        <w:jc w:val="left"/>
        <w:rPr/>
      </w:pPr>
      <w:r>
        <w:rPr/>
        <w:t>      </w:t>
      </w:r>
      <w:r>
        <w:rPr>
          <w:rFonts w:ascii="Arial" w:hAnsi="Arial"/>
        </w:rPr>
        <w:t>Pursuant to the requirements of Section 13 or 15(d) of the Securities Exchange Act of 1934, the Registrant has duly caused this annual report to be signed on its behalf by the undersigned, thereunto duly authorized.</w:t>
      </w:r>
    </w:p>
    <w:tbl>
      <w:tblPr>
        <w:tblW w:w="5000" w:type="pct"/>
        <w:jc w:val="left"/>
        <w:tblInd w:w="0" w:type="dxa"/>
        <w:tblCellMar>
          <w:top w:w="0" w:type="dxa"/>
          <w:left w:w="0" w:type="dxa"/>
          <w:bottom w:w="0" w:type="dxa"/>
          <w:right w:w="0" w:type="dxa"/>
        </w:tblCellMar>
      </w:tblPr>
      <w:tblGrid>
        <w:gridCol w:w="3661"/>
        <w:gridCol w:w="679"/>
        <w:gridCol w:w="5865"/>
      </w:tblGrid>
      <w:tr>
        <w:trPr/>
        <w:tc>
          <w:tcPr>
            <w:tcW w:w="3661" w:type="dxa"/>
            <w:tcBorders/>
            <w:shd w:fill="FFFFFF" w:val="clear"/>
          </w:tcPr>
          <w:p>
            <w:pPr>
              <w:pStyle w:val="TableContents"/>
              <w:spacing w:before="0" w:after="283"/>
              <w:jc w:val="left"/>
              <w:rPr/>
            </w:pPr>
            <w:r>
              <w:rPr/>
              <w:t>      </w:t>
            </w:r>
          </w:p>
        </w:tc>
        <w:tc>
          <w:tcPr>
            <w:tcW w:w="6544" w:type="dxa"/>
            <w:gridSpan w:val="2"/>
            <w:tcBorders/>
            <w:shd w:fill="FFFFFF" w:val="clear"/>
          </w:tcPr>
          <w:p>
            <w:pPr>
              <w:pStyle w:val="TableContents"/>
              <w:spacing w:before="0" w:after="283"/>
              <w:jc w:val="left"/>
              <w:rPr/>
            </w:pPr>
            <w:r>
              <w:rPr>
                <w:rFonts w:ascii="Arial" w:hAnsi="Arial"/>
              </w:rPr>
              <w:t>H</w:t>
            </w:r>
            <w:r>
              <w:rPr>
                <w:rFonts w:ascii="Arial" w:hAnsi="Arial"/>
                <w:sz w:val="14"/>
              </w:rPr>
              <w:t>ONEYWELL</w:t>
            </w:r>
            <w:r>
              <w:rPr/>
              <w:t xml:space="preserve"> </w:t>
            </w:r>
            <w:r>
              <w:rPr>
                <w:rFonts w:ascii="Arial" w:hAnsi="Arial"/>
              </w:rPr>
              <w:t>I</w:t>
            </w:r>
            <w:r>
              <w:rPr>
                <w:rFonts w:ascii="Arial" w:hAnsi="Arial"/>
                <w:sz w:val="14"/>
              </w:rPr>
              <w:t>NTERNATIONAL</w:t>
            </w:r>
            <w:r>
              <w:rPr/>
              <w:t xml:space="preserve"> </w:t>
            </w:r>
            <w:r>
              <w:rPr>
                <w:rFonts w:ascii="Arial" w:hAnsi="Arial"/>
              </w:rPr>
              <w:t>I</w:t>
            </w:r>
            <w:r>
              <w:rPr>
                <w:rFonts w:ascii="Arial" w:hAnsi="Arial"/>
                <w:sz w:val="14"/>
              </w:rPr>
              <w:t>NC</w:t>
            </w:r>
            <w:r>
              <w:rPr>
                <w:rFonts w:ascii="Arial" w:hAnsi="Arial"/>
              </w:rPr>
              <w:t>.</w:t>
              <w:br/>
              <w:t>      </w:t>
            </w:r>
          </w:p>
        </w:tc>
      </w:tr>
      <w:tr>
        <w:trPr/>
        <w:tc>
          <w:tcPr>
            <w:tcW w:w="3661" w:type="dxa"/>
            <w:tcBorders/>
            <w:shd w:fill="FFFFFF" w:val="clear"/>
          </w:tcPr>
          <w:p>
            <w:pPr>
              <w:pStyle w:val="TableContents"/>
              <w:spacing w:before="0" w:after="283"/>
              <w:jc w:val="left"/>
              <w:rPr>
                <w:rFonts w:ascii="Arial" w:hAnsi="Arial"/>
              </w:rPr>
            </w:pPr>
            <w:r>
              <w:rPr>
                <w:rFonts w:ascii="Arial" w:hAnsi="Arial"/>
              </w:rPr>
              <w:t>February 15, 2007</w:t>
            </w:r>
          </w:p>
        </w:tc>
        <w:tc>
          <w:tcPr>
            <w:tcW w:w="679" w:type="dxa"/>
            <w:tcBorders/>
            <w:shd w:fill="FFFFFF" w:val="clear"/>
          </w:tcPr>
          <w:p>
            <w:pPr>
              <w:pStyle w:val="TableContents"/>
              <w:spacing w:before="0" w:after="283"/>
              <w:jc w:val="left"/>
              <w:rPr>
                <w:rFonts w:ascii="Arial" w:hAnsi="Arial"/>
              </w:rPr>
            </w:pPr>
            <w:r>
              <w:rPr>
                <w:rFonts w:ascii="Arial" w:hAnsi="Arial"/>
              </w:rPr>
              <w:t>By:</w:t>
            </w:r>
          </w:p>
        </w:tc>
        <w:tc>
          <w:tcPr>
            <w:tcW w:w="5865" w:type="dxa"/>
            <w:tcBorders/>
            <w:shd w:fill="FFFFFF" w:val="clear"/>
          </w:tcPr>
          <w:p>
            <w:pPr>
              <w:pStyle w:val="TableContents"/>
              <w:spacing w:before="0" w:after="0"/>
              <w:jc w:val="center"/>
              <w:rPr/>
            </w:pPr>
            <w:r>
              <w:rPr/>
              <w:t>      </w:t>
            </w:r>
            <w:r>
              <w:rPr>
                <w:rFonts w:ascii="Arial" w:hAnsi="Arial"/>
              </w:rPr>
              <w:t>/s/ T</w:t>
            </w:r>
            <w:r>
              <w:rPr>
                <w:rFonts w:ascii="Arial" w:hAnsi="Arial"/>
                <w:sz w:val="14"/>
              </w:rPr>
              <w:t>HOMAS</w:t>
            </w:r>
            <w:r>
              <w:rPr/>
              <w:t xml:space="preserve"> </w:t>
            </w:r>
            <w:r>
              <w:rPr>
                <w:rFonts w:ascii="Arial" w:hAnsi="Arial"/>
              </w:rPr>
              <w:t>A. S</w:t>
            </w:r>
            <w:r>
              <w:rPr>
                <w:rFonts w:ascii="Arial" w:hAnsi="Arial"/>
                <w:sz w:val="14"/>
              </w:rPr>
              <w:t>ZLOSEK</w:t>
            </w:r>
            <w:r>
              <w:rPr/>
              <w:t>      </w:t>
            </w:r>
          </w:p>
          <w:p>
            <w:pPr>
              <w:pStyle w:val="HorizontalLine"/>
              <w:pBdr>
                <w:bottom w:val="single" w:sz="20" w:space="0" w:color="000000"/>
              </w:pBdr>
              <w:jc w:val="center"/>
              <w:rPr/>
            </w:pPr>
            <w:r>
              <w:rPr/>
            </w:r>
          </w:p>
          <w:p>
            <w:pPr>
              <w:pStyle w:val="TableContents"/>
              <w:spacing w:before="0" w:after="283"/>
              <w:jc w:val="center"/>
              <w:rPr>
                <w:rFonts w:ascii="Arial" w:hAnsi="Arial"/>
              </w:rPr>
            </w:pPr>
            <w:r>
              <w:rPr>
                <w:rFonts w:ascii="Arial" w:hAnsi="Arial"/>
              </w:rPr>
              <w:t>Thomas A. Szlosek</w:t>
              <w:br/>
              <w:t>Vice President and Controller</w:t>
            </w:r>
          </w:p>
        </w:tc>
      </w:tr>
    </w:tbl>
    <w:p>
      <w:pPr>
        <w:pStyle w:val="TextBody"/>
        <w:jc w:val="left"/>
        <w:rPr/>
      </w:pPr>
      <w:r>
        <w:rPr/>
        <w:t>      </w:t>
      </w:r>
      <w:r>
        <w:rPr>
          <w:rFonts w:ascii="Arial" w:hAnsi="Arial"/>
        </w:rPr>
        <w:t>Pursuant to the requirements of the Securities Exchange Act of 1934, this annual report has been signed below by the following persons on behalf of the Registrant and in the capacities and on the date indicated:</w:t>
      </w:r>
    </w:p>
    <w:tbl>
      <w:tblPr>
        <w:tblW w:w="5000" w:type="pct"/>
        <w:jc w:val="left"/>
        <w:tblInd w:w="0" w:type="dxa"/>
        <w:tblCellMar>
          <w:top w:w="0" w:type="dxa"/>
          <w:left w:w="0" w:type="dxa"/>
          <w:bottom w:w="0" w:type="dxa"/>
          <w:right w:w="0" w:type="dxa"/>
        </w:tblCellMar>
      </w:tblPr>
      <w:tblGrid>
        <w:gridCol w:w="620"/>
        <w:gridCol w:w="82"/>
        <w:gridCol w:w="3797"/>
        <w:gridCol w:w="1133"/>
        <w:gridCol w:w="4573"/>
      </w:tblGrid>
      <w:tr>
        <w:trPr/>
        <w:tc>
          <w:tcPr>
            <w:tcW w:w="4499" w:type="dxa"/>
            <w:gridSpan w:val="3"/>
            <w:tcBorders/>
            <w:shd w:fill="FFFFFF" w:val="clear"/>
            <w:vAlign w:val="bottom"/>
          </w:tcPr>
          <w:p>
            <w:pPr>
              <w:pStyle w:val="TableContents"/>
              <w:spacing w:before="0" w:after="0"/>
              <w:jc w:val="center"/>
              <w:rPr>
                <w:rFonts w:ascii="Arial" w:hAnsi="Arial"/>
                <w:b/>
              </w:rPr>
            </w:pPr>
            <w:r>
              <w:rPr>
                <w:rFonts w:ascii="Arial" w:hAnsi="Arial"/>
                <w:b/>
              </w:rPr>
              <w:t>Name</w:t>
            </w:r>
          </w:p>
          <w:p>
            <w:pPr>
              <w:pStyle w:val="HorizontalLine"/>
              <w:pBdr>
                <w:bottom w:val="single" w:sz="6" w:space="0" w:color="000000"/>
              </w:pBdr>
              <w:spacing w:before="0" w:after="283"/>
              <w:rPr/>
            </w:pPr>
            <w:r>
              <w:rPr/>
            </w:r>
          </w:p>
        </w:tc>
        <w:tc>
          <w:tcPr>
            <w:tcW w:w="1133" w:type="dxa"/>
            <w:tcBorders/>
            <w:shd w:fill="FFFFFF" w:val="clear"/>
            <w:vAlign w:val="bottom"/>
          </w:tcPr>
          <w:p>
            <w:pPr>
              <w:pStyle w:val="TableContents"/>
              <w:spacing w:before="0" w:after="283"/>
              <w:jc w:val="center"/>
              <w:rPr/>
            </w:pPr>
            <w:r>
              <w:rPr/>
              <w:t>                </w:t>
            </w:r>
          </w:p>
        </w:tc>
        <w:tc>
          <w:tcPr>
            <w:tcW w:w="4573" w:type="dxa"/>
            <w:tcBorders/>
            <w:shd w:fill="FFFFFF" w:val="clear"/>
            <w:vAlign w:val="bottom"/>
          </w:tcPr>
          <w:p>
            <w:pPr>
              <w:pStyle w:val="TableContents"/>
              <w:spacing w:before="0" w:after="0"/>
              <w:jc w:val="center"/>
              <w:rPr>
                <w:rFonts w:ascii="Arial" w:hAnsi="Arial"/>
                <w:b/>
              </w:rPr>
            </w:pPr>
            <w:r>
              <w:rPr>
                <w:rFonts w:ascii="Arial" w:hAnsi="Arial"/>
                <w:b/>
              </w:rPr>
              <w:t>Name</w:t>
            </w:r>
          </w:p>
          <w:p>
            <w:pPr>
              <w:pStyle w:val="HorizontalLine"/>
              <w:pBdr>
                <w:bottom w:val="single" w:sz="6" w:space="0" w:color="000000"/>
              </w:pBdr>
              <w:spacing w:before="0" w:after="283"/>
              <w:rPr/>
            </w:pPr>
            <w:r>
              <w:rPr/>
            </w:r>
          </w:p>
        </w:tc>
      </w:tr>
      <w:tr>
        <w:trPr/>
        <w:tc>
          <w:tcPr>
            <w:tcW w:w="4499" w:type="dxa"/>
            <w:gridSpan w:val="3"/>
            <w:tcBorders/>
            <w:shd w:fill="FFFFFF" w:val="clear"/>
          </w:tcPr>
          <w:p>
            <w:pPr>
              <w:pStyle w:val="TableContents"/>
              <w:spacing w:before="0" w:after="0"/>
              <w:jc w:val="center"/>
              <w:rPr/>
            </w:pPr>
            <w:r>
              <w:rPr/>
              <w:t>         </w:t>
            </w:r>
            <w:r>
              <w:rPr>
                <w:rFonts w:ascii="Arial" w:hAnsi="Arial"/>
              </w:rPr>
              <w:t>*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David M. Cote      </w:t>
              <w:br/>
              <w:t>      Chairman of the Board,      </w:t>
              <w:br/>
              <w:t>      Chief Executive Officer      </w:t>
              <w:br/>
              <w:t>      and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Gordon M. Bethune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Jaime Chico Pardo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D. Scott Davis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Linnet F. Deily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Clive R. Hollick      </w:t>
              <w:br/>
              <w:t>      Director      </w:t>
              <w:br/>
              <w:t>         /s/ D</w:t>
            </w:r>
            <w:r>
              <w:rPr>
                <w:rFonts w:ascii="Arial" w:hAnsi="Arial"/>
                <w:sz w:val="14"/>
              </w:rPr>
              <w:t>AVID</w:t>
            </w:r>
            <w:r>
              <w:rPr/>
              <w:t xml:space="preserve"> </w:t>
            </w:r>
            <w:r>
              <w:rPr>
                <w:rFonts w:ascii="Arial" w:hAnsi="Arial"/>
              </w:rPr>
              <w:t>J. A</w:t>
            </w:r>
            <w:r>
              <w:rPr>
                <w:rFonts w:ascii="Arial" w:hAnsi="Arial"/>
                <w:sz w:val="14"/>
              </w:rPr>
              <w:t>NDERSON</w:t>
            </w:r>
            <w:r>
              <w:rP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David J. Anderson      </w:t>
              <w:br/>
              <w:t>      Senior Vice President and      </w:t>
              <w:br/>
              <w:t>      Chief Financial Officer      </w:t>
              <w:br/>
              <w:t>      (Principal Financial Officer)         </w:t>
            </w:r>
          </w:p>
        </w:tc>
        <w:tc>
          <w:tcPr>
            <w:tcW w:w="1133" w:type="dxa"/>
            <w:tcBorders/>
            <w:shd w:fill="FFFFFF" w:val="clear"/>
          </w:tcPr>
          <w:p>
            <w:pPr>
              <w:pStyle w:val="TableContents"/>
              <w:spacing w:before="0" w:after="283"/>
              <w:jc w:val="center"/>
              <w:rPr/>
            </w:pPr>
            <w:r>
              <w:rPr/>
              <w:t>                </w:t>
            </w:r>
          </w:p>
        </w:tc>
        <w:tc>
          <w:tcPr>
            <w:tcW w:w="4573" w:type="dxa"/>
            <w:tcBorders/>
            <w:shd w:fill="FFFFFF" w:val="clear"/>
          </w:tcPr>
          <w:p>
            <w:pPr>
              <w:pStyle w:val="TableContents"/>
              <w:spacing w:before="0" w:after="0"/>
              <w:jc w:val="center"/>
              <w:rPr/>
            </w:pPr>
            <w:r>
              <w:rPr/>
              <w:t>         </w:t>
            </w:r>
            <w:r>
              <w:rPr>
                <w:rFonts w:ascii="Arial" w:hAnsi="Arial"/>
              </w:rPr>
              <w:t>*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James J. Howard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Russell E. Palmer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Ivan G. Seidenberg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Bradley T. Sheares, Ph.D.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Eric K. Shinseki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John R. Stafford      </w:t>
              <w:br/>
              <w:t>      Director      </w:t>
              <w:br/>
              <w:t>         *      </w:t>
            </w:r>
          </w:p>
          <w:p>
            <w:pPr>
              <w:pStyle w:val="HorizontalLine"/>
              <w:pBdr>
                <w:bottom w:val="single" w:sz="20" w:space="0" w:color="000000"/>
              </w:pBdr>
              <w:jc w:val="center"/>
              <w:rPr/>
            </w:pPr>
            <w:r>
              <w:rPr/>
            </w:r>
          </w:p>
          <w:p>
            <w:pPr>
              <w:pStyle w:val="TableContents"/>
              <w:spacing w:before="0" w:after="0"/>
              <w:jc w:val="center"/>
              <w:rPr/>
            </w:pPr>
            <w:r>
              <w:rPr/>
              <w:t>      </w:t>
            </w:r>
            <w:r>
              <w:rPr>
                <w:rFonts w:ascii="Arial" w:hAnsi="Arial"/>
              </w:rPr>
              <w:t>Michael W. Wright      </w:t>
              <w:br/>
              <w:t>      Director      </w:t>
              <w:br/>
              <w:t>         /s/ T</w:t>
            </w:r>
            <w:r>
              <w:rPr>
                <w:rFonts w:ascii="Arial" w:hAnsi="Arial"/>
                <w:sz w:val="14"/>
              </w:rPr>
              <w:t>HOMAS</w:t>
            </w:r>
            <w:r>
              <w:rPr/>
              <w:t xml:space="preserve"> </w:t>
            </w:r>
            <w:r>
              <w:rPr>
                <w:rFonts w:ascii="Arial" w:hAnsi="Arial"/>
              </w:rPr>
              <w:t>A. S</w:t>
            </w:r>
            <w:r>
              <w:rPr>
                <w:rFonts w:ascii="Arial" w:hAnsi="Arial"/>
                <w:sz w:val="14"/>
              </w:rPr>
              <w:t>ZLOSEK</w:t>
            </w:r>
            <w:r>
              <w:rP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Thomas A. Szlosek      </w:t>
              <w:br/>
              <w:t>      Vice President and Controller      </w:t>
              <w:br/>
              <w:t>      (Principal Accounting Officer)      </w:t>
            </w:r>
          </w:p>
        </w:tc>
      </w:tr>
      <w:tr>
        <w:trPr/>
        <w:tc>
          <w:tcPr>
            <w:tcW w:w="620" w:type="dxa"/>
            <w:tcBorders/>
            <w:shd w:fill="FFFFFF" w:val="clear"/>
          </w:tcPr>
          <w:p>
            <w:pPr>
              <w:pStyle w:val="TableContents"/>
              <w:spacing w:before="0" w:after="283"/>
              <w:jc w:val="left"/>
              <w:rPr>
                <w:rFonts w:ascii="Arial" w:hAnsi="Arial"/>
              </w:rPr>
            </w:pPr>
            <w:r>
              <w:rPr>
                <w:rFonts w:ascii="Arial" w:hAnsi="Arial"/>
              </w:rPr>
              <w:t>*By:</w:t>
            </w:r>
          </w:p>
        </w:tc>
        <w:tc>
          <w:tcPr>
            <w:tcW w:w="82" w:type="dxa"/>
            <w:tcBorders/>
            <w:shd w:fill="FFFFFF" w:val="clear"/>
          </w:tcPr>
          <w:p>
            <w:pPr>
              <w:pStyle w:val="TableContents"/>
              <w:spacing w:before="0" w:after="283"/>
              <w:jc w:val="center"/>
              <w:rPr/>
            </w:pPr>
            <w:r>
              <w:rPr/>
              <w:t> </w:t>
            </w:r>
          </w:p>
        </w:tc>
        <w:tc>
          <w:tcPr>
            <w:tcW w:w="3797" w:type="dxa"/>
            <w:tcBorders/>
            <w:shd w:fill="FFFFFF" w:val="clear"/>
          </w:tcPr>
          <w:p>
            <w:pPr>
              <w:pStyle w:val="TableContents"/>
              <w:spacing w:before="0" w:after="0"/>
              <w:jc w:val="center"/>
              <w:rPr/>
            </w:pPr>
            <w:r>
              <w:rPr/>
              <w:t>      </w:t>
            </w:r>
            <w:r>
              <w:rPr>
                <w:rFonts w:ascii="Arial" w:hAnsi="Arial"/>
              </w:rPr>
              <w:t>/s/ D</w:t>
            </w:r>
            <w:r>
              <w:rPr>
                <w:rFonts w:ascii="Arial" w:hAnsi="Arial"/>
                <w:sz w:val="14"/>
              </w:rPr>
              <w:t>AVID</w:t>
            </w:r>
            <w:r>
              <w:rPr/>
              <w:t xml:space="preserve"> </w:t>
            </w:r>
            <w:r>
              <w:rPr>
                <w:rFonts w:ascii="Arial" w:hAnsi="Arial"/>
              </w:rPr>
              <w:t>J. A</w:t>
            </w:r>
            <w:r>
              <w:rPr>
                <w:rFonts w:ascii="Arial" w:hAnsi="Arial"/>
                <w:sz w:val="14"/>
              </w:rPr>
              <w:t>NDERSON</w:t>
            </w:r>
            <w:r>
              <w:rP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(David J. Anderson      </w:t>
              <w:br/>
              <w:t>      Attorney-in-fact)      </w:t>
            </w:r>
          </w:p>
        </w:tc>
        <w:tc>
          <w:tcPr>
            <w:tcW w:w="1133" w:type="dxa"/>
            <w:tcBorders/>
            <w:shd w:fill="FFFFFF" w:val="clear"/>
          </w:tcPr>
          <w:p>
            <w:pPr>
              <w:pStyle w:val="TableContents"/>
              <w:spacing w:before="0" w:after="283"/>
              <w:jc w:val="center"/>
              <w:rPr/>
            </w:pPr>
            <w:r>
              <w:rPr/>
              <w:t>                </w:t>
            </w:r>
          </w:p>
        </w:tc>
        <w:tc>
          <w:tcPr>
            <w:tcW w:w="4573" w:type="dxa"/>
            <w:tcBorders/>
            <w:shd w:fill="FFFFFF" w:val="clear"/>
          </w:tcPr>
          <w:p>
            <w:pPr>
              <w:pStyle w:val="TableContents"/>
              <w:spacing w:before="0" w:after="283"/>
              <w:jc w:val="center"/>
              <w:rPr/>
            </w:pPr>
            <w:r>
              <w:rPr/>
              <w:t>             </w:t>
            </w:r>
          </w:p>
        </w:tc>
      </w:tr>
    </w:tbl>
    <w:p>
      <w:pPr>
        <w:pStyle w:val="TextBody"/>
        <w:jc w:val="left"/>
        <w:rPr>
          <w:rFonts w:ascii="Arial" w:hAnsi="Arial"/>
        </w:rPr>
      </w:pPr>
      <w:r>
        <w:rPr>
          <w:rFonts w:ascii="Arial" w:hAnsi="Arial"/>
        </w:rPr>
        <w:t>February 15, 2007</w:t>
      </w:r>
    </w:p>
    <w:p>
      <w:pPr>
        <w:pStyle w:val="TextBody"/>
        <w:jc w:val="center"/>
        <w:rPr>
          <w:rFonts w:ascii="Arial" w:hAnsi="Arial"/>
        </w:rPr>
      </w:pPr>
      <w:r>
        <w:rPr>
          <w:rFonts w:ascii="Arial" w:hAnsi="Arial"/>
        </w:rPr>
        <w:t>101</w:t>
      </w:r>
    </w:p>
    <w:p>
      <w:pPr>
        <w:pStyle w:val="HorizontalLine"/>
        <w:pBdr>
          <w:bottom w:val="single" w:sz="20" w:space="0" w:color="000000"/>
        </w:pBdr>
        <w:rPr/>
      </w:pPr>
      <w:r>
        <w:rPr/>
      </w:r>
      <w:r>
        <w:br w:type="page"/>
      </w:r>
    </w:p>
    <w:p>
      <w:pPr>
        <w:pStyle w:val="TextBody"/>
        <w:jc w:val="center"/>
        <w:rPr>
          <w:rFonts w:ascii="Arial" w:hAnsi="Arial"/>
          <w:b/>
        </w:rPr>
      </w:pPr>
      <w:r>
        <w:rPr>
          <w:rFonts w:ascii="Arial" w:hAnsi="Arial"/>
          <w:b/>
        </w:rPr>
        <w:t>EXHIBIT INDEX</w:t>
      </w:r>
    </w:p>
    <w:tbl>
      <w:tblPr>
        <w:tblW w:w="5000" w:type="pct"/>
        <w:jc w:val="left"/>
        <w:tblInd w:w="0" w:type="dxa"/>
        <w:tblCellMar>
          <w:top w:w="0" w:type="dxa"/>
          <w:left w:w="0" w:type="dxa"/>
          <w:bottom w:w="0" w:type="dxa"/>
          <w:right w:w="0" w:type="dxa"/>
        </w:tblCellMar>
      </w:tblPr>
      <w:tblGrid>
        <w:gridCol w:w="59"/>
        <w:gridCol w:w="290"/>
        <w:gridCol w:w="305"/>
        <w:gridCol w:w="60"/>
        <w:gridCol w:w="780"/>
        <w:gridCol w:w="8650"/>
        <w:gridCol w:w="61"/>
      </w:tblGrid>
      <w:tr>
        <w:trPr/>
        <w:tc>
          <w:tcPr>
            <w:tcW w:w="10144" w:type="dxa"/>
            <w:gridSpan w:val="6"/>
            <w:tcBorders/>
            <w:shd w:fill="FFFFFF" w:val="clear"/>
          </w:tcPr>
          <w:p>
            <w:pPr>
              <w:pStyle w:val="TableContents"/>
              <w:spacing w:before="0" w:after="283"/>
              <w:jc w:val="left"/>
              <w:rPr>
                <w:b/>
              </w:rPr>
            </w:pPr>
            <w:r>
              <w:rPr>
                <w:rFonts w:ascii="Arial" w:hAnsi="Arial"/>
                <w:b/>
                <w:sz w:val="14"/>
                <w:u w:val="single"/>
              </w:rPr>
              <w:t>Exhibit No.</w:t>
            </w:r>
            <w:r>
              <w:rPr>
                <w:b/>
              </w:rPr>
              <w:t>                                                                  </w:t>
            </w:r>
            <w:r>
              <w:rPr>
                <w:rFonts w:ascii="Arial" w:hAnsi="Arial"/>
                <w:b/>
                <w:sz w:val="14"/>
                <w:u w:val="single"/>
              </w:rPr>
              <w:t>Description</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2</w:t>
            </w:r>
          </w:p>
        </w:tc>
        <w:tc>
          <w:tcPr>
            <w:tcW w:w="3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3</w:t>
            </w:r>
          </w:p>
        </w:tc>
        <w:tc>
          <w:tcPr>
            <w:tcW w:w="305" w:type="dxa"/>
            <w:tcBorders/>
            <w:shd w:fill="FFFFFF" w:val="clear"/>
          </w:tcPr>
          <w:p>
            <w:pPr>
              <w:pStyle w:val="TableContents"/>
              <w:spacing w:before="0" w:after="283"/>
              <w:jc w:val="left"/>
              <w:rPr>
                <w:rFonts w:ascii="Arial" w:hAnsi="Arial"/>
              </w:rPr>
            </w:pPr>
            <w:r>
              <w:rPr>
                <w:rFonts w:ascii="Arial" w:hAnsi="Arial"/>
              </w:rPr>
              <w:t>(i)</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Restated Certificate of Incorporation of Honeywell International Inc., as amended April 25, 2005 (incorporated by reference to Exhibit 3(i) to Honeywell's Form 10-K for the year ended December 31,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3</w:t>
            </w:r>
          </w:p>
        </w:tc>
        <w:tc>
          <w:tcPr>
            <w:tcW w:w="305" w:type="dxa"/>
            <w:tcBorders/>
            <w:shd w:fill="FFFFFF" w:val="clear"/>
          </w:tcPr>
          <w:p>
            <w:pPr>
              <w:pStyle w:val="TableContents"/>
              <w:spacing w:before="0" w:after="283"/>
              <w:jc w:val="left"/>
              <w:rPr>
                <w:rFonts w:ascii="Arial" w:hAnsi="Arial"/>
              </w:rPr>
            </w:pPr>
            <w:r>
              <w:rPr>
                <w:rFonts w:ascii="Arial" w:hAnsi="Arial"/>
              </w:rPr>
              <w:t>(ii)</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By-laws of Honeywell, as amended December 8, 2006 (incorporated by reference to Exhibit 3(ii) to Honeywell's Form 8-K filed December 11,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4</w:t>
            </w:r>
          </w:p>
        </w:tc>
        <w:tc>
          <w:tcPr>
            <w:tcW w:w="3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Honeywell International Inc. is a party to several long-term debt instruments under which, in each case, the total amount of securities authorized does not exceed 10% of the total assets of Honeywell and its subsidiaries on a consolidated basis. Pursuant to paragraph 4(iii)(A) of Item 601(b) of Regulation S-K, Honeywell agrees to furnish a copy of such instruments to the Securities and Exchange Commission upon request.</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9</w:t>
            </w:r>
          </w:p>
        </w:tc>
        <w:tc>
          <w:tcPr>
            <w:tcW w:w="3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.1*</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2003 Stock Incentive Plan of Honeywell International Inc., and its Affiliates (incorporated by reference to Honeywell's Proxy Statement, dated March 17, 2003, filed pursuant to Rule 14a-6 of the Securities and Exchange Act of 1934 and amended by Exhibit 10.1 to Honeywell's Form 8-K filed December 21, 2004 and by the attached amendment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.2*</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Deferred Compensation Plan for Non-Employee Directors of Honeywell International Inc., as amended and restated (incorporated by reference to Exhibit 10.2 to Honeywell's Form 10-Q for quarter ended June 30, 2003, amended by Exhibit 10.1 to Honeywell's Form 8-K filed December 21, 2004 and by Exhibit 10.2 to Honeywell's Form 10-K for the year ended December 31,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.3*</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Stock Plan for Non-Employee Directors of AlliedSignal Inc., as amended (incorporated by reference to Exhibit 10.3 to Honeywell's Form 10-Q for the quarter ended June 30, 2003)</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.4*</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1985 Stock Plan for Employees of AlliedSignal Inc. and its Subsidiaries, as amended (incorporated by reference to Exhibit 19.3 to Honeywell's Form 10-Q for the quarter ended September 30, 1991)</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.5*</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AlliedSignal, Inc. Incentive Compensation Plan for Executive Employees, as amended (incorporated by reference to Exhibit B to Honeywell's Proxy Statement, dated March 10, 1994, filed pursuant to Rule 14a-6 of the Securities and Exchange Act of 1934, and amended by Exhibit 10.5 to Honeywell's Form 10-Q for the quarter ended June 30, 1999)</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.6*</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Supplemental Non-Qualified Savings Plan for Highly Compensated Employees of Honeywell International Inc. and its Subsidiaries as amended and restated (incorporated by reference to Exhibit 10.6 to Honeywell's Form 10-Q for the quarter ended September 30, 2005 and by the attached amendment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05" w:type="dxa"/>
            <w:tcBorders/>
            <w:shd w:fill="FFFFFF" w:val="clear"/>
          </w:tcPr>
          <w:p>
            <w:pPr>
              <w:pStyle w:val="TableContents"/>
              <w:spacing w:before="0" w:after="283"/>
              <w:jc w:val="left"/>
              <w:rPr>
                <w:rFonts w:ascii="Arial" w:hAnsi="Arial"/>
              </w:rPr>
            </w:pPr>
            <w:r>
              <w:rPr>
                <w:rFonts w:ascii="Arial" w:hAnsi="Arial"/>
              </w:rPr>
              <w:t>.7*</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50" w:type="dxa"/>
            <w:tcBorders/>
            <w:shd w:fill="FFFFFF" w:val="clear"/>
          </w:tcPr>
          <w:p>
            <w:pPr>
              <w:pStyle w:val="TableContents"/>
              <w:spacing w:before="0" w:after="283"/>
              <w:jc w:val="left"/>
              <w:rPr>
                <w:rFonts w:ascii="Arial" w:hAnsi="Arial"/>
              </w:rPr>
            </w:pPr>
            <w:r>
              <w:rPr>
                <w:rFonts w:ascii="Arial" w:hAnsi="Arial"/>
              </w:rPr>
              <w:t>Honeywell International Inc. Severance Plan for Senior Executives, as amended and restated (incorporated by reference to Exhibit 10.7 to Honeywell's Form 10-K for the year ended December 31, 2003, and amended by Exhibit 10.7 to Honeywell's Form 10-Q for the quarter ended June 30, 2004)</w:t>
            </w:r>
          </w:p>
        </w:tc>
        <w:tc>
          <w:tcPr>
            <w:tcW w:w="61"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102</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10093"/>
        <w:gridCol w:w="112"/>
      </w:tblGrid>
      <w:tr>
        <w:trPr/>
        <w:tc>
          <w:tcPr>
            <w:tcW w:w="10093" w:type="dxa"/>
            <w:tcBorders/>
            <w:shd w:fill="auto" w:val="clear"/>
          </w:tcPr>
          <w:p>
            <w:pPr>
              <w:pStyle w:val="TableContents"/>
              <w:pageBreakBefore/>
              <w:spacing w:before="0" w:after="283"/>
              <w:jc w:val="left"/>
              <w:rPr>
                <w:b/>
              </w:rPr>
            </w:pPr>
            <w:r>
              <w:rPr>
                <w:rFonts w:ascii="Arial" w:hAnsi="Arial"/>
                <w:b/>
                <w:sz w:val="14"/>
                <w:u w:val="single"/>
              </w:rPr>
              <w:t>Exhibit No.</w:t>
            </w:r>
            <w:r>
              <w:rPr>
                <w:b/>
              </w:rPr>
              <w:t>                                                                  </w:t>
            </w:r>
            <w:r>
              <w:rPr>
                <w:rFonts w:ascii="Arial" w:hAnsi="Arial"/>
                <w:b/>
                <w:sz w:val="14"/>
                <w:u w:val="single"/>
              </w:rPr>
              <w:t>Description</w:t>
            </w:r>
          </w:p>
        </w:tc>
        <w:tc>
          <w:tcPr>
            <w:tcW w:w="112"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
        <w:gridCol w:w="290"/>
        <w:gridCol w:w="440"/>
        <w:gridCol w:w="60"/>
        <w:gridCol w:w="780"/>
        <w:gridCol w:w="8515"/>
        <w:gridCol w:w="61"/>
      </w:tblGrid>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.8*</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Salary and Incentive Award Deferral Plan for Selected Employees of Honeywell International Inc., and its Affiliates, as amended and restated (incorporated by reference to Exhibit 10.8 to Honeywell's Form 10-Q for the quarter ended September 30, 2005 and by the attached amendments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.9*</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1993 Stock Plan for Employees of Honeywell International Inc. and its Affiliates, as amended (incorporated by reference to Exhibit A to Honeywell's Proxy Statement, dated March 10, 1994, filed pursuant to Rule 14a-6 of the Securities and Exchange Act of 1934, and amended by Exhibit 10.1 to Honeywell's Form 8-K filed December 21, 2004 and by the attached amendment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.10*</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Honeywell International Inc. Supplemental Pension Plan, as amended and restated (incorporated by reference to Exhibit 10.13 to Honeywell's Form 10-K for the year ended December 31, 2000, and amended by Exhibit 10.1 to Honeywell's Form 8-K filed December 21, 2004 and by Exhibit 10.2 to Honeywell's Form 10-Q for the quarter ended September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.11*</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Employment Separation Agreement and Release between J. Kevin Gilligan and Honeywell International Inc. dated February 10, 2004 (incorporated by reference to Honeywell's Form 10-K for year ended December 31, 2003)</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.12*</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Honeywell International Inc. Supplemental Executive Retirement Plan for Executives in Career Band 6 and Above (incorporated by reference to Exhibit 10.14 to Honeywell's Form 10-Q for the quarter ended June 30, 2004, and amended by Exhibit 10.1 to Honeywell's Form 8-K filed December 21, 2004 and by Exhibit 10.2 to Honeywell's Form 10-Q for the quarter ended September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.13*</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Honeywell Supplemental Defined Benefit Retirement Plan, as amended and restated (incorporated by reference to Exhibit 10.15 to Honeywell's Form 10-Q for the quarter ended June 30, 2004, and amended by Exhibit 10.1 to Honeywell's Form 8-K filed December 21, 2004 and by Exhibit 10.2 to Honeywell's Form 10-Q for the quarter ended September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.14*</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Letter between David J. Anderson and Honeywell International Inc. dated June 12, 2003 (incorporated by reference to Exhibit 10.26 to Honeywell's Form 10-Q for the quarter ended June 30, 2003)</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.15*</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Employment Separation Agreement and Release between Richard F. Wallman and Honeywell International Inc. dated July 17, 2003 (incorporated by reference to Exhibit 10.2 to Honeywell's Form 10-Q for the quarter ended September 30, 2003)</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.16*</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Honeywell International Inc. Severance Plan for Corporate Staff Employees (Involuntary Termination Following a Change in Control), as amended and restated (incorporated by reference to Exhibit 10.19 to Honeywell's Form 10-K for the year ended December 31, 2002)</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.17*</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Employment Agreement dated as of February 18, 2002 between Honeywell and David M. Cote (incorporated by reference to Exhibit 10.24 to Honeywell's Form 8-K filed March 4, 2002)</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.18*</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2003 Stock Incentive Plan for Employees of Honeywell International Inc. and its Affiliates Award Agreement (incorporated by reference to Exhibit 10.1 to Honeywell's Form 8-K filed February 7, 2005)</w:t>
            </w:r>
          </w:p>
        </w:tc>
        <w:tc>
          <w:tcPr>
            <w:tcW w:w="61"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103</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10093"/>
        <w:gridCol w:w="112"/>
      </w:tblGrid>
      <w:tr>
        <w:trPr/>
        <w:tc>
          <w:tcPr>
            <w:tcW w:w="10093" w:type="dxa"/>
            <w:tcBorders/>
            <w:shd w:fill="auto" w:val="clear"/>
          </w:tcPr>
          <w:p>
            <w:pPr>
              <w:pStyle w:val="TableContents"/>
              <w:pageBreakBefore/>
              <w:spacing w:before="0" w:after="283"/>
              <w:jc w:val="left"/>
              <w:rPr>
                <w:b/>
              </w:rPr>
            </w:pPr>
            <w:r>
              <w:rPr>
                <w:rFonts w:ascii="Arial" w:hAnsi="Arial"/>
                <w:b/>
                <w:sz w:val="14"/>
                <w:u w:val="single"/>
              </w:rPr>
              <w:t>Exhibit No.</w:t>
            </w:r>
            <w:r>
              <w:rPr>
                <w:b/>
              </w:rPr>
              <w:t>                                                                  </w:t>
            </w:r>
            <w:r>
              <w:rPr>
                <w:rFonts w:ascii="Arial" w:hAnsi="Arial"/>
                <w:b/>
                <w:sz w:val="14"/>
                <w:u w:val="single"/>
              </w:rPr>
              <w:t>Description</w:t>
            </w:r>
          </w:p>
        </w:tc>
        <w:tc>
          <w:tcPr>
            <w:tcW w:w="112"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
        <w:gridCol w:w="290"/>
        <w:gridCol w:w="440"/>
        <w:gridCol w:w="60"/>
        <w:gridCol w:w="780"/>
        <w:gridCol w:w="8515"/>
        <w:gridCol w:w="61"/>
      </w:tblGrid>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.19*</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2003 Stock Incentive Plan for Employees of Honeywell International Inc. and its Affiliates Restricted Unit Agreement (incorporated by reference to Exhibit 10.21 to Honeywell's Form 10-K for the year ended December 31,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.20*</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2003 Stock Incentive Plan for Employees of Honeywell International Inc. and its Affiliates Growth Plan Agreement (incorporated by reference to Exhibit 10.22 to Honeywell's Form 10-K for the year ended December 31,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.21*</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Stock Plan For Non-Employee Directors of Honeywell International Inc. Option Agreement (incorporated by reference to Exhibit 10.1 to Form 8-K filed April 29,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.22*</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Deferred Compensation Agreement dated August 4, 2006 between Honeywell and David M. Cote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.23*</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Letter Agreement dated July 27, 2001 between Honeywell and Larry E. Kittelberger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.24*</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Honeywell Supplemental Retirement Plan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.25*</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Pittway Corporation Supplemental Executive Retirement Plan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.26*</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Incentive Plan of Honeywell International Inc. and Its Affiliates (incorporated by reference to Honeywell's Proxy Statement, dated March 13, 2006, filed pursuant to Rule 14a-6 of the Securities and Exchange Act of 1934 and to Exhibit 10.2 to Honeywell's Form 10-Q for the quarter ended June 30, 2006, and amended by the attached amendment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.27*</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Incentive Plan of Honeywell International Inc. and Its Affiliates Form of Option Award Agreement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.28*</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Incentive Plan of Honeywell International Inc. and Its Affiliates Form of Restricted Unit Agreement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.29*</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Incentive Plan of Honeywell International Inc. and Its Affiliates Form of Growth Plan Agreement (incorporated by reference to Exhibit 10.5 to Honeywell's Form 10-Q for the quarter ended June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.30*</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Incentive Plan of Honeywell International Inc. and Its Affiliates Form of Performance Share Agreement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.31*</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Plan for Non-Employee Directors of Honeywell International Inc. (incorporated by reference to Honeywell's Proxy Statement dated March 13, 2006, filed pursuant to Rule 14a-6 of the Securities and Exchange Act of 1934 and to Exhibit 10.6 to Honeywell's Form 10-Q for the quarter ended June 30, 2006, and amended by the attached amendments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.32*</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Plan for Non-Employee Directors of Honeywell International Inc.—Form of Option Agreement (incorporated by reference to Exhibit 10.7 to Honeywell's Form 10-Q for the quarter ended June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440" w:type="dxa"/>
            <w:tcBorders/>
            <w:shd w:fill="FFFFFF" w:val="clear"/>
          </w:tcPr>
          <w:p>
            <w:pPr>
              <w:pStyle w:val="TableContents"/>
              <w:spacing w:before="0" w:after="283"/>
              <w:jc w:val="left"/>
              <w:rPr>
                <w:rFonts w:ascii="Arial" w:hAnsi="Arial"/>
              </w:rPr>
            </w:pPr>
            <w:r>
              <w:rPr>
                <w:rFonts w:ascii="Arial" w:hAnsi="Arial"/>
              </w:rPr>
              <w:t>.33*</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515" w:type="dxa"/>
            <w:tcBorders/>
            <w:shd w:fill="FFFFFF" w:val="clear"/>
          </w:tcPr>
          <w:p>
            <w:pPr>
              <w:pStyle w:val="TableContents"/>
              <w:spacing w:before="0" w:after="283"/>
              <w:jc w:val="left"/>
              <w:rPr>
                <w:rFonts w:ascii="Arial" w:hAnsi="Arial"/>
              </w:rPr>
            </w:pPr>
            <w:r>
              <w:rPr>
                <w:rFonts w:ascii="Arial" w:hAnsi="Arial"/>
              </w:rPr>
              <w:t>2006 Stock Plan for Non-Employee Directors of Honeywell International Inc.—Form of Restricted Stock Agreement (incorporated by reference to Exhibit 10.8 to Honeywell's Form 10-Q for the quarter ended June 30, 2006)</w:t>
            </w:r>
          </w:p>
        </w:tc>
        <w:tc>
          <w:tcPr>
            <w:tcW w:w="61"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104</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10093"/>
        <w:gridCol w:w="112"/>
      </w:tblGrid>
      <w:tr>
        <w:trPr/>
        <w:tc>
          <w:tcPr>
            <w:tcW w:w="10093" w:type="dxa"/>
            <w:tcBorders/>
            <w:shd w:fill="auto" w:val="clear"/>
          </w:tcPr>
          <w:p>
            <w:pPr>
              <w:pStyle w:val="TableContents"/>
              <w:pageBreakBefore/>
              <w:spacing w:before="0" w:after="283"/>
              <w:jc w:val="left"/>
              <w:rPr>
                <w:b/>
              </w:rPr>
            </w:pPr>
            <w:r>
              <w:rPr>
                <w:rFonts w:ascii="Arial" w:hAnsi="Arial"/>
                <w:b/>
                <w:sz w:val="14"/>
                <w:u w:val="single"/>
              </w:rPr>
              <w:t>Exhibit No.</w:t>
            </w:r>
            <w:r>
              <w:rPr>
                <w:b/>
              </w:rPr>
              <w:t>                                                                  </w:t>
            </w:r>
            <w:r>
              <w:rPr>
                <w:rFonts w:ascii="Arial" w:hAnsi="Arial"/>
                <w:b/>
                <w:sz w:val="14"/>
                <w:u w:val="single"/>
              </w:rPr>
              <w:t>Description</w:t>
            </w:r>
          </w:p>
        </w:tc>
        <w:tc>
          <w:tcPr>
            <w:tcW w:w="112"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
        <w:gridCol w:w="290"/>
        <w:gridCol w:w="350"/>
        <w:gridCol w:w="60"/>
        <w:gridCol w:w="780"/>
        <w:gridCol w:w="8605"/>
        <w:gridCol w:w="61"/>
      </w:tblGrid>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50" w:type="dxa"/>
            <w:tcBorders/>
            <w:shd w:fill="FFFFFF" w:val="clear"/>
          </w:tcPr>
          <w:p>
            <w:pPr>
              <w:pStyle w:val="TableContents"/>
              <w:spacing w:before="0" w:after="283"/>
              <w:jc w:val="left"/>
              <w:rPr>
                <w:rFonts w:ascii="Arial" w:hAnsi="Arial"/>
              </w:rPr>
            </w:pPr>
            <w:r>
              <w:rPr>
                <w:rFonts w:ascii="Arial" w:hAnsi="Arial"/>
              </w:rPr>
              <w:t>.34</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$2.3 Billion Five-Year Credit Agreement dated as of April 27, 2006 among Honeywell International Inc., the initial lenders therein, Citicorp USA, Inc., as administrative agent, Citibank International PLC, as swing line agent, JPMorgan Chase Bank, N.A., as syndication agent, Bank of America N.A., Barclays Bank PLC, Deutsche Bank AG New York Branch and UBS Securities LLC, as documentation agents and Citigroup Global Markets Inc. and J.P. Morgan Securities Inc., as joint lead arrangers and co-book managers (incorporated by reference to Exhibit 10.1 to Honeywell's Form 10-Q for the quarter ended June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50" w:type="dxa"/>
            <w:tcBorders/>
            <w:shd w:fill="FFFFFF" w:val="clear"/>
          </w:tcPr>
          <w:p>
            <w:pPr>
              <w:pStyle w:val="TableContents"/>
              <w:spacing w:before="0" w:after="283"/>
              <w:jc w:val="left"/>
              <w:rPr>
                <w:rFonts w:ascii="Arial" w:hAnsi="Arial"/>
              </w:rPr>
            </w:pPr>
            <w:r>
              <w:rPr>
                <w:rFonts w:ascii="Arial" w:hAnsi="Arial"/>
              </w:rPr>
              <w:t>.35</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364-Day Canadian Dollar Credit Agreement dated as of September 9, 2005 among Honeywell, Honeywell AsCa Inc., Honeywell Limited/Honeywell Limitee, and Honeywell Aerospatiale Inc. as borrowers, and the initial lenders named therein, Citibank, N.A., Canadian branch as administrative agent and Citigroup Global Markets Inc. and Royal Bank of Canada as joint lead arrangers and co-book managers (incorporated by reference to Exhibit 10.24 to Honeywell's Form 10-K for the year ended December 31,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50" w:type="dxa"/>
            <w:tcBorders/>
            <w:shd w:fill="FFFFFF" w:val="clear"/>
          </w:tcPr>
          <w:p>
            <w:pPr>
              <w:pStyle w:val="TableContents"/>
              <w:spacing w:before="0" w:after="283"/>
              <w:jc w:val="left"/>
              <w:rPr>
                <w:rFonts w:ascii="Arial" w:hAnsi="Arial"/>
              </w:rPr>
            </w:pPr>
            <w:r>
              <w:rPr>
                <w:rFonts w:ascii="Arial" w:hAnsi="Arial"/>
              </w:rPr>
              <w:t>.36</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Amendment No. 1 to the 364-Day Canadian Dollar Credit Agreement dated as of September 8, 2006 among Honeywell, Honeywell ASCa Inc., Honeywell Limited Honeywell Limitee and Honeywell Aerospatiale Inc., as borrowers, the lenders named therein and Citibank, N.A., Canadian Branch, as agent (incorporated by reference to Exhibit 10.1 to Honeywell's Form 10-Q for the quarter ended September 30, 2006)</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50" w:type="dxa"/>
            <w:tcBorders/>
            <w:shd w:fill="FFFFFF" w:val="clear"/>
          </w:tcPr>
          <w:p>
            <w:pPr>
              <w:pStyle w:val="TableContents"/>
              <w:spacing w:before="0" w:after="283"/>
              <w:jc w:val="left"/>
              <w:rPr>
                <w:rFonts w:ascii="Arial" w:hAnsi="Arial"/>
              </w:rPr>
            </w:pPr>
            <w:r>
              <w:rPr>
                <w:rFonts w:ascii="Arial" w:hAnsi="Arial"/>
              </w:rPr>
              <w:t>.37</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Purchase and Sale Agreement between Catalysts, Adsorbents and Process Systems, Inc., and Honeywell Specialty Materials, LLC, dated September 30, 2005 (incorporated by reference to Exhibit 10.23 to Honeywell's Form 10-Q for the quarter ended September 30,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10</w:t>
            </w:r>
          </w:p>
        </w:tc>
        <w:tc>
          <w:tcPr>
            <w:tcW w:w="350" w:type="dxa"/>
            <w:tcBorders/>
            <w:shd w:fill="FFFFFF" w:val="clear"/>
          </w:tcPr>
          <w:p>
            <w:pPr>
              <w:pStyle w:val="TableContents"/>
              <w:spacing w:before="0" w:after="283"/>
              <w:jc w:val="left"/>
              <w:rPr>
                <w:rFonts w:ascii="Arial" w:hAnsi="Arial"/>
              </w:rPr>
            </w:pPr>
            <w:r>
              <w:rPr>
                <w:rFonts w:ascii="Arial" w:hAnsi="Arial"/>
              </w:rPr>
              <w:t>.38</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Stock Purchase Agreement by and between Honeywell International Inc. and M&amp;F Worldwide Corp. (incorporated by reference to Exhibit 2.1 to Honeywell's Form 8-K filed November 1, 2005.)</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11</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12</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Statement re: Computation of Ratio of Earnings to Fixed Charges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16</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18</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21</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Subsidiaries of the Registrant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22</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23</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Consent of PricewaterhouseCoopers LLP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24</w:t>
            </w:r>
          </w:p>
        </w:tc>
        <w:tc>
          <w:tcPr>
            <w:tcW w:w="3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Powers of Attorney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31</w:t>
            </w:r>
          </w:p>
        </w:tc>
        <w:tc>
          <w:tcPr>
            <w:tcW w:w="350" w:type="dxa"/>
            <w:tcBorders/>
            <w:shd w:fill="FFFFFF" w:val="clear"/>
          </w:tcPr>
          <w:p>
            <w:pPr>
              <w:pStyle w:val="TableContents"/>
              <w:spacing w:before="0" w:after="283"/>
              <w:jc w:val="left"/>
              <w:rPr>
                <w:rFonts w:ascii="Arial" w:hAnsi="Arial"/>
              </w:rPr>
            </w:pPr>
            <w:r>
              <w:rPr>
                <w:rFonts w:ascii="Arial" w:hAnsi="Arial"/>
              </w:rPr>
              <w:t>.1</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Certification of Principal Executive Officer Pursuant to Section 302 of the Sarbanes-Oxley Act of 2002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31</w:t>
            </w:r>
          </w:p>
        </w:tc>
        <w:tc>
          <w:tcPr>
            <w:tcW w:w="350" w:type="dxa"/>
            <w:tcBorders/>
            <w:shd w:fill="FFFFFF" w:val="clear"/>
          </w:tcPr>
          <w:p>
            <w:pPr>
              <w:pStyle w:val="TableContents"/>
              <w:spacing w:before="0" w:after="283"/>
              <w:jc w:val="left"/>
              <w:rPr>
                <w:rFonts w:ascii="Arial" w:hAnsi="Arial"/>
              </w:rPr>
            </w:pPr>
            <w:r>
              <w:rPr>
                <w:rFonts w:ascii="Arial" w:hAnsi="Arial"/>
              </w:rPr>
              <w:t>.2</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Certification of Principal Financial Officer Pursuant to Section 302 of the Sarbanes-Oxley Act of 2002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32</w:t>
            </w:r>
          </w:p>
        </w:tc>
        <w:tc>
          <w:tcPr>
            <w:tcW w:w="350" w:type="dxa"/>
            <w:tcBorders/>
            <w:shd w:fill="FFFFFF" w:val="clear"/>
          </w:tcPr>
          <w:p>
            <w:pPr>
              <w:pStyle w:val="TableContents"/>
              <w:spacing w:before="0" w:after="283"/>
              <w:jc w:val="left"/>
              <w:rPr>
                <w:rFonts w:ascii="Arial" w:hAnsi="Arial"/>
              </w:rPr>
            </w:pPr>
            <w:r>
              <w:rPr>
                <w:rFonts w:ascii="Arial" w:hAnsi="Arial"/>
              </w:rPr>
              <w:t>.1</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605" w:type="dxa"/>
            <w:tcBorders/>
            <w:shd w:fill="FFFFFF" w:val="clear"/>
          </w:tcPr>
          <w:p>
            <w:pPr>
              <w:pStyle w:val="TableContents"/>
              <w:spacing w:before="0" w:after="283"/>
              <w:jc w:val="left"/>
              <w:rPr>
                <w:rFonts w:ascii="Arial" w:hAnsi="Arial"/>
              </w:rPr>
            </w:pPr>
            <w:r>
              <w:rPr>
                <w:rFonts w:ascii="Arial" w:hAnsi="Arial"/>
              </w:rPr>
              <w:t>Certification of Principal Executive Officer Pursuant to 18 U.S.C. Section 1350, as Adopted Pursuant to Section 906 of the Sarbanes-Oxley Act of 2002 (filed herewith)</w:t>
            </w:r>
          </w:p>
        </w:tc>
        <w:tc>
          <w:tcPr>
            <w:tcW w:w="61"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105</w:t>
      </w:r>
    </w:p>
    <w:p>
      <w:pPr>
        <w:pStyle w:val="HorizontalLine"/>
        <w:pBdr>
          <w:bottom w:val="single" w:sz="20" w:space="0" w:color="000000"/>
        </w:pBdr>
        <w:rPr/>
      </w:pPr>
      <w:r>
        <w:rPr/>
      </w:r>
      <w:r>
        <w:br w:type="page"/>
      </w:r>
    </w:p>
    <w:tbl>
      <w:tblPr>
        <w:tblW w:w="5000" w:type="pct"/>
        <w:jc w:val="left"/>
        <w:tblInd w:w="0" w:type="dxa"/>
        <w:tblCellMar>
          <w:top w:w="0" w:type="dxa"/>
          <w:left w:w="0" w:type="dxa"/>
          <w:bottom w:w="0" w:type="dxa"/>
          <w:right w:w="0" w:type="dxa"/>
        </w:tblCellMar>
      </w:tblPr>
      <w:tblGrid>
        <w:gridCol w:w="10093"/>
        <w:gridCol w:w="112"/>
      </w:tblGrid>
      <w:tr>
        <w:trPr/>
        <w:tc>
          <w:tcPr>
            <w:tcW w:w="10093" w:type="dxa"/>
            <w:tcBorders/>
            <w:shd w:fill="auto" w:val="clear"/>
          </w:tcPr>
          <w:p>
            <w:pPr>
              <w:pStyle w:val="TableContents"/>
              <w:pageBreakBefore/>
              <w:spacing w:before="0" w:after="283"/>
              <w:jc w:val="left"/>
              <w:rPr>
                <w:b/>
              </w:rPr>
            </w:pPr>
            <w:r>
              <w:rPr>
                <w:rFonts w:ascii="Arial" w:hAnsi="Arial"/>
                <w:b/>
                <w:sz w:val="14"/>
                <w:u w:val="single"/>
              </w:rPr>
              <w:t>Exhibit No.</w:t>
            </w:r>
            <w:r>
              <w:rPr>
                <w:b/>
              </w:rPr>
              <w:t>                                                                  </w:t>
            </w:r>
            <w:r>
              <w:rPr>
                <w:rFonts w:ascii="Arial" w:hAnsi="Arial"/>
                <w:b/>
                <w:sz w:val="14"/>
                <w:u w:val="single"/>
              </w:rPr>
              <w:t>Description</w:t>
            </w:r>
          </w:p>
        </w:tc>
        <w:tc>
          <w:tcPr>
            <w:tcW w:w="112" w:type="dxa"/>
            <w:tcBorders/>
            <w:shd w:fill="FFFFFF"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9"/>
        <w:gridCol w:w="290"/>
        <w:gridCol w:w="215"/>
        <w:gridCol w:w="60"/>
        <w:gridCol w:w="780"/>
        <w:gridCol w:w="8740"/>
        <w:gridCol w:w="61"/>
      </w:tblGrid>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32</w:t>
            </w:r>
          </w:p>
        </w:tc>
        <w:tc>
          <w:tcPr>
            <w:tcW w:w="215" w:type="dxa"/>
            <w:tcBorders/>
            <w:shd w:fill="FFFFFF" w:val="clear"/>
          </w:tcPr>
          <w:p>
            <w:pPr>
              <w:pStyle w:val="TableContents"/>
              <w:spacing w:before="0" w:after="283"/>
              <w:jc w:val="left"/>
              <w:rPr>
                <w:rFonts w:ascii="Arial" w:hAnsi="Arial"/>
              </w:rPr>
            </w:pPr>
            <w:r>
              <w:rPr>
                <w:rFonts w:ascii="Arial" w:hAnsi="Arial"/>
              </w:rPr>
              <w:t>.2</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740" w:type="dxa"/>
            <w:tcBorders/>
            <w:shd w:fill="FFFFFF" w:val="clear"/>
          </w:tcPr>
          <w:p>
            <w:pPr>
              <w:pStyle w:val="TableContents"/>
              <w:spacing w:before="0" w:after="283"/>
              <w:jc w:val="left"/>
              <w:rPr>
                <w:rFonts w:ascii="Arial" w:hAnsi="Arial"/>
              </w:rPr>
            </w:pPr>
            <w:r>
              <w:rPr>
                <w:rFonts w:ascii="Arial" w:hAnsi="Arial"/>
              </w:rPr>
              <w:t>Certification of Principal Financial Officer Pursuant to 18 U.S.C. Section 1350, as Adopted Pursuant to Section 906 of the Sarbanes-Oxley Act of 2002 (filed herewith)</w:t>
            </w:r>
          </w:p>
        </w:tc>
        <w:tc>
          <w:tcPr>
            <w:tcW w:w="61" w:type="dxa"/>
            <w:tcBorders/>
            <w:shd w:fill="FFFFFF" w:val="clear"/>
            <w:vAlign w:val="center"/>
          </w:tcPr>
          <w:p>
            <w:pPr>
              <w:pStyle w:val="TableContents"/>
              <w:spacing w:before="0" w:after="283"/>
              <w:rPr/>
            </w:pPr>
            <w:r>
              <w:rPr/>
              <w:t> </w:t>
            </w:r>
          </w:p>
        </w:tc>
      </w:tr>
      <w:tr>
        <w:trPr/>
        <w:tc>
          <w:tcPr>
            <w:tcW w:w="59" w:type="dxa"/>
            <w:tcBorders/>
            <w:shd w:fill="FFFFFF" w:val="clear"/>
            <w:vAlign w:val="center"/>
          </w:tcPr>
          <w:p>
            <w:pPr>
              <w:pStyle w:val="TableContents"/>
              <w:spacing w:before="0" w:after="283"/>
              <w:rPr/>
            </w:pPr>
            <w:r>
              <w:rPr/>
              <w:t> </w:t>
            </w:r>
          </w:p>
        </w:tc>
        <w:tc>
          <w:tcPr>
            <w:tcW w:w="290" w:type="dxa"/>
            <w:tcBorders/>
            <w:shd w:fill="FFFFFF" w:val="clear"/>
          </w:tcPr>
          <w:p>
            <w:pPr>
              <w:pStyle w:val="TableContents"/>
              <w:spacing w:before="0" w:after="283"/>
              <w:jc w:val="right"/>
              <w:rPr>
                <w:rFonts w:ascii="Arial" w:hAnsi="Arial"/>
              </w:rPr>
            </w:pPr>
            <w:r>
              <w:rPr>
                <w:rFonts w:ascii="Arial" w:hAnsi="Arial"/>
              </w:rPr>
              <w:t>99</w:t>
            </w:r>
          </w:p>
        </w:tc>
        <w:tc>
          <w:tcPr>
            <w:tcW w:w="2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0" w:type="dxa"/>
            <w:tcBorders/>
            <w:shd w:fill="FFFFFF" w:val="clear"/>
          </w:tcPr>
          <w:p>
            <w:pPr>
              <w:pStyle w:val="TableContents"/>
              <w:spacing w:before="0" w:after="283"/>
              <w:jc w:val="left"/>
              <w:rPr/>
            </w:pPr>
            <w:r>
              <w:rPr/>
              <w:t>             </w:t>
            </w:r>
          </w:p>
        </w:tc>
        <w:tc>
          <w:tcPr>
            <w:tcW w:w="8740" w:type="dxa"/>
            <w:tcBorders/>
            <w:shd w:fill="FFFFFF" w:val="clear"/>
          </w:tcPr>
          <w:p>
            <w:pPr>
              <w:pStyle w:val="TableContents"/>
              <w:spacing w:before="0" w:after="283"/>
              <w:jc w:val="left"/>
              <w:rPr>
                <w:rFonts w:ascii="Arial" w:hAnsi="Arial"/>
              </w:rPr>
            </w:pPr>
            <w:r>
              <w:rPr>
                <w:rFonts w:ascii="Arial" w:hAnsi="Arial"/>
              </w:rPr>
              <w:t>Omitted (Inapplicable)</w:t>
            </w:r>
          </w:p>
        </w:tc>
        <w:tc>
          <w:tcPr>
            <w:tcW w:w="61"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p>
      <w:pPr>
        <w:pStyle w:val="TextBody"/>
        <w:jc w:val="left"/>
        <w:rPr/>
      </w:pPr>
      <w:r>
        <w:rPr/>
        <w:t>      </w:t>
      </w:r>
      <w:r>
        <w:rPr>
          <w:rFonts w:ascii="Arial" w:hAnsi="Arial"/>
        </w:rPr>
        <w:t>The Exhibits identified above with an asterisk(*) are management contracts or compensatory plans or arrangements.</w:t>
      </w:r>
    </w:p>
    <w:p>
      <w:pPr>
        <w:pStyle w:val="TextBody"/>
        <w:jc w:val="center"/>
        <w:rPr>
          <w:rFonts w:ascii="Arial" w:hAnsi="Arial"/>
        </w:rPr>
      </w:pPr>
      <w:r>
        <w:rPr>
          <w:rFonts w:ascii="Arial" w:hAnsi="Arial"/>
        </w:rPr>
        <w:t>106</w:t>
      </w:r>
    </w:p>
    <w:p>
      <w:pPr>
        <w:pStyle w:val="HorizontalLine"/>
        <w:pBdr>
          <w:bottom w:val="single" w:sz="20" w:space="0" w:color="000000"/>
        </w:pBdr>
        <w:rPr/>
      </w:pPr>
      <w:r>
        <w:rPr/>
      </w:r>
      <w:r>
        <w:br w:type="page"/>
      </w:r>
    </w:p>
    <w:p>
      <w:pPr>
        <w:pStyle w:val="TextBody"/>
        <w:jc w:val="center"/>
        <w:rPr>
          <w:b/>
        </w:rPr>
      </w:pPr>
      <w:r>
        <w:rPr>
          <w:rFonts w:ascii="Arial" w:hAnsi="Arial"/>
          <w:b/>
        </w:rPr>
        <w:t>HONEYWELL INTERNATIONAL INC</w:t>
        <w:br/>
        <w:t>SCHEDULE II—VALUATION AND QUALIFYING ACCOUNTS</w:t>
        <w:br/>
      </w:r>
      <w:r>
        <w:rPr>
          <w:rFonts w:ascii="Arial" w:hAnsi="Arial"/>
          <w:b/>
          <w:sz w:val="14"/>
        </w:rPr>
        <w:t>Three Years Ended December 31, 2006</w:t>
        <w:br/>
        <w:t>(In millions)</w:t>
      </w:r>
    </w:p>
    <w:tbl>
      <w:tblPr>
        <w:tblW w:w="5000" w:type="pct"/>
        <w:jc w:val="left"/>
        <w:tblInd w:w="0" w:type="dxa"/>
        <w:tblCellMar>
          <w:top w:w="0" w:type="dxa"/>
          <w:left w:w="0" w:type="dxa"/>
          <w:bottom w:w="0" w:type="dxa"/>
          <w:right w:w="0" w:type="dxa"/>
        </w:tblCellMar>
      </w:tblPr>
      <w:tblGrid>
        <w:gridCol w:w="8128"/>
        <w:gridCol w:w="503"/>
        <w:gridCol w:w="325"/>
        <w:gridCol w:w="1049"/>
        <w:gridCol w:w="200"/>
      </w:tblGrid>
      <w:tr>
        <w:trPr/>
        <w:tc>
          <w:tcPr>
            <w:tcW w:w="8128" w:type="dxa"/>
            <w:tcBorders/>
            <w:shd w:fill="FFFFFF" w:val="clear"/>
            <w:vAlign w:val="bottom"/>
          </w:tcPr>
          <w:p>
            <w:pPr>
              <w:pStyle w:val="TableContents"/>
              <w:spacing w:before="0" w:after="283"/>
              <w:jc w:val="left"/>
              <w:rPr>
                <w:rFonts w:ascii="Arial" w:hAnsi="Arial"/>
                <w:b/>
              </w:rPr>
            </w:pPr>
            <w:r>
              <w:rPr>
                <w:rFonts w:ascii="Arial" w:hAnsi="Arial"/>
                <w:b/>
              </w:rPr>
              <w:t>Allowance for Doubtful Accounts:</w:t>
            </w:r>
          </w:p>
        </w:tc>
        <w:tc>
          <w:tcPr>
            <w:tcW w:w="503" w:type="dxa"/>
            <w:tcBorders/>
            <w:shd w:fill="FFFFFF" w:val="clear"/>
            <w:vAlign w:val="center"/>
          </w:tcPr>
          <w:p>
            <w:pPr>
              <w:pStyle w:val="TableContents"/>
              <w:spacing w:before="0" w:after="283"/>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Balance December 31, 2003</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bottom"/>
          </w:tcPr>
          <w:p>
            <w:pPr>
              <w:pStyle w:val="TableContents"/>
              <w:spacing w:before="0" w:after="283"/>
              <w:jc w:val="right"/>
              <w:rPr>
                <w:rFonts w:ascii="Arial" w:hAnsi="Arial"/>
              </w:rPr>
            </w:pPr>
            <w:r>
              <w:rPr>
                <w:rFonts w:ascii="Arial" w:hAnsi="Arial"/>
              </w:rPr>
              <w:t>$</w:t>
            </w:r>
          </w:p>
        </w:tc>
        <w:tc>
          <w:tcPr>
            <w:tcW w:w="1049" w:type="dxa"/>
            <w:tcBorders/>
            <w:shd w:fill="E5FFFF" w:val="clear"/>
            <w:vAlign w:val="bottom"/>
          </w:tcPr>
          <w:p>
            <w:pPr>
              <w:pStyle w:val="TableContents"/>
              <w:spacing w:before="0" w:after="283"/>
              <w:jc w:val="right"/>
              <w:rPr>
                <w:rFonts w:ascii="Arial" w:hAnsi="Arial"/>
              </w:rPr>
            </w:pPr>
            <w:r>
              <w:rPr>
                <w:rFonts w:ascii="Arial" w:hAnsi="Arial"/>
              </w:rPr>
              <w:t>150</w:t>
            </w:r>
          </w:p>
        </w:tc>
        <w:tc>
          <w:tcPr>
            <w:tcW w:w="200" w:type="dxa"/>
            <w:tcBorders/>
            <w:shd w:fill="E5FFFF" w:val="clear"/>
            <w:vAlign w:val="center"/>
          </w:tcPr>
          <w:p>
            <w:pPr>
              <w:pStyle w:val="TableContents"/>
              <w:spacing w:before="0" w:after="283"/>
              <w:rPr/>
            </w:pPr>
            <w:r>
              <w:rPr/>
              <w:t> </w:t>
            </w:r>
          </w:p>
        </w:tc>
      </w:tr>
      <w:tr>
        <w:trPr/>
        <w:tc>
          <w:tcPr>
            <w:tcW w:w="8128" w:type="dxa"/>
            <w:tcBorders/>
            <w:shd w:fill="FFFFFF" w:val="clear"/>
            <w:vAlign w:val="bottom"/>
          </w:tcPr>
          <w:p>
            <w:pPr>
              <w:pStyle w:val="TableContents"/>
              <w:spacing w:before="0" w:after="283"/>
              <w:jc w:val="left"/>
              <w:rPr>
                <w:rFonts w:ascii="Arial" w:hAnsi="Arial"/>
              </w:rPr>
            </w:pPr>
            <w:r>
              <w:rPr>
                <w:rFonts w:ascii="Arial" w:hAnsi="Arial"/>
              </w:rPr>
              <w:t>Provision charged to income</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Arial" w:hAnsi="Arial"/>
              </w:rPr>
            </w:pPr>
            <w:r>
              <w:rPr>
                <w:rFonts w:ascii="Arial" w:hAnsi="Arial"/>
              </w:rPr>
              <w:t>100</w:t>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Deductions from reserves(1)</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1049" w:type="dxa"/>
            <w:tcBorders/>
            <w:shd w:fill="E5FFFF" w:val="clear"/>
            <w:vAlign w:val="bottom"/>
          </w:tcPr>
          <w:p>
            <w:pPr>
              <w:pStyle w:val="TableContents"/>
              <w:spacing w:before="0" w:after="283"/>
              <w:jc w:val="right"/>
              <w:rPr>
                <w:rFonts w:ascii="Arial" w:hAnsi="Arial"/>
              </w:rPr>
            </w:pPr>
            <w:r>
              <w:rPr>
                <w:rFonts w:ascii="Arial" w:hAnsi="Arial"/>
              </w:rPr>
              <w:t>(113</w:t>
            </w:r>
          </w:p>
        </w:tc>
        <w:tc>
          <w:tcPr>
            <w:tcW w:w="20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8128" w:type="dxa"/>
            <w:tcBorders/>
            <w:shd w:fill="FFFFFF" w:val="clear"/>
            <w:vAlign w:val="center"/>
          </w:tcPr>
          <w:p>
            <w:pPr>
              <w:pStyle w:val="TableContents"/>
              <w:spacing w:before="0" w:after="283"/>
              <w:rPr/>
            </w:pPr>
            <w:r>
              <w:rPr/>
              <w:t> </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HorizontalLine"/>
              <w:pBdr>
                <w:bottom w:val="single" w:sz="6" w:space="0" w:color="000000"/>
              </w:pBdr>
              <w:spacing w:before="0" w:after="283"/>
              <w:rPr/>
            </w:pPr>
            <w:r>
              <w:rPr/>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Balance December 31, 2004</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1049" w:type="dxa"/>
            <w:tcBorders/>
            <w:shd w:fill="E5FFFF" w:val="clear"/>
            <w:vAlign w:val="bottom"/>
          </w:tcPr>
          <w:p>
            <w:pPr>
              <w:pStyle w:val="TableContents"/>
              <w:spacing w:before="0" w:after="283"/>
              <w:jc w:val="right"/>
              <w:rPr>
                <w:rFonts w:ascii="Arial" w:hAnsi="Arial"/>
              </w:rPr>
            </w:pPr>
            <w:r>
              <w:rPr>
                <w:rFonts w:ascii="Arial" w:hAnsi="Arial"/>
              </w:rPr>
              <w:t>137</w:t>
            </w:r>
          </w:p>
        </w:tc>
        <w:tc>
          <w:tcPr>
            <w:tcW w:w="200" w:type="dxa"/>
            <w:tcBorders/>
            <w:shd w:fill="E5FFFF" w:val="clear"/>
            <w:vAlign w:val="center"/>
          </w:tcPr>
          <w:p>
            <w:pPr>
              <w:pStyle w:val="TableContents"/>
              <w:spacing w:before="0" w:after="283"/>
              <w:rPr/>
            </w:pPr>
            <w:r>
              <w:rPr/>
              <w:t> </w:t>
            </w:r>
          </w:p>
        </w:tc>
      </w:tr>
      <w:tr>
        <w:trPr/>
        <w:tc>
          <w:tcPr>
            <w:tcW w:w="8128" w:type="dxa"/>
            <w:tcBorders/>
            <w:shd w:fill="FFFFFF" w:val="clear"/>
            <w:vAlign w:val="bottom"/>
          </w:tcPr>
          <w:p>
            <w:pPr>
              <w:pStyle w:val="TableContents"/>
              <w:spacing w:before="0" w:after="283"/>
              <w:jc w:val="left"/>
              <w:rPr>
                <w:rFonts w:ascii="Arial" w:hAnsi="Arial"/>
              </w:rPr>
            </w:pPr>
            <w:r>
              <w:rPr>
                <w:rFonts w:ascii="Arial" w:hAnsi="Arial"/>
              </w:rPr>
              <w:t>Provision charged to income</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Arial" w:hAnsi="Arial"/>
              </w:rPr>
            </w:pPr>
            <w:r>
              <w:rPr>
                <w:rFonts w:ascii="Arial" w:hAnsi="Arial"/>
              </w:rPr>
              <w:t>83</w:t>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Deductions from reserves(1)</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1049" w:type="dxa"/>
            <w:tcBorders/>
            <w:shd w:fill="E5FFFF" w:val="clear"/>
            <w:vAlign w:val="bottom"/>
          </w:tcPr>
          <w:p>
            <w:pPr>
              <w:pStyle w:val="TableContents"/>
              <w:spacing w:before="0" w:after="283"/>
              <w:jc w:val="right"/>
              <w:rPr>
                <w:rFonts w:ascii="Arial" w:hAnsi="Arial"/>
              </w:rPr>
            </w:pPr>
            <w:r>
              <w:rPr>
                <w:rFonts w:ascii="Arial" w:hAnsi="Arial"/>
              </w:rPr>
              <w:t>(71</w:t>
            </w:r>
          </w:p>
        </w:tc>
        <w:tc>
          <w:tcPr>
            <w:tcW w:w="20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8128" w:type="dxa"/>
            <w:tcBorders/>
            <w:shd w:fill="FFFFFF" w:val="clear"/>
            <w:vAlign w:val="bottom"/>
          </w:tcPr>
          <w:p>
            <w:pPr>
              <w:pStyle w:val="TableContents"/>
              <w:spacing w:before="0" w:after="283"/>
              <w:jc w:val="left"/>
              <w:rPr>
                <w:rFonts w:ascii="Arial" w:hAnsi="Arial"/>
              </w:rPr>
            </w:pPr>
            <w:r>
              <w:rPr>
                <w:rFonts w:ascii="Arial" w:hAnsi="Arial"/>
              </w:rPr>
              <w:t>Acquisitions</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Arial" w:hAnsi="Arial"/>
              </w:rPr>
            </w:pPr>
            <w:r>
              <w:rPr>
                <w:rFonts w:ascii="Arial" w:hAnsi="Arial"/>
              </w:rPr>
              <w:t>30</w:t>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center"/>
          </w:tcPr>
          <w:p>
            <w:pPr>
              <w:pStyle w:val="TableContents"/>
              <w:spacing w:before="0" w:after="283"/>
              <w:rPr/>
            </w:pPr>
            <w:r>
              <w:rPr/>
              <w:t> </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1049" w:type="dxa"/>
            <w:tcBorders/>
            <w:shd w:fill="E5FFFF" w:val="clear"/>
            <w:vAlign w:val="bottom"/>
          </w:tcPr>
          <w:p>
            <w:pPr>
              <w:pStyle w:val="HorizontalLine"/>
              <w:pBdr>
                <w:bottom w:val="single" w:sz="6" w:space="0" w:color="000000"/>
              </w:pBdr>
              <w:spacing w:before="0" w:after="283"/>
              <w:rPr/>
            </w:pPr>
            <w:r>
              <w:rPr/>
            </w:r>
          </w:p>
        </w:tc>
        <w:tc>
          <w:tcPr>
            <w:tcW w:w="200" w:type="dxa"/>
            <w:tcBorders/>
            <w:shd w:fill="E5FFFF" w:val="clear"/>
            <w:vAlign w:val="center"/>
          </w:tcPr>
          <w:p>
            <w:pPr>
              <w:pStyle w:val="TableContents"/>
              <w:spacing w:before="0" w:after="283"/>
              <w:rPr/>
            </w:pPr>
            <w:r>
              <w:rPr/>
              <w:t> </w:t>
            </w:r>
          </w:p>
        </w:tc>
      </w:tr>
      <w:tr>
        <w:trPr/>
        <w:tc>
          <w:tcPr>
            <w:tcW w:w="8128" w:type="dxa"/>
            <w:tcBorders/>
            <w:shd w:fill="FFFFFF" w:val="clear"/>
            <w:vAlign w:val="bottom"/>
          </w:tcPr>
          <w:p>
            <w:pPr>
              <w:pStyle w:val="TableContents"/>
              <w:spacing w:before="0" w:after="283"/>
              <w:jc w:val="left"/>
              <w:rPr>
                <w:rFonts w:ascii="Arial" w:hAnsi="Arial"/>
              </w:rPr>
            </w:pPr>
            <w:r>
              <w:rPr>
                <w:rFonts w:ascii="Arial" w:hAnsi="Arial"/>
              </w:rPr>
              <w:t>Balance December 31, 2005</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Arial" w:hAnsi="Arial"/>
              </w:rPr>
            </w:pPr>
            <w:r>
              <w:rPr>
                <w:rFonts w:ascii="Arial" w:hAnsi="Arial"/>
              </w:rPr>
              <w:t>179</w:t>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Provision charged to income</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1049" w:type="dxa"/>
            <w:tcBorders/>
            <w:shd w:fill="E5FFFF" w:val="clear"/>
            <w:vAlign w:val="bottom"/>
          </w:tcPr>
          <w:p>
            <w:pPr>
              <w:pStyle w:val="TableContents"/>
              <w:spacing w:before="0" w:after="283"/>
              <w:jc w:val="right"/>
              <w:rPr>
                <w:rFonts w:ascii="Arial" w:hAnsi="Arial"/>
              </w:rPr>
            </w:pPr>
            <w:r>
              <w:rPr>
                <w:rFonts w:ascii="Arial" w:hAnsi="Arial"/>
              </w:rPr>
              <w:t>111</w:t>
            </w:r>
          </w:p>
        </w:tc>
        <w:tc>
          <w:tcPr>
            <w:tcW w:w="200" w:type="dxa"/>
            <w:tcBorders/>
            <w:shd w:fill="E5FFFF" w:val="clear"/>
            <w:vAlign w:val="center"/>
          </w:tcPr>
          <w:p>
            <w:pPr>
              <w:pStyle w:val="TableContents"/>
              <w:spacing w:before="0" w:after="283"/>
              <w:rPr/>
            </w:pPr>
            <w:r>
              <w:rPr/>
              <w:t> </w:t>
            </w:r>
          </w:p>
        </w:tc>
      </w:tr>
      <w:tr>
        <w:trPr/>
        <w:tc>
          <w:tcPr>
            <w:tcW w:w="8128" w:type="dxa"/>
            <w:tcBorders/>
            <w:shd w:fill="FFFFFF" w:val="clear"/>
            <w:vAlign w:val="bottom"/>
          </w:tcPr>
          <w:p>
            <w:pPr>
              <w:pStyle w:val="TableContents"/>
              <w:spacing w:before="0" w:after="283"/>
              <w:jc w:val="left"/>
              <w:rPr>
                <w:rFonts w:ascii="Arial" w:hAnsi="Arial"/>
              </w:rPr>
            </w:pPr>
            <w:r>
              <w:rPr>
                <w:rFonts w:ascii="Arial" w:hAnsi="Arial"/>
              </w:rPr>
              <w:t>Deductions from reserves(1)</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TableContents"/>
              <w:spacing w:before="0" w:after="283"/>
              <w:jc w:val="right"/>
              <w:rPr>
                <w:rFonts w:ascii="Arial" w:hAnsi="Arial"/>
              </w:rPr>
            </w:pPr>
            <w:r>
              <w:rPr>
                <w:rFonts w:ascii="Arial" w:hAnsi="Arial"/>
              </w:rPr>
              <w:t>(77</w:t>
            </w:r>
          </w:p>
        </w:tc>
        <w:tc>
          <w:tcPr>
            <w:tcW w:w="20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Acquisitions</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center"/>
          </w:tcPr>
          <w:p>
            <w:pPr>
              <w:pStyle w:val="TableContents"/>
              <w:spacing w:before="0" w:after="283"/>
              <w:rPr/>
            </w:pPr>
            <w:r>
              <w:rPr/>
              <w:t> </w:t>
            </w:r>
          </w:p>
        </w:tc>
        <w:tc>
          <w:tcPr>
            <w:tcW w:w="1049" w:type="dxa"/>
            <w:tcBorders/>
            <w:shd w:fill="E5FFFF" w:val="clear"/>
            <w:vAlign w:val="bottom"/>
          </w:tcPr>
          <w:p>
            <w:pPr>
              <w:pStyle w:val="TableContents"/>
              <w:spacing w:before="0" w:after="283"/>
              <w:jc w:val="right"/>
              <w:rPr>
                <w:rFonts w:ascii="Arial" w:hAnsi="Arial"/>
              </w:rPr>
            </w:pPr>
            <w:r>
              <w:rPr>
                <w:rFonts w:ascii="Arial" w:hAnsi="Arial"/>
              </w:rPr>
              <w:t>4</w:t>
            </w:r>
          </w:p>
        </w:tc>
        <w:tc>
          <w:tcPr>
            <w:tcW w:w="200" w:type="dxa"/>
            <w:tcBorders/>
            <w:shd w:fill="E5FFFF" w:val="clear"/>
            <w:vAlign w:val="center"/>
          </w:tcPr>
          <w:p>
            <w:pPr>
              <w:pStyle w:val="TableContents"/>
              <w:spacing w:before="0" w:after="283"/>
              <w:rPr/>
            </w:pPr>
            <w:r>
              <w:rPr/>
              <w:t> </w:t>
            </w:r>
          </w:p>
        </w:tc>
      </w:tr>
      <w:tr>
        <w:trPr/>
        <w:tc>
          <w:tcPr>
            <w:tcW w:w="8128" w:type="dxa"/>
            <w:tcBorders/>
            <w:shd w:fill="FFFFFF" w:val="clear"/>
            <w:vAlign w:val="center"/>
          </w:tcPr>
          <w:p>
            <w:pPr>
              <w:pStyle w:val="TableContents"/>
              <w:spacing w:before="0" w:after="283"/>
              <w:rPr/>
            </w:pPr>
            <w:r>
              <w:rPr/>
              <w:t> </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HorizontalLine"/>
              <w:pBdr>
                <w:bottom w:val="single" w:sz="6" w:space="0" w:color="000000"/>
              </w:pBdr>
              <w:spacing w:before="0" w:after="283"/>
              <w:rPr/>
            </w:pPr>
            <w:r>
              <w:rPr/>
            </w:r>
          </w:p>
        </w:tc>
        <w:tc>
          <w:tcPr>
            <w:tcW w:w="200" w:type="dxa"/>
            <w:tcBorders/>
            <w:shd w:fill="FFFFFF" w:val="clear"/>
            <w:vAlign w:val="center"/>
          </w:tcPr>
          <w:p>
            <w:pPr>
              <w:pStyle w:val="TableContents"/>
              <w:spacing w:before="0" w:after="283"/>
              <w:rPr/>
            </w:pPr>
            <w:r>
              <w:rPr/>
              <w:t> </w:t>
            </w:r>
          </w:p>
        </w:tc>
      </w:tr>
      <w:tr>
        <w:trPr/>
        <w:tc>
          <w:tcPr>
            <w:tcW w:w="8128" w:type="dxa"/>
            <w:tcBorders/>
            <w:shd w:fill="E5FFFF" w:val="clear"/>
            <w:vAlign w:val="bottom"/>
          </w:tcPr>
          <w:p>
            <w:pPr>
              <w:pStyle w:val="TableContents"/>
              <w:spacing w:before="0" w:after="283"/>
              <w:jc w:val="left"/>
              <w:rPr>
                <w:rFonts w:ascii="Arial" w:hAnsi="Arial"/>
              </w:rPr>
            </w:pPr>
            <w:r>
              <w:rPr>
                <w:rFonts w:ascii="Arial" w:hAnsi="Arial"/>
              </w:rPr>
              <w:t>Balance December 31, 2006</w:t>
            </w:r>
          </w:p>
        </w:tc>
        <w:tc>
          <w:tcPr>
            <w:tcW w:w="503" w:type="dxa"/>
            <w:tcBorders/>
            <w:shd w:fill="E5FFFF" w:val="clear"/>
            <w:vAlign w:val="bottom"/>
          </w:tcPr>
          <w:p>
            <w:pPr>
              <w:pStyle w:val="TableContents"/>
              <w:spacing w:before="0" w:after="283"/>
              <w:jc w:val="right"/>
              <w:rPr/>
            </w:pPr>
            <w:r>
              <w:rPr/>
              <w:t>    </w:t>
            </w:r>
          </w:p>
        </w:tc>
        <w:tc>
          <w:tcPr>
            <w:tcW w:w="325" w:type="dxa"/>
            <w:tcBorders/>
            <w:shd w:fill="E5FFFF" w:val="clear"/>
            <w:vAlign w:val="bottom"/>
          </w:tcPr>
          <w:p>
            <w:pPr>
              <w:pStyle w:val="TableContents"/>
              <w:spacing w:before="0" w:after="283"/>
              <w:jc w:val="right"/>
              <w:rPr>
                <w:rFonts w:ascii="Arial" w:hAnsi="Arial"/>
              </w:rPr>
            </w:pPr>
            <w:r>
              <w:rPr>
                <w:rFonts w:ascii="Arial" w:hAnsi="Arial"/>
              </w:rPr>
              <w:t>$</w:t>
            </w:r>
          </w:p>
        </w:tc>
        <w:tc>
          <w:tcPr>
            <w:tcW w:w="1049" w:type="dxa"/>
            <w:tcBorders/>
            <w:shd w:fill="E5FFFF" w:val="clear"/>
            <w:vAlign w:val="bottom"/>
          </w:tcPr>
          <w:p>
            <w:pPr>
              <w:pStyle w:val="TableContents"/>
              <w:spacing w:before="0" w:after="283"/>
              <w:jc w:val="right"/>
              <w:rPr>
                <w:rFonts w:ascii="Arial" w:hAnsi="Arial"/>
              </w:rPr>
            </w:pPr>
            <w:r>
              <w:rPr>
                <w:rFonts w:ascii="Arial" w:hAnsi="Arial"/>
              </w:rPr>
              <w:t>217</w:t>
            </w:r>
          </w:p>
        </w:tc>
        <w:tc>
          <w:tcPr>
            <w:tcW w:w="200" w:type="dxa"/>
            <w:tcBorders/>
            <w:shd w:fill="E5FFFF" w:val="clear"/>
            <w:vAlign w:val="center"/>
          </w:tcPr>
          <w:p>
            <w:pPr>
              <w:pStyle w:val="TableContents"/>
              <w:spacing w:before="0" w:after="283"/>
              <w:rPr/>
            </w:pPr>
            <w:r>
              <w:rPr/>
              <w:t> </w:t>
            </w:r>
          </w:p>
        </w:tc>
      </w:tr>
      <w:tr>
        <w:trPr/>
        <w:tc>
          <w:tcPr>
            <w:tcW w:w="8128" w:type="dxa"/>
            <w:tcBorders/>
            <w:shd w:fill="FFFFFF" w:val="clear"/>
            <w:vAlign w:val="center"/>
          </w:tcPr>
          <w:p>
            <w:pPr>
              <w:pStyle w:val="TableContents"/>
              <w:spacing w:before="0" w:after="283"/>
              <w:rPr/>
            </w:pPr>
            <w:r>
              <w:rPr/>
              <w:t> </w:t>
            </w:r>
          </w:p>
        </w:tc>
        <w:tc>
          <w:tcPr>
            <w:tcW w:w="503" w:type="dxa"/>
            <w:tcBorders/>
            <w:shd w:fill="FFFFFF" w:val="clear"/>
            <w:vAlign w:val="bottom"/>
          </w:tcPr>
          <w:p>
            <w:pPr>
              <w:pStyle w:val="TableContents"/>
              <w:spacing w:before="0" w:after="283"/>
              <w:jc w:val="right"/>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bottom"/>
          </w:tcPr>
          <w:p>
            <w:pPr>
              <w:pStyle w:val="HorizontalLine"/>
              <w:pBdr>
                <w:bottom w:val="single" w:sz="18" w:space="0" w:color="000000"/>
              </w:pBdr>
              <w:spacing w:before="0" w:after="283"/>
              <w:rPr/>
            </w:pPr>
            <w:r>
              <w:rPr/>
            </w:r>
          </w:p>
        </w:tc>
        <w:tc>
          <w:tcPr>
            <w:tcW w:w="200" w:type="dxa"/>
            <w:tcBorders/>
            <w:shd w:fill="FFFFFF" w:val="clear"/>
            <w:vAlign w:val="center"/>
          </w:tcPr>
          <w:p>
            <w:pPr>
              <w:pStyle w:val="TableContents"/>
              <w:spacing w:before="0" w:after="283"/>
              <w:rPr/>
            </w:pPr>
            <w:r>
              <w:rPr/>
              <w:t> </w:t>
            </w:r>
          </w:p>
        </w:tc>
      </w:tr>
      <w:tr>
        <w:trPr/>
        <w:tc>
          <w:tcPr>
            <w:tcW w:w="8128" w:type="dxa"/>
            <w:tcBorders/>
            <w:shd w:fill="FFFFFF" w:val="clear"/>
            <w:vAlign w:val="bottom"/>
          </w:tcPr>
          <w:p>
            <w:pPr>
              <w:pStyle w:val="TableContents"/>
              <w:spacing w:before="0" w:after="283"/>
              <w:rPr>
                <w:sz w:val="4"/>
                <w:szCs w:val="4"/>
              </w:rPr>
            </w:pPr>
            <w:r>
              <w:rPr>
                <w:sz w:val="4"/>
                <w:szCs w:val="4"/>
              </w:rPr>
            </w:r>
          </w:p>
        </w:tc>
        <w:tc>
          <w:tcPr>
            <w:tcW w:w="503" w:type="dxa"/>
            <w:tcBorders/>
            <w:shd w:fill="FFFFFF" w:val="clear"/>
            <w:vAlign w:val="center"/>
          </w:tcPr>
          <w:p>
            <w:pPr>
              <w:pStyle w:val="TableContents"/>
              <w:spacing w:before="0" w:after="283"/>
              <w:rPr/>
            </w:pPr>
            <w:r>
              <w:rPr/>
              <w:t> </w:t>
            </w:r>
          </w:p>
        </w:tc>
        <w:tc>
          <w:tcPr>
            <w:tcW w:w="325" w:type="dxa"/>
            <w:tcBorders/>
            <w:shd w:fill="FFFFFF" w:val="clear"/>
            <w:vAlign w:val="center"/>
          </w:tcPr>
          <w:p>
            <w:pPr>
              <w:pStyle w:val="TableContents"/>
              <w:spacing w:before="0" w:after="283"/>
              <w:rPr/>
            </w:pPr>
            <w:r>
              <w:rPr/>
              <w:t> </w:t>
            </w:r>
          </w:p>
        </w:tc>
        <w:tc>
          <w:tcPr>
            <w:tcW w:w="1049"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10205" w:type="dxa"/>
        <w:jc w:val="left"/>
        <w:tblInd w:w="0" w:type="dxa"/>
        <w:tblCellMar>
          <w:top w:w="0" w:type="dxa"/>
          <w:left w:w="0" w:type="dxa"/>
          <w:bottom w:w="0" w:type="dxa"/>
          <w:right w:w="0" w:type="dxa"/>
        </w:tblCellMar>
      </w:tblPr>
      <w:tblGrid>
        <w:gridCol w:w="291"/>
        <w:gridCol w:w="180"/>
        <w:gridCol w:w="9734"/>
      </w:tblGrid>
      <w:tr>
        <w:trPr/>
        <w:tc>
          <w:tcPr>
            <w:tcW w:w="291" w:type="dxa"/>
            <w:tcBorders/>
            <w:shd w:fill="auto" w:val="clear"/>
          </w:tcPr>
          <w:p>
            <w:pPr>
              <w:pStyle w:val="TableContents"/>
              <w:spacing w:before="0" w:after="283"/>
              <w:jc w:val="right"/>
              <w:rPr>
                <w:rFonts w:ascii="Arial" w:hAnsi="Arial"/>
              </w:rPr>
            </w:pPr>
            <w:r>
              <w:rPr>
                <w:rFonts w:ascii="Arial" w:hAnsi="Arial"/>
              </w:rPr>
              <w:t>(1)</w:t>
            </w:r>
          </w:p>
        </w:tc>
        <w:tc>
          <w:tcPr>
            <w:tcW w:w="180" w:type="dxa"/>
            <w:tcBorders/>
            <w:shd w:fill="auto" w:val="clear"/>
            <w:vAlign w:val="bottom"/>
          </w:tcPr>
          <w:p>
            <w:pPr>
              <w:pStyle w:val="TableContents"/>
              <w:spacing w:before="0" w:after="283"/>
              <w:jc w:val="left"/>
              <w:rPr/>
            </w:pPr>
            <w:r>
              <w:rPr/>
              <w:t>   </w:t>
            </w:r>
          </w:p>
        </w:tc>
        <w:tc>
          <w:tcPr>
            <w:tcW w:w="9734" w:type="dxa"/>
            <w:tcBorders/>
            <w:shd w:fill="auto" w:val="clear"/>
            <w:vAlign w:val="bottom"/>
          </w:tcPr>
          <w:p>
            <w:pPr>
              <w:pStyle w:val="TableContents"/>
              <w:spacing w:before="0" w:after="283"/>
              <w:jc w:val="left"/>
              <w:rPr>
                <w:rFonts w:ascii="Arial" w:hAnsi="Arial"/>
              </w:rPr>
            </w:pPr>
            <w:r>
              <w:rPr>
                <w:rFonts w:ascii="Arial" w:hAnsi="Arial"/>
              </w:rPr>
              <w:t>Represents uncollectible accounts written off, less recoveries, translation adjustments and reserves acquired.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9068"/>
        <w:gridCol w:w="275"/>
        <w:gridCol w:w="178"/>
        <w:gridCol w:w="574"/>
        <w:gridCol w:w="110"/>
      </w:tblGrid>
      <w:tr>
        <w:trPr/>
        <w:tc>
          <w:tcPr>
            <w:tcW w:w="9068" w:type="dxa"/>
            <w:tcBorders/>
            <w:shd w:fill="FFFFFF" w:val="clear"/>
            <w:vAlign w:val="bottom"/>
          </w:tcPr>
          <w:p>
            <w:pPr>
              <w:pStyle w:val="TableContents"/>
              <w:spacing w:before="0" w:after="283"/>
              <w:jc w:val="left"/>
              <w:rPr>
                <w:rFonts w:ascii="Arial" w:hAnsi="Arial"/>
                <w:b/>
              </w:rPr>
            </w:pPr>
            <w:r>
              <w:rPr>
                <w:rFonts w:ascii="Arial" w:hAnsi="Arial"/>
                <w:b/>
              </w:rPr>
              <w:t>Deferred Tax Assets—Valuation Allowance</w:t>
            </w:r>
          </w:p>
        </w:tc>
        <w:tc>
          <w:tcPr>
            <w:tcW w:w="275"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Balance December 31, 2003</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bottom"/>
          </w:tcPr>
          <w:p>
            <w:pPr>
              <w:pStyle w:val="TableContents"/>
              <w:spacing w:before="0" w:after="283"/>
              <w:jc w:val="right"/>
              <w:rPr>
                <w:rFonts w:ascii="Arial" w:hAnsi="Arial"/>
              </w:rPr>
            </w:pPr>
            <w:r>
              <w:rPr>
                <w:rFonts w:ascii="Arial" w:hAnsi="Arial"/>
              </w:rPr>
              <w:t>$</w:t>
            </w:r>
          </w:p>
        </w:tc>
        <w:tc>
          <w:tcPr>
            <w:tcW w:w="574" w:type="dxa"/>
            <w:tcBorders/>
            <w:shd w:fill="E5FFFF" w:val="clear"/>
            <w:vAlign w:val="bottom"/>
          </w:tcPr>
          <w:p>
            <w:pPr>
              <w:pStyle w:val="TableContents"/>
              <w:spacing w:before="0" w:after="283"/>
              <w:jc w:val="right"/>
              <w:rPr>
                <w:rFonts w:ascii="Arial" w:hAnsi="Arial"/>
              </w:rPr>
            </w:pPr>
            <w:r>
              <w:rPr>
                <w:rFonts w:ascii="Arial" w:hAnsi="Arial"/>
              </w:rPr>
              <w:t>299</w:t>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Additions charged to income tax expense</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145</w:t>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Reductions credited to income tax expense</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TableContents"/>
              <w:spacing w:before="0" w:after="283"/>
              <w:jc w:val="right"/>
              <w:rPr>
                <w:rFonts w:ascii="Arial" w:hAnsi="Arial"/>
              </w:rPr>
            </w:pPr>
            <w:r>
              <w:rPr>
                <w:rFonts w:ascii="Arial" w:hAnsi="Arial"/>
              </w:rPr>
              <w:t>(108</w:t>
            </w:r>
          </w:p>
        </w:tc>
        <w:tc>
          <w:tcPr>
            <w:tcW w:w="11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Additions charged to goodwill, due to acquisitions</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2</w:t>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HorizontalLine"/>
              <w:pBdr>
                <w:bottom w:val="single" w:sz="6" w:space="0" w:color="000000"/>
              </w:pBdr>
              <w:spacing w:before="0" w:after="283"/>
              <w:rPr/>
            </w:pPr>
            <w:r>
              <w:rPr/>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Balance December 31, 2004</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338</w:t>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Additions charged to income tax expense</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TableContents"/>
              <w:spacing w:before="0" w:after="283"/>
              <w:jc w:val="right"/>
              <w:rPr>
                <w:rFonts w:ascii="Arial" w:hAnsi="Arial"/>
              </w:rPr>
            </w:pPr>
            <w:r>
              <w:rPr>
                <w:rFonts w:ascii="Arial" w:hAnsi="Arial"/>
              </w:rPr>
              <w:t>46</w:t>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Reductions credited to income tax expense</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(126</w:t>
            </w:r>
          </w:p>
        </w:tc>
        <w:tc>
          <w:tcPr>
            <w:tcW w:w="11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Additions charged to goodwill, due to acquisitions</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TableContents"/>
              <w:spacing w:before="0" w:after="283"/>
              <w:jc w:val="right"/>
              <w:rPr>
                <w:rFonts w:ascii="Arial" w:hAnsi="Arial"/>
              </w:rPr>
            </w:pPr>
            <w:r>
              <w:rPr>
                <w:rFonts w:ascii="Arial" w:hAnsi="Arial"/>
              </w:rPr>
              <w:t>219</w:t>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center"/>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HorizontalLine"/>
              <w:pBdr>
                <w:bottom w:val="single" w:sz="6" w:space="0" w:color="000000"/>
              </w:pBdr>
              <w:spacing w:before="0" w:after="283"/>
              <w:rPr/>
            </w:pPr>
            <w:r>
              <w:rPr/>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Balance December 31, 2005</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TableContents"/>
              <w:spacing w:before="0" w:after="283"/>
              <w:jc w:val="right"/>
              <w:rPr>
                <w:rFonts w:ascii="Arial" w:hAnsi="Arial"/>
              </w:rPr>
            </w:pPr>
            <w:r>
              <w:rPr>
                <w:rFonts w:ascii="Arial" w:hAnsi="Arial"/>
              </w:rPr>
              <w:t>477</w:t>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Additions charged to income tax expense</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40</w:t>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Reductions credited to income tax expense</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TableContents"/>
              <w:spacing w:before="0" w:after="283"/>
              <w:jc w:val="right"/>
              <w:rPr>
                <w:rFonts w:ascii="Arial" w:hAnsi="Arial"/>
              </w:rPr>
            </w:pPr>
            <w:r>
              <w:rPr>
                <w:rFonts w:ascii="Arial" w:hAnsi="Arial"/>
              </w:rPr>
              <w:t>(3</w:t>
            </w:r>
          </w:p>
        </w:tc>
        <w:tc>
          <w:tcPr>
            <w:tcW w:w="110" w:type="dxa"/>
            <w:tcBorders/>
            <w:shd w:fill="E5FFFF" w:val="clear"/>
            <w:vAlign w:val="bottom"/>
          </w:tcPr>
          <w:p>
            <w:pPr>
              <w:pStyle w:val="TableContents"/>
              <w:spacing w:before="0" w:after="283"/>
              <w:jc w:val="left"/>
              <w:rPr>
                <w:rFonts w:ascii="Arial" w:hAnsi="Arial"/>
              </w:rPr>
            </w:pPr>
            <w:r>
              <w:rPr>
                <w:rFonts w:ascii="Arial" w:hAnsi="Arial"/>
              </w:rPr>
              <w:t>)</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Reductions charged to goodwill, due to acquisitions</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(24</w:t>
            </w:r>
          </w:p>
        </w:tc>
        <w:tc>
          <w:tcPr>
            <w:tcW w:w="11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9068" w:type="dxa"/>
            <w:tcBorders/>
            <w:shd w:fill="E5FFFF" w:val="clear"/>
            <w:vAlign w:val="bottom"/>
          </w:tcPr>
          <w:p>
            <w:pPr>
              <w:pStyle w:val="TableContents"/>
              <w:spacing w:before="0" w:after="283"/>
              <w:jc w:val="left"/>
              <w:rPr>
                <w:rFonts w:ascii="Arial" w:hAnsi="Arial"/>
              </w:rPr>
            </w:pPr>
            <w:r>
              <w:rPr>
                <w:rFonts w:ascii="Arial" w:hAnsi="Arial"/>
              </w:rPr>
              <w:t>Additions charged to other comprehensive income (loss), upon adoption of</w:t>
              <w:br/>
              <w:t>SFAS No. 158</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TableContents"/>
              <w:spacing w:before="0" w:after="283"/>
              <w:jc w:val="right"/>
              <w:rPr>
                <w:rFonts w:ascii="Arial" w:hAnsi="Arial"/>
              </w:rPr>
            </w:pPr>
            <w:r>
              <w:rPr>
                <w:rFonts w:ascii="Arial" w:hAnsi="Arial"/>
              </w:rPr>
              <w:t>28</w:t>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Reductions charged to deferred tax asset, due to expired NOL</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bottom"/>
          </w:tcPr>
          <w:p>
            <w:pPr>
              <w:pStyle w:val="TableContents"/>
              <w:spacing w:before="0" w:after="283"/>
              <w:jc w:val="right"/>
              <w:rPr>
                <w:rFonts w:ascii="Arial" w:hAnsi="Arial"/>
              </w:rPr>
            </w:pPr>
            <w:r>
              <w:rPr>
                <w:rFonts w:ascii="Arial" w:hAnsi="Arial"/>
              </w:rPr>
              <w:t>(2</w:t>
            </w:r>
          </w:p>
        </w:tc>
        <w:tc>
          <w:tcPr>
            <w:tcW w:w="110"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906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HorizontalLine"/>
              <w:pBdr>
                <w:bottom w:val="single" w:sz="6" w:space="0" w:color="000000"/>
              </w:pBdr>
              <w:spacing w:before="0" w:after="283"/>
              <w:rPr/>
            </w:pPr>
            <w:r>
              <w:rPr/>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jc w:val="left"/>
              <w:rPr>
                <w:rFonts w:ascii="Arial" w:hAnsi="Arial"/>
              </w:rPr>
            </w:pPr>
            <w:r>
              <w:rPr>
                <w:rFonts w:ascii="Arial" w:hAnsi="Arial"/>
              </w:rPr>
              <w:t>Balance December 31, 2006</w:t>
            </w:r>
          </w:p>
        </w:tc>
        <w:tc>
          <w:tcPr>
            <w:tcW w:w="275" w:type="dxa"/>
            <w:tcBorders/>
            <w:shd w:fill="FFFFFF" w:val="clear"/>
            <w:vAlign w:val="bottom"/>
          </w:tcPr>
          <w:p>
            <w:pPr>
              <w:pStyle w:val="TableContents"/>
              <w:spacing w:before="0" w:after="283"/>
              <w:jc w:val="right"/>
              <w:rPr/>
            </w:pPr>
            <w:r>
              <w:rPr/>
              <w:t>    </w:t>
            </w:r>
          </w:p>
        </w:tc>
        <w:tc>
          <w:tcPr>
            <w:tcW w:w="178" w:type="dxa"/>
            <w:tcBorders/>
            <w:shd w:fill="FFFFFF" w:val="clear"/>
            <w:vAlign w:val="bottom"/>
          </w:tcPr>
          <w:p>
            <w:pPr>
              <w:pStyle w:val="TableContents"/>
              <w:spacing w:before="0" w:after="283"/>
              <w:jc w:val="right"/>
              <w:rPr>
                <w:rFonts w:ascii="Arial" w:hAnsi="Arial"/>
              </w:rPr>
            </w:pPr>
            <w:r>
              <w:rPr>
                <w:rFonts w:ascii="Arial" w:hAnsi="Arial"/>
              </w:rPr>
              <w:t>$</w:t>
            </w:r>
          </w:p>
        </w:tc>
        <w:tc>
          <w:tcPr>
            <w:tcW w:w="574" w:type="dxa"/>
            <w:tcBorders/>
            <w:shd w:fill="FFFFFF" w:val="clear"/>
            <w:vAlign w:val="bottom"/>
          </w:tcPr>
          <w:p>
            <w:pPr>
              <w:pStyle w:val="TableContents"/>
              <w:spacing w:before="0" w:after="283"/>
              <w:jc w:val="right"/>
              <w:rPr>
                <w:rFonts w:ascii="Arial" w:hAnsi="Arial"/>
              </w:rPr>
            </w:pPr>
            <w:r>
              <w:rPr>
                <w:rFonts w:ascii="Arial" w:hAnsi="Arial"/>
              </w:rPr>
              <w:t>516</w:t>
            </w:r>
          </w:p>
        </w:tc>
        <w:tc>
          <w:tcPr>
            <w:tcW w:w="110" w:type="dxa"/>
            <w:tcBorders/>
            <w:shd w:fill="FFFFFF" w:val="clear"/>
            <w:vAlign w:val="center"/>
          </w:tcPr>
          <w:p>
            <w:pPr>
              <w:pStyle w:val="TableContents"/>
              <w:spacing w:before="0" w:after="283"/>
              <w:rPr/>
            </w:pPr>
            <w:r>
              <w:rPr/>
              <w:t> </w:t>
            </w:r>
          </w:p>
        </w:tc>
      </w:tr>
      <w:tr>
        <w:trPr/>
        <w:tc>
          <w:tcPr>
            <w:tcW w:w="9068" w:type="dxa"/>
            <w:tcBorders/>
            <w:shd w:fill="E5FFFF" w:val="clear"/>
            <w:vAlign w:val="center"/>
          </w:tcPr>
          <w:p>
            <w:pPr>
              <w:pStyle w:val="TableContents"/>
              <w:spacing w:before="0" w:after="283"/>
              <w:rPr/>
            </w:pPr>
            <w:r>
              <w:rPr/>
              <w:t> </w:t>
            </w:r>
          </w:p>
        </w:tc>
        <w:tc>
          <w:tcPr>
            <w:tcW w:w="275" w:type="dxa"/>
            <w:tcBorders/>
            <w:shd w:fill="E5FFFF" w:val="clear"/>
            <w:vAlign w:val="bottom"/>
          </w:tcPr>
          <w:p>
            <w:pPr>
              <w:pStyle w:val="TableContents"/>
              <w:spacing w:before="0" w:after="283"/>
              <w:jc w:val="right"/>
              <w:rPr/>
            </w:pPr>
            <w:r>
              <w:rPr/>
              <w:t>    </w:t>
            </w:r>
          </w:p>
        </w:tc>
        <w:tc>
          <w:tcPr>
            <w:tcW w:w="178" w:type="dxa"/>
            <w:tcBorders/>
            <w:shd w:fill="E5FFFF" w:val="clear"/>
            <w:vAlign w:val="center"/>
          </w:tcPr>
          <w:p>
            <w:pPr>
              <w:pStyle w:val="TableContents"/>
              <w:spacing w:before="0" w:after="283"/>
              <w:rPr/>
            </w:pPr>
            <w:r>
              <w:rPr/>
              <w:t> </w:t>
            </w:r>
          </w:p>
        </w:tc>
        <w:tc>
          <w:tcPr>
            <w:tcW w:w="574" w:type="dxa"/>
            <w:tcBorders/>
            <w:shd w:fill="E5FFFF" w:val="clear"/>
            <w:vAlign w:val="bottom"/>
          </w:tcPr>
          <w:p>
            <w:pPr>
              <w:pStyle w:val="HorizontalLine"/>
              <w:pBdr>
                <w:bottom w:val="single" w:sz="18" w:space="0" w:color="000000"/>
              </w:pBdr>
              <w:spacing w:before="0" w:after="283"/>
              <w:rPr/>
            </w:pPr>
            <w:r>
              <w:rPr/>
            </w:r>
          </w:p>
        </w:tc>
        <w:tc>
          <w:tcPr>
            <w:tcW w:w="110" w:type="dxa"/>
            <w:tcBorders/>
            <w:shd w:fill="E5FFFF" w:val="clear"/>
            <w:vAlign w:val="center"/>
          </w:tcPr>
          <w:p>
            <w:pPr>
              <w:pStyle w:val="TableContents"/>
              <w:spacing w:before="0" w:after="283"/>
              <w:rPr/>
            </w:pPr>
            <w:r>
              <w:rPr/>
              <w:t> </w:t>
            </w:r>
          </w:p>
        </w:tc>
      </w:tr>
      <w:tr>
        <w:trPr/>
        <w:tc>
          <w:tcPr>
            <w:tcW w:w="9068" w:type="dxa"/>
            <w:tcBorders/>
            <w:shd w:fill="FFFFFF" w:val="clear"/>
            <w:vAlign w:val="bottom"/>
          </w:tcPr>
          <w:p>
            <w:pPr>
              <w:pStyle w:val="TableContents"/>
              <w:spacing w:before="0" w:after="283"/>
              <w:rPr>
                <w:sz w:val="4"/>
                <w:szCs w:val="4"/>
              </w:rPr>
            </w:pPr>
            <w:r>
              <w:rPr>
                <w:sz w:val="4"/>
                <w:szCs w:val="4"/>
              </w:rPr>
            </w:r>
          </w:p>
        </w:tc>
        <w:tc>
          <w:tcPr>
            <w:tcW w:w="275" w:type="dxa"/>
            <w:tcBorders/>
            <w:shd w:fill="FFFFFF" w:val="clear"/>
            <w:vAlign w:val="center"/>
          </w:tcPr>
          <w:p>
            <w:pPr>
              <w:pStyle w:val="TableContents"/>
              <w:spacing w:before="0" w:after="283"/>
              <w:rPr/>
            </w:pPr>
            <w:r>
              <w:rPr/>
              <w:t> </w:t>
            </w:r>
          </w:p>
        </w:tc>
        <w:tc>
          <w:tcPr>
            <w:tcW w:w="178" w:type="dxa"/>
            <w:tcBorders/>
            <w:shd w:fill="FFFFFF" w:val="clear"/>
            <w:vAlign w:val="center"/>
          </w:tcPr>
          <w:p>
            <w:pPr>
              <w:pStyle w:val="TableContents"/>
              <w:spacing w:before="0" w:after="283"/>
              <w:rPr/>
            </w:pPr>
            <w:r>
              <w:rPr/>
              <w:t> </w:t>
            </w:r>
          </w:p>
        </w:tc>
        <w:tc>
          <w:tcPr>
            <w:tcW w:w="574"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r>
    </w:tbl>
    <w:p>
      <w:pPr>
        <w:pStyle w:val="TextBody"/>
        <w:jc w:val="center"/>
        <w:rPr>
          <w:rFonts w:ascii="Arial" w:hAnsi="Arial"/>
        </w:rPr>
      </w:pPr>
      <w:r>
        <w:rPr>
          <w:rFonts w:ascii="Arial" w:hAnsi="Arial"/>
        </w:rPr>
        <w:t>107</w:t>
      </w:r>
    </w:p>
    <w:p>
      <w:pPr>
        <w:pStyle w:val="HorizontalLine"/>
        <w:pBdr>
          <w:bottom w:val="single" w:sz="20" w:space="0" w:color="000000"/>
        </w:pBdr>
        <w:rPr/>
      </w:pPr>
      <w:r>
        <w:rPr/>
      </w:r>
      <w:r>
        <w:br w:type="page"/>
      </w:r>
    </w:p>
    <w:p>
      <w:pPr>
        <w:pStyle w:val="TextBody"/>
        <w:jc w:val="right"/>
        <w:rPr>
          <w:rFonts w:ascii="serif" w:hAnsi="serif"/>
          <w:u w:val="single"/>
        </w:rPr>
      </w:pPr>
      <w:bookmarkStart w:id="27" w:name="c44492_ex10-1.htm"/>
      <w:bookmarkStart w:id="28" w:name="ksc44492_ex101"/>
      <w:bookmarkEnd w:id="27"/>
      <w:bookmarkEnd w:id="28"/>
      <w:r>
        <w:rPr>
          <w:rFonts w:ascii="serif" w:hAnsi="serif"/>
          <w:u w:val="single"/>
        </w:rPr>
        <w:t>Exhibit 10.1</w:t>
      </w:r>
    </w:p>
    <w:p>
      <w:pPr>
        <w:pStyle w:val="TextBody"/>
        <w:jc w:val="center"/>
        <w:rPr/>
      </w:pPr>
      <w:r>
        <w:rPr/>
        <w:t>     </w:t>
      </w:r>
      <w:r>
        <w:rPr>
          <w:rFonts w:ascii="serif" w:hAnsi="serif"/>
          <w:b/>
        </w:rPr>
        <w:t>AMENDMENT TO THE</w:t>
        <w:br/>
        <w:t>2003 STOCK INCENTIVE PLAN</w:t>
        <w:br/>
        <w:t>OF</w:t>
        <w:br/>
        <w:t>HONEYWELL INTERNATIONAL INC. AND ITS AFFILIATES</w:t>
      </w:r>
    </w:p>
    <w:p>
      <w:pPr>
        <w:pStyle w:val="TextBody"/>
        <w:rPr/>
      </w:pPr>
      <w:r>
        <w:rPr/>
        <w:t>     </w:t>
      </w:r>
      <w:r>
        <w:rPr>
          <w:rFonts w:ascii="serif" w:hAnsi="serif"/>
        </w:rPr>
        <w:t>The 2003 Stock Incentive Plan of Honeywell International Inc. and Its Affiliates (the Plan) is hereby amended effective December 8, 2006, by replacing Section 5.3 of the Plan in its entirety with the following paragraph:</w:t>
      </w:r>
    </w:p>
    <w:p>
      <w:pPr>
        <w:pStyle w:val="TextBody"/>
        <w:rPr/>
      </w:pPr>
      <w:r>
        <w:rPr/>
        <w:t>     </w:t>
      </w:r>
      <w:r>
        <w:rPr>
          <w:rFonts w:ascii="serif" w:hAnsi="serif"/>
        </w:rPr>
        <w:t></w:t>
      </w:r>
      <w:r>
        <w:rPr>
          <w:rFonts w:ascii="serif" w:hAnsi="serif"/>
          <w:b/>
        </w:rPr>
        <w:t xml:space="preserve">5.3 </w:t>
      </w:r>
      <w:r>
        <w:rPr>
          <w:rFonts w:ascii="serif" w:hAnsi="serif"/>
          <w:b/>
          <w:i/>
        </w:rPr>
        <w:t>Adjustments</w:t>
      </w:r>
      <w:r>
        <w:rPr>
          <w:rFonts w:ascii="serif" w:hAnsi="serif"/>
          <w:b/>
        </w:rPr>
        <w:t xml:space="preserve">. </w:t>
      </w:r>
      <w:r>
        <w:rPr>
          <w:rFonts w:ascii="serif" w:hAnsi="serif"/>
        </w:rPr>
        <w:t xml:space="preserve">In the event of a change in the outstanding Shares by reason of a stock split, reverse stock split, dividend or other distribution (whether in the form of cash, Shares, other securities or other property), extraordinary cash dividend, recapitalization, merger, consolidation, split-up, spin-off, reorganization, combination, repurchase or exchange of Shares or other securities, exercise of stock purchase rights, issuance of warrants or other rights to purchase Shares or other securities, or similar corporate transaction or event, the Committee shall make an equitable adjustment to prevent dilution or enlargement of the benefits or potential benefits intended to be made available under the Plan, the transaction or event equitably requires an adjustment in the number or kind of Shares that may be issued under the Plan, the number or kind of Shares subject to an outstanding Award, or the Exercise Period of an Award. Any adjustment made by the Committee under this Section 5.3 will be conclusive and binding for all purposes under the Plan. No adjustment will be made with respect to Awards granted to Key Employees to the extent the adjustment would cause the Award to fail to qualify as performance-based compensation under Section 162(m) of the Code. </w:t>
      </w:r>
    </w:p>
    <w:p>
      <w:pPr>
        <w:pStyle w:val="HorizontalLine"/>
        <w:pBdr>
          <w:bottom w:val="single" w:sz="24" w:space="0" w:color="808080"/>
        </w:pBdr>
        <w:rPr/>
      </w:pPr>
      <w:r>
        <w:rPr/>
      </w:r>
      <w:r>
        <w:br w:type="page"/>
      </w:r>
    </w:p>
    <w:p>
      <w:pPr>
        <w:pStyle w:val="TextBody"/>
        <w:jc w:val="right"/>
        <w:rPr>
          <w:rFonts w:ascii="serif" w:hAnsi="serif"/>
          <w:u w:val="single"/>
        </w:rPr>
      </w:pPr>
      <w:bookmarkStart w:id="29" w:name="c44492_ex10-6.htm"/>
      <w:bookmarkStart w:id="30" w:name="ksc44492_ex106"/>
      <w:bookmarkEnd w:id="29"/>
      <w:bookmarkEnd w:id="30"/>
      <w:r>
        <w:rPr>
          <w:rFonts w:ascii="serif" w:hAnsi="serif"/>
          <w:u w:val="single"/>
        </w:rPr>
        <w:t>Exhibit 10.6</w:t>
      </w:r>
    </w:p>
    <w:p>
      <w:pPr>
        <w:pStyle w:val="TextBody"/>
        <w:jc w:val="center"/>
        <w:rPr>
          <w:rFonts w:ascii="serif" w:hAnsi="serif"/>
          <w:b/>
        </w:rPr>
      </w:pPr>
      <w:r>
        <w:rPr>
          <w:rFonts w:ascii="serif" w:hAnsi="serif"/>
          <w:b/>
        </w:rPr>
        <w:t>AMENDMENT TO THE</w:t>
      </w:r>
    </w:p>
    <w:p>
      <w:pPr>
        <w:pStyle w:val="TextBody"/>
        <w:jc w:val="center"/>
        <w:rPr>
          <w:rFonts w:ascii="serif" w:hAnsi="serif"/>
          <w:b/>
        </w:rPr>
      </w:pPr>
      <w:r>
        <w:rPr>
          <w:rFonts w:ascii="serif" w:hAnsi="serif"/>
          <w:b/>
        </w:rPr>
        <w:t xml:space="preserve">SUPPLEMENTAL NON-QUALIFIED SAVINGS PLAN </w:t>
      </w:r>
    </w:p>
    <w:p>
      <w:pPr>
        <w:pStyle w:val="TextBody"/>
        <w:jc w:val="center"/>
        <w:rPr>
          <w:rFonts w:ascii="serif" w:hAnsi="serif"/>
          <w:b/>
        </w:rPr>
      </w:pPr>
      <w:r>
        <w:rPr>
          <w:rFonts w:ascii="serif" w:hAnsi="serif"/>
          <w:b/>
        </w:rPr>
        <w:t>FOR HIGHLY COMPENSATED EMPLOYEES OF</w:t>
      </w:r>
    </w:p>
    <w:p>
      <w:pPr>
        <w:pStyle w:val="TextBody"/>
        <w:jc w:val="center"/>
        <w:rPr>
          <w:rFonts w:ascii="serif" w:hAnsi="serif"/>
          <w:b/>
        </w:rPr>
      </w:pPr>
      <w:r>
        <w:rPr>
          <w:rFonts w:ascii="serif" w:hAnsi="serif"/>
          <w:b/>
        </w:rPr>
        <w:t>HONEYWELL INTERNATIONAL INC. AND ITS SUBSIDIARIES</w:t>
      </w:r>
    </w:p>
    <w:p>
      <w:pPr>
        <w:pStyle w:val="TextBody"/>
        <w:rPr/>
      </w:pPr>
      <w:r>
        <w:rPr/>
        <w:t>     </w:t>
      </w:r>
      <w:r>
        <w:rPr>
          <w:rFonts w:ascii="serif" w:hAnsi="serif"/>
        </w:rPr>
        <w:t xml:space="preserve">The Supplemental Non-Qualified Savings Plan for Highly Compensated Employees of Honeywell International Inc. and Its Subsidiaries (the Plan) is hereby amended effective December 31, 2006 in the following manner: </w:t>
      </w:r>
    </w:p>
    <w:p>
      <w:pPr>
        <w:pStyle w:val="TextBody"/>
        <w:rPr/>
      </w:pPr>
      <w:r>
        <w:rPr/>
        <w:t>     </w:t>
      </w:r>
      <w:r>
        <w:rPr>
          <w:rFonts w:ascii="serif" w:hAnsi="serif"/>
        </w:rPr>
        <w:t xml:space="preserve">Pursuant to a previously-approved benefits integration plan for UOP LLC and its affiliates, the accounts maintained pursuant to the terms of the UOP Supplemental Savings Plan will be transferred to the Honeywell Supplemental Savings Plan effective as of 11:59:59 p.m. on December 31, 2006, and no future amounts will accrue under the UOP Supplemental Savings Plan after that time. There is no intention to alter the rights of a participant, or materially modify the rights of a participant, with respect to his or her transferred account. </w:t>
      </w:r>
    </w:p>
    <w:p>
      <w:pPr>
        <w:pStyle w:val="HorizontalLine"/>
        <w:pBdr>
          <w:bottom w:val="single" w:sz="24" w:space="0" w:color="808080"/>
        </w:pBdr>
        <w:rPr/>
      </w:pPr>
      <w:r>
        <w:rPr/>
      </w:r>
      <w:r>
        <w:br w:type="page"/>
      </w:r>
    </w:p>
    <w:p>
      <w:pPr>
        <w:pStyle w:val="TextBody"/>
        <w:jc w:val="right"/>
        <w:rPr>
          <w:rFonts w:ascii="serif" w:hAnsi="serif"/>
          <w:u w:val="single"/>
        </w:rPr>
      </w:pPr>
      <w:bookmarkStart w:id="31" w:name="c44492_ex10-8.htm"/>
      <w:bookmarkStart w:id="32" w:name="ksc44492_ex108"/>
      <w:bookmarkEnd w:id="31"/>
      <w:bookmarkEnd w:id="32"/>
      <w:r>
        <w:rPr>
          <w:rFonts w:ascii="serif" w:hAnsi="serif"/>
          <w:u w:val="single"/>
        </w:rPr>
        <w:t>EXHIBIT 10.8</w:t>
      </w:r>
    </w:p>
    <w:p>
      <w:pPr>
        <w:pStyle w:val="TextBody"/>
        <w:jc w:val="center"/>
        <w:rPr>
          <w:rFonts w:ascii="serif" w:hAnsi="serif"/>
          <w:b/>
        </w:rPr>
      </w:pPr>
      <w:r>
        <w:rPr>
          <w:rFonts w:ascii="serif" w:hAnsi="serif"/>
          <w:b/>
        </w:rPr>
        <w:t>AMENDMENT TO THE</w:t>
        <w:br/>
        <w:br/>
        <w:t>SALARY AND INCENTIVE AWARD DEFERRAL PLAN</w:t>
        <w:br/>
        <w:br/>
        <w:t>FOR</w:t>
        <w:br/>
        <w:br/>
        <w:t>SELECTED EMPLOYEES OF</w:t>
        <w:br/>
        <w:br/>
        <w:t>HONEYWELL INTERNATIONAL INC. AND ITS AFFILIATES</w:t>
      </w:r>
    </w:p>
    <w:p>
      <w:pPr>
        <w:pStyle w:val="TextBody"/>
        <w:rPr/>
      </w:pPr>
      <w:r>
        <w:rPr/>
        <w:t>        </w:t>
      </w:r>
      <w:r>
        <w:rPr>
          <w:rFonts w:ascii="serif" w:hAnsi="serif"/>
        </w:rPr>
        <w:t xml:space="preserve">The Salary and Incentive Award Deferral Plan for Selected Employees of Honeywell International Inc. and Its Affiliates (the Plan), is hereby amended effective immediately, by replacing the fifth paragraph of Section 7 of the Plan in its entirety with the following paragraph: </w:t>
      </w:r>
    </w:p>
    <w:tbl>
      <w:tblPr>
        <w:tblW w:w="5000" w:type="pct"/>
        <w:jc w:val="left"/>
        <w:tblInd w:w="0" w:type="dxa"/>
        <w:tblCellMar>
          <w:top w:w="0" w:type="dxa"/>
          <w:left w:w="0" w:type="dxa"/>
          <w:bottom w:w="0" w:type="dxa"/>
          <w:right w:w="0" w:type="dxa"/>
        </w:tblCellMar>
      </w:tblPr>
      <w:tblGrid>
        <w:gridCol w:w="504"/>
        <w:gridCol w:w="9701"/>
      </w:tblGrid>
      <w:tr>
        <w:trPr/>
        <w:tc>
          <w:tcPr>
            <w:tcW w:w="504" w:type="dxa"/>
            <w:tcBorders/>
            <w:shd w:fill="auto" w:val="clear"/>
            <w:vAlign w:val="bottom"/>
          </w:tcPr>
          <w:p>
            <w:pPr>
              <w:pStyle w:val="TableContents"/>
              <w:spacing w:before="0" w:after="283"/>
              <w:jc w:val="left"/>
              <w:rPr/>
            </w:pPr>
            <w:r>
              <w:rPr/>
              <w:t> </w:t>
            </w:r>
          </w:p>
        </w:tc>
        <w:tc>
          <w:tcPr>
            <w:tcW w:w="9701" w:type="dxa"/>
            <w:tcBorders/>
            <w:shd w:fill="auto" w:val="clear"/>
            <w:vAlign w:val="bottom"/>
          </w:tcPr>
          <w:p>
            <w:pPr>
              <w:pStyle w:val="TableContents"/>
              <w:spacing w:before="0" w:after="283"/>
              <w:jc w:val="left"/>
              <w:rPr/>
            </w:pPr>
            <w:r>
              <w:rPr>
                <w:rFonts w:ascii="serif" w:hAnsi="serif"/>
              </w:rPr>
              <w:t>As permitted by IRS Notice 2005-1 and subsequent guidance published under Code section 409A, (i) an eligible employee who elected to defer all or part of the Incentive Award earned in 2004 and payable in 2005 was permitted to completely cancel this election during a period that began no earlier than January 1, 2005 and ended no later than March 15, 2005, (ii) an eligible employee who elected to defer all or part of the Incentive Award earned in 2005 and payable in 2006 was permitted to completely cancel this deferral election during a period that will end no later than December 31, 2005 and (iii) an eligible employee who is actively employed and who elected to defer Base Annual Salary earned in 2002, 2003 and/or 2004 will be permitted to change the form and/or timing of the distribution of amounts attributable to such deferrals no later than December 31, 2007, provided however that any re-deferral (A) must apply only to amounts that would not otherwise be payable in the year in which the re-deferral occurs (the re-deferral year), (B) may not cause an amount to be paid in the re-deferral year that would not otherwise be payable in the re-deferral year, and (C) satisfy the Plan rules for re-deferrals of Deferral Amounts that are not subject to the requirements of Code section 409A.</w:t>
            </w:r>
            <w:r>
              <w:rPr/>
              <w:t xml:space="preserve">  </w:t>
            </w:r>
          </w:p>
        </w:tc>
      </w:tr>
    </w:tbl>
    <w:p>
      <w:pPr>
        <w:pStyle w:val="TextBody"/>
        <w:rPr/>
      </w:pPr>
      <w:r>
        <w:rPr/>
      </w:r>
    </w:p>
    <w:p>
      <w:pPr>
        <w:pStyle w:val="TextBody"/>
        <w:rPr/>
      </w:pPr>
      <w:r>
        <w:rPr/>
        <w:t>        </w:t>
      </w:r>
      <w:r>
        <w:rPr>
          <w:rFonts w:ascii="serif" w:hAnsi="serif"/>
        </w:rPr>
        <w:t xml:space="preserve">IN WITNESS WHEREOF, pursuant to the authority granted to me by the Management Development and Compensation Committee of the Board of Directors on July 28, 2006, the Plan is hereby amended this 20th day of December, 2006. </w:t>
      </w:r>
    </w:p>
    <w:tbl>
      <w:tblPr>
        <w:tblW w:w="10205" w:type="dxa"/>
        <w:jc w:val="left"/>
        <w:tblInd w:w="0" w:type="dxa"/>
        <w:tblCellMar>
          <w:top w:w="0" w:type="dxa"/>
          <w:left w:w="0" w:type="dxa"/>
          <w:bottom w:w="0" w:type="dxa"/>
          <w:right w:w="0" w:type="dxa"/>
        </w:tblCellMar>
      </w:tblPr>
      <w:tblGrid>
        <w:gridCol w:w="909"/>
        <w:gridCol w:w="124"/>
        <w:gridCol w:w="9172"/>
      </w:tblGrid>
      <w:tr>
        <w:trPr/>
        <w:tc>
          <w:tcPr>
            <w:tcW w:w="10205" w:type="dxa"/>
            <w:gridSpan w:val="3"/>
            <w:tcBorders/>
            <w:shd w:fill="auto" w:val="clear"/>
            <w:vAlign w:val="bottom"/>
          </w:tcPr>
          <w:p>
            <w:pPr>
              <w:pStyle w:val="TableContents"/>
              <w:spacing w:before="0" w:after="283"/>
              <w:jc w:val="left"/>
              <w:rPr/>
            </w:pPr>
            <w:r>
              <w:rPr>
                <w:rFonts w:ascii="serif" w:hAnsi="serif"/>
                <w:u w:val="single"/>
              </w:rPr>
              <w:t>/s/ Thomas W. Weidenkopf</w:t>
            </w:r>
            <w:r>
              <w:rPr/>
              <w:t xml:space="preserve">  </w:t>
            </w:r>
          </w:p>
        </w:tc>
      </w:tr>
      <w:tr>
        <w:trPr/>
        <w:tc>
          <w:tcPr>
            <w:tcW w:w="909" w:type="dxa"/>
            <w:tcBorders/>
            <w:shd w:fill="auto" w:val="clear"/>
            <w:vAlign w:val="bottom"/>
          </w:tcPr>
          <w:p>
            <w:pPr>
              <w:pStyle w:val="TableContents"/>
              <w:spacing w:before="0" w:after="283"/>
              <w:jc w:val="left"/>
              <w:rPr/>
            </w:pPr>
            <w:r>
              <w:rPr>
                <w:rFonts w:ascii="serif" w:hAnsi="serif"/>
              </w:rPr>
              <w:t>By:</w:t>
            </w:r>
            <w:r>
              <w:rPr/>
              <w:t xml:space="preserve">  </w:t>
            </w:r>
          </w:p>
        </w:tc>
        <w:tc>
          <w:tcPr>
            <w:tcW w:w="124" w:type="dxa"/>
            <w:tcBorders/>
            <w:shd w:fill="auto" w:val="clear"/>
            <w:vAlign w:val="bottom"/>
          </w:tcPr>
          <w:p>
            <w:pPr>
              <w:pStyle w:val="TableContents"/>
              <w:spacing w:before="0" w:after="283"/>
              <w:rPr/>
            </w:pPr>
            <w:r>
              <w:rPr/>
              <w:t xml:space="preserve">  </w:t>
            </w:r>
          </w:p>
        </w:tc>
        <w:tc>
          <w:tcPr>
            <w:tcW w:w="9172" w:type="dxa"/>
            <w:tcBorders/>
            <w:shd w:fill="auto" w:val="clear"/>
            <w:vAlign w:val="bottom"/>
          </w:tcPr>
          <w:p>
            <w:pPr>
              <w:pStyle w:val="TableContents"/>
              <w:spacing w:before="0" w:after="283"/>
              <w:jc w:val="left"/>
              <w:rPr/>
            </w:pPr>
            <w:r>
              <w:rPr>
                <w:rFonts w:ascii="serif" w:hAnsi="serif"/>
              </w:rPr>
              <w:t>THOMAS W. WEIDENKOPF</w:t>
            </w:r>
            <w:r>
              <w:rPr/>
              <w:t xml:space="preserve">  </w:t>
            </w:r>
          </w:p>
        </w:tc>
      </w:tr>
      <w:tr>
        <w:trPr/>
        <w:tc>
          <w:tcPr>
            <w:tcW w:w="10205" w:type="dxa"/>
            <w:gridSpan w:val="3"/>
            <w:tcBorders/>
            <w:shd w:fill="auto" w:val="clear"/>
            <w:vAlign w:val="bottom"/>
          </w:tcPr>
          <w:p>
            <w:pPr>
              <w:pStyle w:val="TableContents"/>
              <w:spacing w:before="0" w:after="283"/>
              <w:jc w:val="left"/>
              <w:rPr/>
            </w:pPr>
            <w:r>
              <w:rPr>
                <w:rFonts w:ascii="serif" w:hAnsi="serif"/>
              </w:rPr>
              <w:t>Honeywell International Inc.</w:t>
            </w:r>
            <w:r>
              <w:rPr/>
              <w:t xml:space="preserve">  </w:t>
            </w:r>
          </w:p>
        </w:tc>
      </w:tr>
      <w:tr>
        <w:trPr/>
        <w:tc>
          <w:tcPr>
            <w:tcW w:w="10205" w:type="dxa"/>
            <w:gridSpan w:val="3"/>
            <w:tcBorders/>
            <w:shd w:fill="auto" w:val="clear"/>
            <w:vAlign w:val="bottom"/>
          </w:tcPr>
          <w:p>
            <w:pPr>
              <w:pStyle w:val="TableContents"/>
              <w:spacing w:before="0" w:after="283"/>
              <w:jc w:val="left"/>
              <w:rPr/>
            </w:pPr>
            <w:r>
              <w:rPr>
                <w:rFonts w:ascii="serif" w:hAnsi="serif"/>
              </w:rPr>
              <w:t>Senior Vice President  Human Resources and Communications</w:t>
            </w:r>
            <w:r>
              <w:rPr/>
              <w:t xml:space="preserve">  </w:t>
            </w:r>
          </w:p>
        </w:tc>
      </w:tr>
    </w:tbl>
    <w:p>
      <w:pPr>
        <w:pStyle w:val="TextBody"/>
        <w:spacing w:before="0" w:after="0"/>
        <w:rPr/>
      </w:pPr>
      <w:r>
        <w:rPr/>
      </w:r>
    </w:p>
    <w:p>
      <w:pPr>
        <w:pStyle w:val="HorizontalLine"/>
        <w:pBdr>
          <w:bottom w:val="single" w:sz="24" w:space="0" w:color="808080"/>
        </w:pBdr>
        <w:rPr/>
      </w:pPr>
      <w:r>
        <w:rPr/>
      </w:r>
      <w:r>
        <w:br w:type="page"/>
      </w:r>
    </w:p>
    <w:p>
      <w:pPr>
        <w:pStyle w:val="TextBody"/>
        <w:jc w:val="center"/>
        <w:rPr>
          <w:rFonts w:ascii="serif" w:hAnsi="serif"/>
          <w:b/>
        </w:rPr>
      </w:pPr>
      <w:r>
        <w:rPr>
          <w:rFonts w:ascii="serif" w:hAnsi="serif"/>
          <w:b/>
        </w:rPr>
        <w:t>AMENDMENT</w:t>
        <w:br/>
        <w:t>TO THE</w:t>
        <w:br/>
        <w:t>SALARY AND INCENTIVE AWARD DEFERRAL PLAN</w:t>
        <w:br/>
        <w:t>FOR</w:t>
        <w:br/>
        <w:t>SELECTED EMPLOYEES OF HONEYWELL INTERNATIONAL INC.</w:t>
        <w:br/>
        <w:t>AND ITS AFFILIATES</w:t>
      </w:r>
    </w:p>
    <w:p>
      <w:pPr>
        <w:pStyle w:val="TextBody"/>
        <w:rPr/>
      </w:pPr>
      <w:r>
        <w:rPr/>
        <w:t>        </w:t>
      </w:r>
      <w:r>
        <w:rPr>
          <w:rFonts w:ascii="serif" w:hAnsi="serif"/>
        </w:rPr>
        <w:t xml:space="preserve">The Salary and Incentive Award Deferral Plan for Selected Employees of Honeywell International Inc. and Its Affiliates is hereby amended, effective January 1, 2007, by replacing the first sentence of Section 3(b) of the Plan in its entirety with the following sentence: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vAlign w:val="bottom"/>
          </w:tcPr>
          <w:p>
            <w:pPr>
              <w:pStyle w:val="TableContents"/>
              <w:spacing w:before="0" w:after="283"/>
              <w:jc w:val="left"/>
              <w:rPr/>
            </w:pPr>
            <w:r>
              <w:rPr/>
              <w:t> </w:t>
            </w:r>
          </w:p>
        </w:tc>
        <w:tc>
          <w:tcPr>
            <w:tcW w:w="9696" w:type="dxa"/>
            <w:tcBorders/>
            <w:shd w:fill="auto" w:val="clear"/>
            <w:vAlign w:val="bottom"/>
          </w:tcPr>
          <w:p>
            <w:pPr>
              <w:pStyle w:val="TableContents"/>
              <w:spacing w:before="0" w:after="283"/>
              <w:jc w:val="left"/>
              <w:rPr/>
            </w:pPr>
            <w:r>
              <w:rPr>
                <w:rFonts w:ascii="serif" w:hAnsi="serif"/>
              </w:rPr>
              <w:t>A Participant may elect to defer an amount not greater than one hundred percent of an incentive award payable pursuant to the terms of the Honeywell International Inc. Incentive Compensation Plan for Executive Employees (or any successor plan) (the Incentive Plan) or the Honeywell Capital Management LLC Incentive Compensation Plan (or any successor plan) (the HCM Incentive Plan) (each an Incentive Award), unless the terms of either plan prohibit such a deferral.</w:t>
            </w:r>
            <w:r>
              <w:rPr/>
              <w:t> </w:t>
            </w:r>
          </w:p>
        </w:tc>
      </w:tr>
    </w:tbl>
    <w:p>
      <w:pPr>
        <w:pStyle w:val="TextBody"/>
        <w:spacing w:before="0" w:after="0"/>
        <w:rPr/>
      </w:pPr>
      <w:r>
        <w:rPr/>
      </w:r>
    </w:p>
    <w:p>
      <w:pPr>
        <w:pStyle w:val="HorizontalLine"/>
        <w:pBdr>
          <w:bottom w:val="single" w:sz="24" w:space="0" w:color="808080"/>
        </w:pBdr>
        <w:rPr/>
      </w:pPr>
      <w:r>
        <w:rPr/>
      </w:r>
      <w:r>
        <w:br w:type="page"/>
      </w:r>
    </w:p>
    <w:p>
      <w:pPr>
        <w:pStyle w:val="TextBody"/>
        <w:spacing w:before="0" w:after="0"/>
        <w:jc w:val="center"/>
        <w:rPr>
          <w:u w:val="single"/>
        </w:rPr>
      </w:pPr>
      <w:bookmarkStart w:id="33" w:name="c44492_ex10-9.htm"/>
      <w:bookmarkStart w:id="34" w:name="ksc44492_ex109"/>
      <w:bookmarkEnd w:id="33"/>
      <w:bookmarkEnd w:id="34"/>
      <w:r>
        <w:rPr>
          <w:u w:val="single"/>
        </w:rPr>
        <w:t>Exhibit 10.9</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b/>
        </w:rPr>
      </w:pPr>
      <w:r>
        <w:rPr>
          <w:b/>
        </w:rPr>
        <w:t>AMENDMENT TO THE</w:t>
      </w:r>
    </w:p>
    <w:p>
      <w:pPr>
        <w:pStyle w:val="TextBody"/>
        <w:spacing w:before="0" w:after="0"/>
        <w:jc w:val="center"/>
        <w:rPr>
          <w:b/>
        </w:rPr>
      </w:pPr>
      <w:r>
        <w:rPr>
          <w:b/>
        </w:rPr>
        <w:t xml:space="preserve">1993 STOCK PLAN </w:t>
      </w:r>
    </w:p>
    <w:p>
      <w:pPr>
        <w:pStyle w:val="TextBody"/>
        <w:spacing w:before="0" w:after="0"/>
        <w:jc w:val="center"/>
        <w:rPr>
          <w:b/>
        </w:rPr>
      </w:pPr>
      <w:r>
        <w:rPr>
          <w:b/>
        </w:rPr>
        <w:t xml:space="preserve">FOR </w:t>
      </w:r>
    </w:p>
    <w:p>
      <w:pPr>
        <w:pStyle w:val="TextBody"/>
        <w:spacing w:before="0" w:after="0"/>
        <w:jc w:val="center"/>
        <w:rPr>
          <w:b/>
        </w:rPr>
      </w:pPr>
      <w:r>
        <w:rPr>
          <w:b/>
        </w:rPr>
        <w:t>EMPLOYEES OF</w:t>
      </w:r>
    </w:p>
    <w:p>
      <w:pPr>
        <w:pStyle w:val="TextBody"/>
        <w:spacing w:before="0" w:after="0"/>
        <w:jc w:val="center"/>
        <w:rPr>
          <w:b/>
        </w:rPr>
      </w:pPr>
      <w:r>
        <w:rPr>
          <w:b/>
        </w:rPr>
        <w:t>HONEYWELL INTERNATIONAL INC. AND ITS AFFILIATES</w:t>
      </w:r>
    </w:p>
    <w:p>
      <w:pPr>
        <w:pStyle w:val="TextBody"/>
        <w:spacing w:before="0" w:after="0"/>
        <w:jc w:val="left"/>
        <w:rPr/>
      </w:pPr>
      <w:r>
        <w:rPr/>
        <w:t> </w:t>
      </w:r>
    </w:p>
    <w:p>
      <w:pPr>
        <w:pStyle w:val="TextBody"/>
        <w:spacing w:before="0" w:after="0"/>
        <w:jc w:val="left"/>
        <w:rPr/>
      </w:pPr>
      <w:r>
        <w:rPr/>
        <w:t xml:space="preserve">The 1993 Stock Plan for Employees of Honeywell International Inc. and Its Affiliates (the Plan) is hereby amended effective December 8, 2006, by replacing Section 17 of the Plan in its entirety with the following paragraph: </w:t>
      </w:r>
    </w:p>
    <w:p>
      <w:pPr>
        <w:pStyle w:val="TextBody"/>
        <w:spacing w:before="0" w:after="0"/>
        <w:jc w:val="left"/>
        <w:rPr/>
      </w:pPr>
      <w:r>
        <w:rPr/>
        <w:t> </w:t>
      </w:r>
    </w:p>
    <w:tbl>
      <w:tblPr>
        <w:tblW w:w="3700" w:type="pct"/>
        <w:jc w:val="left"/>
        <w:tblInd w:w="0" w:type="dxa"/>
        <w:tblCellMar>
          <w:top w:w="0" w:type="dxa"/>
          <w:left w:w="0" w:type="dxa"/>
          <w:bottom w:w="0" w:type="dxa"/>
          <w:right w:w="0" w:type="dxa"/>
        </w:tblCellMar>
      </w:tblPr>
      <w:tblGrid>
        <w:gridCol w:w="1525"/>
        <w:gridCol w:w="762"/>
        <w:gridCol w:w="5264"/>
      </w:tblGrid>
      <w:tr>
        <w:trPr/>
        <w:tc>
          <w:tcPr>
            <w:tcW w:w="1525" w:type="dxa"/>
            <w:tcBorders/>
            <w:shd w:fill="auto" w:val="clear"/>
          </w:tcPr>
          <w:p>
            <w:pPr>
              <w:pStyle w:val="TableContents"/>
              <w:spacing w:before="0" w:after="240"/>
              <w:ind w:left="0" w:right="0" w:hanging="0"/>
              <w:jc w:val="left"/>
              <w:rPr/>
            </w:pPr>
            <w:r>
              <w:rPr/>
              <w:t> </w:t>
            </w:r>
          </w:p>
        </w:tc>
        <w:tc>
          <w:tcPr>
            <w:tcW w:w="762" w:type="dxa"/>
            <w:tcBorders/>
            <w:shd w:fill="auto" w:val="clear"/>
          </w:tcPr>
          <w:p>
            <w:pPr>
              <w:pStyle w:val="TableContents"/>
              <w:spacing w:before="0" w:after="0"/>
              <w:ind w:left="0" w:right="0" w:hanging="0"/>
              <w:jc w:val="left"/>
              <w:rPr/>
            </w:pPr>
            <w:r>
              <w:rPr/>
              <w:t></w:t>
            </w:r>
            <w:r>
              <w:rPr>
                <w:b/>
              </w:rPr>
              <w:t>17.</w:t>
            </w:r>
          </w:p>
        </w:tc>
        <w:tc>
          <w:tcPr>
            <w:tcW w:w="5264" w:type="dxa"/>
            <w:tcBorders/>
            <w:shd w:fill="auto" w:val="clear"/>
          </w:tcPr>
          <w:p>
            <w:pPr>
              <w:pStyle w:val="TableContents"/>
              <w:spacing w:before="0" w:after="0"/>
              <w:ind w:left="0" w:right="0" w:hanging="0"/>
              <w:jc w:val="left"/>
              <w:rPr>
                <w:b/>
              </w:rPr>
            </w:pPr>
            <w:r>
              <w:rPr>
                <w:b/>
              </w:rPr>
              <w:t>Adjustment Upon Changes in Capitalization</w:t>
            </w:r>
          </w:p>
        </w:tc>
      </w:tr>
    </w:tbl>
    <w:p>
      <w:pPr>
        <w:pStyle w:val="TextBody"/>
        <w:spacing w:before="0" w:after="240"/>
        <w:jc w:val="left"/>
        <w:rPr/>
      </w:pPr>
      <w:r>
        <w:rPr/>
        <w:t>Notwithstanding any other provision of the 1993 Plan, the Committee shall make or provide for equitable adjustments to the 1993 Plan, to any outstanding Awards and to the number and class of Shares as to which Awards may be granted to any employee over any three-year period, to all employees through April 25, 2003 and as Incentive Stock Options in any year, and shall make equitable adjustments to any outstanding Awards to prevent dilution or enlargement of rights, including adjustments in the event of distributions to holders of Common stock (other than normal cash dividends), changes in the outstanding Common Stock by reason of stock dividends, stock splits, recapitalizations, mergers, consolidations, combinations or exchanges of Shares, separations, reorganizations, liquidations and the like. In the event of any offer to holders of Common Stock generally relating to the acquisition of their Shares, the Committee shall make equitable adjustment in respect of outstanding Awards including revision of outstanding Stock Options, Rights and Units so that they may be exercisable for or payable in the consideration payable in the acquisition transaction. Any such determination by the Committee shall be conclusive.</w:t>
      </w:r>
    </w:p>
    <w:p>
      <w:pPr>
        <w:pStyle w:val="TextBody"/>
        <w:spacing w:before="0" w:after="0"/>
        <w:jc w:val="left"/>
        <w:rPr/>
      </w:pPr>
      <w:r>
        <w:rPr/>
        <w:t> </w:t>
      </w:r>
    </w:p>
    <w:p>
      <w:pPr>
        <w:pStyle w:val="HorizontalLine"/>
        <w:pBdr>
          <w:bottom w:val="single" w:sz="20" w:space="0" w:color="808080"/>
        </w:pBdr>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r>
        <w:br w:type="page"/>
      </w:r>
    </w:p>
    <w:p>
      <w:pPr>
        <w:pStyle w:val="TextBody"/>
        <w:jc w:val="right"/>
        <w:rPr>
          <w:rFonts w:ascii="serif" w:hAnsi="serif"/>
          <w:u w:val="single"/>
        </w:rPr>
      </w:pPr>
      <w:bookmarkStart w:id="35" w:name="c44492_ex10-22.htm"/>
      <w:bookmarkStart w:id="36" w:name="ksc44492_ex1022"/>
      <w:bookmarkEnd w:id="35"/>
      <w:bookmarkEnd w:id="36"/>
      <w:r>
        <w:rPr>
          <w:rFonts w:ascii="serif" w:hAnsi="serif"/>
          <w:u w:val="single"/>
        </w:rPr>
        <w:t>Exhibit 10.22</w:t>
      </w:r>
    </w:p>
    <w:p>
      <w:pPr>
        <w:pStyle w:val="TextBody"/>
        <w:jc w:val="center"/>
        <w:rPr>
          <w:rFonts w:ascii="serif" w:hAnsi="serif"/>
          <w:b/>
          <w:u w:val="single"/>
        </w:rPr>
      </w:pPr>
      <w:r>
        <w:rPr>
          <w:rFonts w:ascii="serif" w:hAnsi="serif"/>
          <w:b/>
          <w:u w:val="single"/>
        </w:rPr>
        <w:t>DEFERRED COMPENSATION AGREEMENT</w:t>
      </w:r>
    </w:p>
    <w:p>
      <w:pPr>
        <w:pStyle w:val="TextBody"/>
        <w:rPr/>
      </w:pPr>
      <w:r>
        <w:rPr/>
        <w:t>       </w:t>
      </w:r>
      <w:r>
        <w:rPr>
          <w:rFonts w:ascii="serif" w:hAnsi="serif"/>
        </w:rPr>
        <w:t>This Agreement is made and entered into this 4</w:t>
      </w:r>
      <w:r>
        <w:rPr>
          <w:rFonts w:ascii="serif" w:hAnsi="serif"/>
          <w:position w:val="8"/>
          <w:sz w:val="19"/>
        </w:rPr>
        <w:t>th</w:t>
      </w:r>
      <w:r>
        <w:rPr/>
        <w:t xml:space="preserve"> </w:t>
      </w:r>
      <w:r>
        <w:rPr>
          <w:rFonts w:ascii="serif" w:hAnsi="serif"/>
        </w:rPr>
        <w:t xml:space="preserve">day of August 2006, by and between </w:t>
      </w:r>
    </w:p>
    <w:p>
      <w:pPr>
        <w:pStyle w:val="TextBody"/>
        <w:rPr/>
      </w:pPr>
      <w:r>
        <w:rPr/>
        <w:t>       </w:t>
      </w:r>
      <w:r>
        <w:rPr>
          <w:rFonts w:ascii="serif" w:hAnsi="serif"/>
        </w:rPr>
        <w:t>Honeywell International Inc. (Honeywell), and David M. Cote (Executive).</w:t>
      </w:r>
    </w:p>
    <w:p>
      <w:pPr>
        <w:pStyle w:val="TextBody"/>
        <w:rPr/>
      </w:pPr>
      <w:r>
        <w:rPr/>
        <w:t>       </w:t>
      </w:r>
      <w:r>
        <w:rPr>
          <w:rFonts w:ascii="serif" w:hAnsi="serif"/>
          <w:b/>
        </w:rPr>
        <w:t>WHEREAS,</w:t>
      </w:r>
      <w:r>
        <w:rPr/>
        <w:t xml:space="preserve"> </w:t>
      </w:r>
      <w:r>
        <w:rPr>
          <w:rFonts w:ascii="serif" w:hAnsi="serif"/>
        </w:rPr>
        <w:t>Honeywell highly values the efforts of Executive and wishes to assist Executive with his personal life insurance program,</w:t>
      </w:r>
    </w:p>
    <w:p>
      <w:pPr>
        <w:pStyle w:val="TextBody"/>
        <w:rPr/>
      </w:pPr>
      <w:r>
        <w:rPr/>
        <w:t>       </w:t>
      </w:r>
      <w:r>
        <w:rPr>
          <w:rFonts w:ascii="serif" w:hAnsi="serif"/>
          <w:b/>
        </w:rPr>
        <w:t>WHEREAS,</w:t>
      </w:r>
      <w:r>
        <w:rPr/>
        <w:t xml:space="preserve"> </w:t>
      </w:r>
      <w:r>
        <w:rPr>
          <w:rFonts w:ascii="serif" w:hAnsi="serif"/>
        </w:rPr>
        <w:t>Honeywell is obligated to provide Executive with life insurance coverage in the amount of $10,000,000 under the terms of Executives Employment Agreement dated February 18, 2002 (the Employment Agreement), and</w:t>
      </w:r>
    </w:p>
    <w:p>
      <w:pPr>
        <w:pStyle w:val="TextBody"/>
        <w:rPr/>
      </w:pPr>
      <w:r>
        <w:rPr/>
        <w:t>       </w:t>
      </w:r>
      <w:r>
        <w:rPr>
          <w:rFonts w:ascii="serif" w:hAnsi="serif"/>
          <w:b/>
        </w:rPr>
        <w:t>WHEREAS,</w:t>
      </w:r>
      <w:r>
        <w:rPr/>
        <w:t xml:space="preserve"> </w:t>
      </w:r>
      <w:r>
        <w:rPr>
          <w:rFonts w:ascii="serif" w:hAnsi="serif"/>
        </w:rPr>
        <w:t>Honeywell and Executive agree that Honeywell satisfies its obligation to Executive for the life insurance coverage by providing Executive with an annual amount so that Executive can pay premiums for a personal life insurance policy.</w:t>
      </w:r>
    </w:p>
    <w:p>
      <w:pPr>
        <w:pStyle w:val="TextBody"/>
        <w:rPr/>
      </w:pPr>
      <w:r>
        <w:rPr/>
        <w:t>       </w:t>
      </w:r>
      <w:r>
        <w:rPr>
          <w:rFonts w:ascii="serif" w:hAnsi="serif"/>
          <w:b/>
        </w:rPr>
        <w:t>NOW, THEREFORE,</w:t>
      </w:r>
      <w:r>
        <w:rPr/>
        <w:t xml:space="preserve"> </w:t>
      </w:r>
      <w:r>
        <w:rPr>
          <w:rFonts w:ascii="serif" w:hAnsi="serif"/>
        </w:rPr>
        <w:t xml:space="preserve">the parties named above agree as follows: </w:t>
      </w:r>
    </w:p>
    <w:tbl>
      <w:tblPr>
        <w:tblW w:w="17625" w:type="dxa"/>
        <w:jc w:val="left"/>
        <w:tblInd w:w="0" w:type="dxa"/>
        <w:tblCellMar>
          <w:top w:w="0" w:type="dxa"/>
          <w:left w:w="0" w:type="dxa"/>
          <w:bottom w:w="0" w:type="dxa"/>
          <w:right w:w="0" w:type="dxa"/>
        </w:tblCellMar>
      </w:tblPr>
      <w:tblGrid>
        <w:gridCol w:w="170"/>
        <w:gridCol w:w="245"/>
        <w:gridCol w:w="17210"/>
      </w:tblGrid>
      <w:tr>
        <w:trPr/>
        <w:tc>
          <w:tcPr>
            <w:tcW w:w="170" w:type="dxa"/>
            <w:tcBorders/>
            <w:shd w:fill="auto" w:val="clear"/>
          </w:tcPr>
          <w:p>
            <w:pPr>
              <w:pStyle w:val="TableContents"/>
              <w:spacing w:before="0" w:after="283"/>
              <w:rPr>
                <w:rFonts w:ascii="serif" w:hAnsi="serif"/>
              </w:rPr>
            </w:pPr>
            <w:r>
              <w:rPr>
                <w:rFonts w:ascii="serif" w:hAnsi="serif"/>
              </w:rPr>
              <w:t>1.</w:t>
            </w:r>
          </w:p>
        </w:tc>
        <w:tc>
          <w:tcPr>
            <w:tcW w:w="17455" w:type="dxa"/>
            <w:gridSpan w:val="2"/>
            <w:tcBorders/>
            <w:shd w:fill="auto" w:val="clear"/>
          </w:tcPr>
          <w:p>
            <w:pPr>
              <w:pStyle w:val="TableContents"/>
              <w:spacing w:before="0" w:after="283"/>
              <w:rPr/>
            </w:pPr>
            <w:r>
              <w:rPr>
                <w:rFonts w:ascii="serif" w:hAnsi="serif"/>
                <w:u w:val="single"/>
              </w:rPr>
              <w:t>The Policy</w:t>
            </w:r>
            <w:r>
              <w:rPr>
                <w:rFonts w:ascii="serif" w:hAnsi="serif"/>
              </w:rPr>
              <w:t xml:space="preserve">. Executive owns a policy of insurance on the joint lives of Executive and his wife, Linda Cote (Co-insured), issued by the Pacific Life Insurance Company (the Insurer) and designated as Policy Number VF51472790. </w:t>
            </w:r>
          </w:p>
        </w:tc>
      </w:tr>
      <w:tr>
        <w:trPr/>
        <w:tc>
          <w:tcPr>
            <w:tcW w:w="170" w:type="dxa"/>
            <w:tcBorders/>
            <w:shd w:fill="auto" w:val="clear"/>
            <w:vAlign w:val="center"/>
          </w:tcPr>
          <w:p>
            <w:pPr>
              <w:pStyle w:val="TableContents"/>
              <w:spacing w:before="0" w:after="283"/>
              <w:rPr/>
            </w:pPr>
            <w:r>
              <w:rPr/>
              <w:t> </w:t>
            </w:r>
          </w:p>
        </w:tc>
        <w:tc>
          <w:tcPr>
            <w:tcW w:w="245" w:type="dxa"/>
            <w:tcBorders/>
            <w:shd w:fill="auto" w:val="clear"/>
          </w:tcPr>
          <w:p>
            <w:pPr>
              <w:pStyle w:val="TableContents"/>
              <w:spacing w:before="0" w:after="283"/>
              <w:rPr/>
            </w:pPr>
            <w:r>
              <w:rPr/>
              <w:t> </w:t>
            </w:r>
          </w:p>
        </w:tc>
        <w:tc>
          <w:tcPr>
            <w:tcW w:w="17210" w:type="dxa"/>
            <w:tcBorders/>
            <w:shd w:fill="auto" w:val="clear"/>
          </w:tcPr>
          <w:p>
            <w:pPr>
              <w:pStyle w:val="TableContents"/>
              <w:spacing w:before="0" w:after="283"/>
              <w:rPr/>
            </w:pPr>
            <w:r>
              <w:rPr/>
              <w:t> </w:t>
            </w:r>
          </w:p>
        </w:tc>
      </w:tr>
      <w:tr>
        <w:trPr/>
        <w:tc>
          <w:tcPr>
            <w:tcW w:w="170" w:type="dxa"/>
            <w:tcBorders/>
            <w:shd w:fill="auto" w:val="clear"/>
            <w:vAlign w:val="center"/>
          </w:tcPr>
          <w:p>
            <w:pPr>
              <w:pStyle w:val="TableContents"/>
              <w:spacing w:before="0" w:after="283"/>
              <w:rPr>
                <w:rFonts w:ascii="serif" w:hAnsi="serif"/>
              </w:rPr>
            </w:pPr>
            <w:r>
              <w:rPr>
                <w:rFonts w:ascii="serif" w:hAnsi="serif"/>
              </w:rPr>
              <w:t>2.</w:t>
            </w:r>
          </w:p>
        </w:tc>
        <w:tc>
          <w:tcPr>
            <w:tcW w:w="17455" w:type="dxa"/>
            <w:gridSpan w:val="2"/>
            <w:tcBorders/>
            <w:shd w:fill="auto" w:val="clear"/>
          </w:tcPr>
          <w:p>
            <w:pPr>
              <w:pStyle w:val="TableContents"/>
              <w:spacing w:before="0" w:after="283"/>
              <w:rPr/>
            </w:pPr>
            <w:r>
              <w:rPr>
                <w:rFonts w:ascii="serif" w:hAnsi="serif"/>
                <w:u w:val="single"/>
              </w:rPr>
              <w:t>Definitions</w:t>
            </w:r>
            <w:r>
              <w:rPr>
                <w:rFonts w:ascii="serif" w:hAnsi="serif"/>
              </w:rPr>
              <w:t xml:space="preserve">. For purposes of this Agreement, the following terms have the meanings set forth below: </w:t>
            </w:r>
          </w:p>
        </w:tc>
      </w:tr>
      <w:tr>
        <w:trPr/>
        <w:tc>
          <w:tcPr>
            <w:tcW w:w="170" w:type="dxa"/>
            <w:tcBorders/>
            <w:shd w:fill="auto" w:val="clear"/>
            <w:vAlign w:val="center"/>
          </w:tcPr>
          <w:p>
            <w:pPr>
              <w:pStyle w:val="TableContents"/>
              <w:spacing w:before="0" w:after="283"/>
              <w:rPr/>
            </w:pPr>
            <w:r>
              <w:rPr/>
              <w:t> </w:t>
            </w:r>
          </w:p>
        </w:tc>
        <w:tc>
          <w:tcPr>
            <w:tcW w:w="245" w:type="dxa"/>
            <w:tcBorders/>
            <w:shd w:fill="auto" w:val="clear"/>
          </w:tcPr>
          <w:p>
            <w:pPr>
              <w:pStyle w:val="TableContents"/>
              <w:spacing w:before="0" w:after="283"/>
              <w:rPr/>
            </w:pPr>
            <w:r>
              <w:rPr/>
              <w:t> </w:t>
            </w:r>
          </w:p>
        </w:tc>
        <w:tc>
          <w:tcPr>
            <w:tcW w:w="17210" w:type="dxa"/>
            <w:tcBorders/>
            <w:shd w:fill="auto" w:val="clear"/>
          </w:tcPr>
          <w:p>
            <w:pPr>
              <w:pStyle w:val="TableContents"/>
              <w:spacing w:before="0" w:after="283"/>
              <w:rPr/>
            </w:pPr>
            <w:r>
              <w:rPr/>
              <w:t> </w:t>
            </w:r>
          </w:p>
        </w:tc>
      </w:tr>
      <w:tr>
        <w:trPr/>
        <w:tc>
          <w:tcPr>
            <w:tcW w:w="170" w:type="dxa"/>
            <w:tcBorders/>
            <w:shd w:fill="auto" w:val="clear"/>
            <w:vAlign w:val="center"/>
          </w:tcPr>
          <w:p>
            <w:pPr>
              <w:pStyle w:val="TableContents"/>
              <w:spacing w:before="0" w:after="283"/>
              <w:rPr/>
            </w:pPr>
            <w:r>
              <w:rPr/>
              <w:t> </w:t>
            </w:r>
          </w:p>
        </w:tc>
        <w:tc>
          <w:tcPr>
            <w:tcW w:w="245" w:type="dxa"/>
            <w:tcBorders/>
            <w:shd w:fill="auto" w:val="clear"/>
          </w:tcPr>
          <w:p>
            <w:pPr>
              <w:pStyle w:val="TableContents"/>
              <w:spacing w:before="0" w:after="283"/>
              <w:rPr>
                <w:rFonts w:ascii="serif" w:hAnsi="serif"/>
              </w:rPr>
            </w:pPr>
            <w:r>
              <w:rPr>
                <w:rFonts w:ascii="serif" w:hAnsi="serif"/>
              </w:rPr>
              <w:t>a.</w:t>
            </w:r>
          </w:p>
        </w:tc>
        <w:tc>
          <w:tcPr>
            <w:tcW w:w="17210" w:type="dxa"/>
            <w:tcBorders/>
            <w:shd w:fill="auto" w:val="clear"/>
          </w:tcPr>
          <w:p>
            <w:pPr>
              <w:pStyle w:val="TableContents"/>
              <w:spacing w:before="0" w:after="283"/>
              <w:rPr/>
            </w:pPr>
            <w:r>
              <w:rPr>
                <w:rFonts w:ascii="serif" w:hAnsi="serif"/>
              </w:rPr>
              <w:t>Administrator refers to the Senior Vice President, Human Resources and Communications of Honeywell, or any successor position thereto.</w:t>
            </w:r>
            <w:r>
              <w:rPr/>
              <w:t xml:space="preserve"> </w:t>
            </w:r>
          </w:p>
        </w:tc>
      </w:tr>
      <w:tr>
        <w:trPr/>
        <w:tc>
          <w:tcPr>
            <w:tcW w:w="17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pPr>
            <w:r>
              <w:rPr/>
              <w:t> </w:t>
            </w:r>
          </w:p>
        </w:tc>
        <w:tc>
          <w:tcPr>
            <w:tcW w:w="17210" w:type="dxa"/>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serif" w:hAnsi="serif"/>
              </w:rPr>
            </w:pPr>
            <w:r>
              <w:rPr>
                <w:rFonts w:ascii="serif" w:hAnsi="serif"/>
              </w:rPr>
              <w:t>b.</w:t>
            </w:r>
          </w:p>
        </w:tc>
        <w:tc>
          <w:tcPr>
            <w:tcW w:w="17210" w:type="dxa"/>
            <w:tcBorders/>
            <w:shd w:fill="auto" w:val="clear"/>
            <w:vAlign w:val="center"/>
          </w:tcPr>
          <w:p>
            <w:pPr>
              <w:pStyle w:val="TableContents"/>
              <w:spacing w:before="0" w:after="283"/>
              <w:rPr>
                <w:rFonts w:ascii="serif" w:hAnsi="serif"/>
              </w:rPr>
            </w:pPr>
            <w:r>
              <w:rPr>
                <w:rFonts w:ascii="serif" w:hAnsi="serif"/>
              </w:rPr>
              <w:t>Agreement means, this Agreement, as maybe amended from time to time in accordance with the terms of this Agreement.</w:t>
            </w:r>
          </w:p>
        </w:tc>
      </w:tr>
      <w:tr>
        <w:trPr/>
        <w:tc>
          <w:tcPr>
            <w:tcW w:w="17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pPr>
            <w:r>
              <w:rPr/>
              <w:t> </w:t>
            </w:r>
          </w:p>
        </w:tc>
        <w:tc>
          <w:tcPr>
            <w:tcW w:w="17210" w:type="dxa"/>
            <w:tcBorders/>
            <w:shd w:fill="auto" w:val="clear"/>
            <w:vAlign w:val="center"/>
          </w:tcPr>
          <w:p>
            <w:pPr>
              <w:pStyle w:val="TableContents"/>
              <w:spacing w:before="0" w:after="283"/>
              <w:rPr/>
            </w:pPr>
            <w:r>
              <w:rPr/>
              <w:t> </w:t>
            </w:r>
          </w:p>
        </w:tc>
      </w:tr>
      <w:tr>
        <w:trPr/>
        <w:tc>
          <w:tcPr>
            <w:tcW w:w="17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serif" w:hAnsi="serif"/>
              </w:rPr>
            </w:pPr>
            <w:r>
              <w:rPr>
                <w:rFonts w:ascii="serif" w:hAnsi="serif"/>
              </w:rPr>
              <w:t>c.</w:t>
            </w:r>
          </w:p>
        </w:tc>
        <w:tc>
          <w:tcPr>
            <w:tcW w:w="17210" w:type="dxa"/>
            <w:tcBorders/>
            <w:shd w:fill="auto" w:val="clear"/>
            <w:vAlign w:val="center"/>
          </w:tcPr>
          <w:p>
            <w:pPr>
              <w:pStyle w:val="TableContents"/>
              <w:spacing w:before="0" w:after="283"/>
              <w:rPr>
                <w:rFonts w:ascii="serif" w:hAnsi="serif"/>
              </w:rPr>
            </w:pPr>
            <w:r>
              <w:rPr>
                <w:rFonts w:ascii="serif" w:hAnsi="serif"/>
              </w:rPr>
              <w:t>Annual Payment means, $124,000.</w:t>
            </w:r>
          </w:p>
        </w:tc>
      </w:tr>
    </w:tbl>
    <w:p>
      <w:pPr>
        <w:pStyle w:val="TextBody"/>
        <w:spacing w:before="0" w:after="0"/>
        <w:rPr/>
      </w:pPr>
      <w:r>
        <w:rPr/>
      </w:r>
    </w:p>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pageBreakBefore/>
              <w:spacing w:before="0" w:after="283"/>
              <w:rPr/>
            </w:pPr>
            <w:r>
              <w:rPr/>
              <w:t> </w:t>
            </w:r>
          </w:p>
        </w:tc>
        <w:tc>
          <w:tcPr>
            <w:tcW w:w="306" w:type="dxa"/>
            <w:tcBorders/>
            <w:shd w:fill="auto" w:val="clear"/>
          </w:tcPr>
          <w:p>
            <w:pPr>
              <w:pStyle w:val="TableContents"/>
              <w:spacing w:before="0" w:after="283"/>
              <w:rPr/>
            </w:pPr>
            <w:r>
              <w:rPr/>
              <w:t>d.</w:t>
            </w:r>
          </w:p>
        </w:tc>
        <w:tc>
          <w:tcPr>
            <w:tcW w:w="9594" w:type="dxa"/>
            <w:tcBorders/>
            <w:shd w:fill="auto" w:val="clear"/>
          </w:tcPr>
          <w:p>
            <w:pPr>
              <w:pStyle w:val="TableContents"/>
              <w:spacing w:before="0" w:after="283"/>
              <w:rPr>
                <w:rFonts w:ascii="serif" w:hAnsi="serif"/>
              </w:rPr>
            </w:pPr>
            <w:r>
              <w:rPr>
                <w:rFonts w:ascii="serif" w:hAnsi="serif"/>
              </w:rPr>
              <w:t>Change in Control means, a Change in Control of Honeywell, as defined in the Honeywell International Inc. Severance Plan for Senior Executives at the time the Change in Control occurs. If such definition does not comply with the requirements of Internal Revenue Code section 409A, Change in Control has the meaning ascribed to the phrase Change in the Ownership or Effective Control of a Corporation or in the Ownership of a Substantial Portion of the Assets of a Corporation under Treasury Department Proposed Regulation 1.409A-3(g)(5), as revised from time to time in either subsequent proposed or final regulations.</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e.</w:t>
            </w:r>
          </w:p>
        </w:tc>
        <w:tc>
          <w:tcPr>
            <w:tcW w:w="9594" w:type="dxa"/>
            <w:tcBorders/>
            <w:shd w:fill="auto" w:val="clear"/>
          </w:tcPr>
          <w:p>
            <w:pPr>
              <w:pStyle w:val="TableContents"/>
              <w:spacing w:before="0" w:after="283"/>
              <w:rPr>
                <w:rFonts w:ascii="serif" w:hAnsi="serif"/>
              </w:rPr>
            </w:pPr>
            <w:r>
              <w:rPr>
                <w:rFonts w:ascii="serif" w:hAnsi="serif"/>
              </w:rPr>
              <w:t>Policy means, the policy of insurance which shall provide $10,000,000 to the beneficiary or beneficiaries of the survivor of Executive and Co-insured for a period of 48 policy years, which policy is owned by Executive. For purposes of this Agreement, Honeywell and Executive agree that the Policy meets the requirements for life insurance coverage set forth in the Employment Agreement.</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f.</w:t>
            </w:r>
          </w:p>
        </w:tc>
        <w:tc>
          <w:tcPr>
            <w:tcW w:w="9594" w:type="dxa"/>
            <w:tcBorders/>
            <w:shd w:fill="auto" w:val="clear"/>
          </w:tcPr>
          <w:p>
            <w:pPr>
              <w:pStyle w:val="TableContents"/>
              <w:spacing w:before="0" w:after="283"/>
              <w:rPr>
                <w:rFonts w:ascii="serif" w:hAnsi="serif"/>
              </w:rPr>
            </w:pPr>
            <w:r>
              <w:rPr>
                <w:rFonts w:ascii="serif" w:hAnsi="serif"/>
              </w:rPr>
              <w:t>Premium means, with respect to the Policy, the annual amount paid by Executive or Co-insured following Executives death to the Insurer for the Policy.</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g.</w:t>
            </w:r>
          </w:p>
        </w:tc>
        <w:tc>
          <w:tcPr>
            <w:tcW w:w="9594" w:type="dxa"/>
            <w:tcBorders/>
            <w:shd w:fill="auto" w:val="clear"/>
          </w:tcPr>
          <w:p>
            <w:pPr>
              <w:pStyle w:val="TableContents"/>
              <w:spacing w:before="0" w:after="283"/>
              <w:rPr>
                <w:rFonts w:ascii="serif" w:hAnsi="serif"/>
              </w:rPr>
            </w:pPr>
            <w:r>
              <w:rPr>
                <w:rFonts w:ascii="serif" w:hAnsi="serif"/>
              </w:rPr>
              <w:t>Terminated for Cause means, a determination made by the Board of Directors of Honeywell, at a hearing which Executive may attend, that Executive has been terminated for cause, as that term is defined in the Employment Agreement at the time the hearing occurs.</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w:t>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h.</w:t>
            </w:r>
          </w:p>
        </w:tc>
        <w:tc>
          <w:tcPr>
            <w:tcW w:w="9594" w:type="dxa"/>
            <w:tcBorders/>
            <w:shd w:fill="auto" w:val="clear"/>
          </w:tcPr>
          <w:p>
            <w:pPr>
              <w:pStyle w:val="TableContents"/>
              <w:spacing w:before="0" w:after="283"/>
              <w:rPr>
                <w:rFonts w:ascii="serif" w:hAnsi="serif"/>
              </w:rPr>
            </w:pPr>
            <w:r>
              <w:rPr>
                <w:rFonts w:ascii="serif" w:hAnsi="serif"/>
              </w:rPr>
              <w:t>Vested Executive means, Executive if he has attained age 55 or older, has five or more years of Vesting Service (as defined in the Honeywell Retirement Earnings Plan), and has been the Chief Executive Officer of Honeywell for at least three years; provided that in the sole discretion of the Board of Directors of Honeywell, if Executive is not age 55, has</w:t>
            </w:r>
          </w:p>
        </w:tc>
      </w:tr>
    </w:tbl>
    <w:p>
      <w:pPr>
        <w:pStyle w:val="TextBody"/>
        <w:spacing w:before="0" w:after="0"/>
        <w:rPr/>
      </w:pPr>
      <w:r>
        <w:rPr/>
      </w:r>
    </w:p>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306"/>
        <w:gridCol w:w="306"/>
        <w:gridCol w:w="9593"/>
      </w:tblGrid>
      <w:tr>
        <w:trPr/>
        <w:tc>
          <w:tcPr>
            <w:tcW w:w="306" w:type="dxa"/>
            <w:tcBorders/>
            <w:shd w:fill="auto" w:val="clear"/>
            <w:vAlign w:val="center"/>
          </w:tcPr>
          <w:p>
            <w:pPr>
              <w:pStyle w:val="TableContents"/>
              <w:pageBreakBefore/>
              <w:spacing w:before="0" w:after="283"/>
              <w:rPr/>
            </w:pPr>
            <w:r>
              <w:rPr/>
              <w:t> </w:t>
            </w:r>
          </w:p>
        </w:tc>
        <w:tc>
          <w:tcPr>
            <w:tcW w:w="306" w:type="dxa"/>
            <w:tcBorders/>
            <w:shd w:fill="auto" w:val="clear"/>
            <w:vAlign w:val="center"/>
          </w:tcPr>
          <w:p>
            <w:pPr>
              <w:pStyle w:val="TableContents"/>
              <w:spacing w:before="0" w:after="283"/>
              <w:rPr/>
            </w:pPr>
            <w:r>
              <w:rPr/>
              <w:t> </w:t>
            </w:r>
          </w:p>
        </w:tc>
        <w:tc>
          <w:tcPr>
            <w:tcW w:w="9593" w:type="dxa"/>
            <w:tcBorders/>
            <w:shd w:fill="auto" w:val="clear"/>
            <w:vAlign w:val="center"/>
          </w:tcPr>
          <w:p>
            <w:pPr>
              <w:pStyle w:val="TableContents"/>
              <w:spacing w:before="0" w:after="283"/>
              <w:rPr>
                <w:rFonts w:ascii="serif" w:hAnsi="serif"/>
              </w:rPr>
            </w:pPr>
            <w:r>
              <w:rPr>
                <w:rFonts w:ascii="serif" w:hAnsi="serif"/>
              </w:rPr>
              <w:t>fewer than five years of Vesting Service or has not been Chief Executive Officer of Honeywell for at least three years, Executive may be designated as a Vested Executive for the limited purpose of this Agreement. Notwithstanding the foregoing, Executive shall not be treated as a Vested Executive if Executive is Terminated for Cause.</w:t>
            </w:r>
          </w:p>
        </w:tc>
      </w:tr>
      <w:tr>
        <w:trPr/>
        <w:tc>
          <w:tcPr>
            <w:tcW w:w="306" w:type="dxa"/>
            <w:tcBorders/>
            <w:shd w:fill="auto" w:val="clear"/>
          </w:tcPr>
          <w:p>
            <w:pPr>
              <w:pStyle w:val="TableContents"/>
              <w:spacing w:before="0" w:after="283"/>
              <w:rPr/>
            </w:pPr>
            <w:r>
              <w:rPr/>
              <w:t> </w:t>
            </w:r>
          </w:p>
        </w:tc>
        <w:tc>
          <w:tcPr>
            <w:tcW w:w="9899" w:type="dxa"/>
            <w:gridSpan w:val="2"/>
            <w:tcBorders/>
            <w:shd w:fill="auto" w:val="clear"/>
            <w:vAlign w:val="center"/>
          </w:tcPr>
          <w:p>
            <w:pPr>
              <w:pStyle w:val="TableContents"/>
              <w:spacing w:before="0" w:after="283"/>
              <w:rPr/>
            </w:pPr>
            <w:r>
              <w:rPr/>
              <w:t> </w:t>
            </w:r>
          </w:p>
        </w:tc>
      </w:tr>
      <w:tr>
        <w:trPr/>
        <w:tc>
          <w:tcPr>
            <w:tcW w:w="306" w:type="dxa"/>
            <w:tcBorders/>
            <w:shd w:fill="auto" w:val="clear"/>
          </w:tcPr>
          <w:p>
            <w:pPr>
              <w:pStyle w:val="TableContents"/>
              <w:spacing w:before="0" w:after="283"/>
              <w:rPr>
                <w:rFonts w:ascii="serif" w:hAnsi="serif"/>
              </w:rPr>
            </w:pPr>
            <w:r>
              <w:rPr>
                <w:rFonts w:ascii="serif" w:hAnsi="serif"/>
              </w:rPr>
              <w:t>3.</w:t>
            </w:r>
          </w:p>
        </w:tc>
        <w:tc>
          <w:tcPr>
            <w:tcW w:w="9899" w:type="dxa"/>
            <w:gridSpan w:val="2"/>
            <w:tcBorders/>
            <w:shd w:fill="auto" w:val="clear"/>
            <w:vAlign w:val="center"/>
          </w:tcPr>
          <w:p>
            <w:pPr>
              <w:pStyle w:val="TableContents"/>
              <w:spacing w:before="0" w:after="283"/>
              <w:rPr/>
            </w:pPr>
            <w:r>
              <w:rPr>
                <w:rFonts w:ascii="serif" w:hAnsi="serif"/>
                <w:u w:val="single"/>
              </w:rPr>
              <w:t>Payment of Annual Payment</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a.</w:t>
            </w:r>
          </w:p>
        </w:tc>
        <w:tc>
          <w:tcPr>
            <w:tcW w:w="9593" w:type="dxa"/>
            <w:tcBorders/>
            <w:shd w:fill="auto" w:val="clear"/>
            <w:vAlign w:val="center"/>
          </w:tcPr>
          <w:p>
            <w:pPr>
              <w:pStyle w:val="TableContents"/>
              <w:spacing w:before="0" w:after="283"/>
              <w:rPr/>
            </w:pPr>
            <w:r>
              <w:rPr>
                <w:rFonts w:ascii="serif" w:hAnsi="serif"/>
                <w:u w:val="single"/>
              </w:rPr>
              <w:t>Payments Before Executives Death</w:t>
            </w:r>
            <w:r>
              <w:rPr>
                <w:rFonts w:ascii="serif" w:hAnsi="serif"/>
              </w:rPr>
              <w:t>. Subject to Sections 5(a), 5(b), 9(a) and 9(b), Honeywell shall pay Executive the Annual Payment no later than January 15</w:t>
            </w:r>
            <w:r>
              <w:rPr>
                <w:rFonts w:ascii="serif" w:hAnsi="serif"/>
                <w:position w:val="8"/>
                <w:sz w:val="19"/>
              </w:rPr>
              <w:t xml:space="preserve">th </w:t>
            </w:r>
            <w:r>
              <w:rPr>
                <w:rFonts w:ascii="serif" w:hAnsi="serif"/>
              </w:rPr>
              <w:t>of each calendar year for which the Annual Payment is due; provided, that for 2006, Honeywell shall pay Executive the Annual Payment no later than August 31, 2006. Honeywell shall tax and report each Annual Payment as wages and shall withhold all applicable federal, state and local taxes from the Annual Payment. Executive shall be solely responsible for paying the net proceeds of the Annual Payment to the Insurer.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b.</w:t>
            </w:r>
          </w:p>
        </w:tc>
        <w:tc>
          <w:tcPr>
            <w:tcW w:w="9593" w:type="dxa"/>
            <w:tcBorders/>
            <w:shd w:fill="auto" w:val="clear"/>
            <w:vAlign w:val="center"/>
          </w:tcPr>
          <w:p>
            <w:pPr>
              <w:pStyle w:val="TableContents"/>
              <w:spacing w:before="0" w:after="283"/>
              <w:rPr/>
            </w:pPr>
            <w:r>
              <w:rPr>
                <w:rFonts w:ascii="serif" w:hAnsi="serif"/>
                <w:u w:val="single"/>
              </w:rPr>
              <w:t>Payments After Executives Death</w:t>
            </w:r>
            <w:r>
              <w:rPr>
                <w:rFonts w:ascii="serif" w:hAnsi="serif"/>
              </w:rPr>
              <w:t>. Subject to Sections 5(a), 5(b), 9(a) and 9(b), if Executive predeceases Co-insured, Honeywell shall pay Co-insured the Annual Payment no later than January 15</w:t>
            </w:r>
            <w:r>
              <w:rPr>
                <w:rFonts w:ascii="serif" w:hAnsi="serif"/>
                <w:position w:val="8"/>
                <w:sz w:val="19"/>
              </w:rPr>
              <w:t xml:space="preserve">th </w:t>
            </w:r>
            <w:r>
              <w:rPr>
                <w:rFonts w:ascii="serif" w:hAnsi="serif"/>
              </w:rPr>
              <w:t>of each calendar year for which the Annual Payment is due.</w:t>
            </w:r>
            <w:r>
              <w:rPr/>
              <w:t xml:space="preserve"> </w:t>
            </w:r>
            <w:r>
              <w:rPr>
                <w:rFonts w:ascii="serif" w:hAnsi="serif"/>
              </w:rPr>
              <w:t>Honeywell shall properly report and withhold all applicable federal, state and local taxes from the Annual Payment. Co-insured shall be solely responsible for paying the net proceeds of the Annual Payment to the Insurer.</w:t>
            </w:r>
          </w:p>
        </w:tc>
      </w:tr>
      <w:tr>
        <w:trPr/>
        <w:tc>
          <w:tcPr>
            <w:tcW w:w="10205" w:type="dxa"/>
            <w:gridSpan w:val="3"/>
            <w:tcBorders/>
            <w:shd w:fill="auto" w:val="clear"/>
            <w:vAlign w:val="center"/>
          </w:tcPr>
          <w:p>
            <w:pPr>
              <w:pStyle w:val="TableContents"/>
              <w:spacing w:before="0" w:after="283"/>
              <w:rPr/>
            </w:pPr>
            <w:r>
              <w:rPr/>
              <w:t> </w:t>
            </w:r>
          </w:p>
        </w:tc>
      </w:tr>
      <w:tr>
        <w:trPr/>
        <w:tc>
          <w:tcPr>
            <w:tcW w:w="3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rPr>
                <w:rFonts w:ascii="serif" w:hAnsi="serif"/>
              </w:rPr>
            </w:pPr>
            <w:r>
              <w:rPr>
                <w:rFonts w:ascii="serif" w:hAnsi="serif"/>
              </w:rPr>
              <w:t>c.</w:t>
            </w:r>
          </w:p>
        </w:tc>
        <w:tc>
          <w:tcPr>
            <w:tcW w:w="9593" w:type="dxa"/>
            <w:tcBorders/>
            <w:shd w:fill="auto" w:val="clear"/>
            <w:vAlign w:val="center"/>
          </w:tcPr>
          <w:p>
            <w:pPr>
              <w:pStyle w:val="TableContents"/>
              <w:spacing w:before="0" w:after="283"/>
              <w:rPr/>
            </w:pPr>
            <w:r>
              <w:rPr>
                <w:rFonts w:ascii="serif" w:hAnsi="serif"/>
                <w:u w:val="single"/>
              </w:rPr>
              <w:t>Additional Payment Provisions</w:t>
            </w:r>
            <w:r>
              <w:rPr>
                <w:rFonts w:ascii="serif" w:hAnsi="serif"/>
              </w:rPr>
              <w:t>. The parties anticipate that the Annual Payment shall be sufficient to allow Executive (or Co-insured) to pay the Premium and to compensate Executive (or Co-insured) for estimated federal, state and local taxes that he or she may incur as a result of this Agreement. If the Annual Payment exceeds the Premium and Executives (or Co-insureds) actual federal, state and local taxes, Executive (or Co-</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306"/>
        <w:gridCol w:w="308"/>
        <w:gridCol w:w="307"/>
        <w:gridCol w:w="308"/>
        <w:gridCol w:w="8976"/>
      </w:tblGrid>
      <w:tr>
        <w:trPr/>
        <w:tc>
          <w:tcPr>
            <w:tcW w:w="306" w:type="dxa"/>
            <w:tcBorders/>
            <w:shd w:fill="auto" w:val="clear"/>
          </w:tcPr>
          <w:p>
            <w:pPr>
              <w:pStyle w:val="TableContents"/>
              <w:pageBreakBefore/>
              <w:spacing w:before="0" w:after="283"/>
              <w:rPr/>
            </w:pPr>
            <w:r>
              <w:rPr/>
              <w:t> </w:t>
            </w:r>
          </w:p>
        </w:tc>
        <w:tc>
          <w:tcPr>
            <w:tcW w:w="308" w:type="dxa"/>
            <w:tcBorders/>
            <w:shd w:fill="auto" w:val="clear"/>
          </w:tcPr>
          <w:p>
            <w:pPr>
              <w:pStyle w:val="TableContents"/>
              <w:spacing w:before="0" w:after="283"/>
              <w:rPr/>
            </w:pPr>
            <w:r>
              <w:rPr/>
              <w:t> </w:t>
            </w:r>
          </w:p>
        </w:tc>
        <w:tc>
          <w:tcPr>
            <w:tcW w:w="9591" w:type="dxa"/>
            <w:gridSpan w:val="3"/>
            <w:tcBorders/>
            <w:shd w:fill="auto" w:val="clear"/>
          </w:tcPr>
          <w:p>
            <w:pPr>
              <w:pStyle w:val="TableContents"/>
              <w:spacing w:before="0" w:after="283"/>
              <w:rPr>
                <w:rFonts w:ascii="serif" w:hAnsi="serif"/>
              </w:rPr>
            </w:pPr>
            <w:r>
              <w:rPr>
                <w:rFonts w:ascii="serif" w:hAnsi="serif"/>
              </w:rPr>
              <w:t>insured) shall retain the difference. If the Annual Payment is less than the Premium and Executives (or Co-insureds) actual federal, state and local taxes, Executive (or Co-insured) shall be solely responsible for the difference.</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591" w:type="dxa"/>
            <w:gridSpan w:val="3"/>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rFonts w:ascii="serif" w:hAnsi="serif"/>
              </w:rPr>
            </w:pPr>
            <w:r>
              <w:rPr>
                <w:rFonts w:ascii="serif" w:hAnsi="serif"/>
              </w:rPr>
              <w:t>4.</w:t>
            </w:r>
          </w:p>
        </w:tc>
        <w:tc>
          <w:tcPr>
            <w:tcW w:w="9899" w:type="dxa"/>
            <w:gridSpan w:val="4"/>
            <w:tcBorders/>
            <w:shd w:fill="auto" w:val="clear"/>
          </w:tcPr>
          <w:p>
            <w:pPr>
              <w:pStyle w:val="TableContents"/>
              <w:spacing w:before="0" w:after="283"/>
              <w:rPr/>
            </w:pPr>
            <w:r>
              <w:rPr>
                <w:rFonts w:ascii="serif" w:hAnsi="serif"/>
                <w:u w:val="single"/>
              </w:rPr>
              <w:t>Policy Ownership</w:t>
            </w:r>
            <w:r>
              <w:rPr>
                <w:rFonts w:ascii="serif" w:hAnsi="serif"/>
              </w:rPr>
              <w:t>. Executive (or Co-insured following Executives death) shall be the owner of the Policy and shall be entitled to exercise all rights of ownership. Honeywell shall have no rights with respect to the Policy.</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591" w:type="dxa"/>
            <w:gridSpan w:val="3"/>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rFonts w:ascii="serif" w:hAnsi="serif"/>
              </w:rPr>
            </w:pPr>
            <w:r>
              <w:rPr>
                <w:rFonts w:ascii="serif" w:hAnsi="serif"/>
              </w:rPr>
              <w:t>5.</w:t>
            </w:r>
          </w:p>
        </w:tc>
        <w:tc>
          <w:tcPr>
            <w:tcW w:w="9899" w:type="dxa"/>
            <w:gridSpan w:val="4"/>
            <w:tcBorders/>
            <w:shd w:fill="auto" w:val="clear"/>
          </w:tcPr>
          <w:p>
            <w:pPr>
              <w:pStyle w:val="TableContents"/>
              <w:spacing w:before="0" w:after="283"/>
              <w:rPr>
                <w:rFonts w:ascii="serif" w:hAnsi="serif"/>
              </w:rPr>
            </w:pPr>
            <w:r>
              <w:rPr>
                <w:rFonts w:ascii="serif" w:hAnsi="serif"/>
                <w:u w:val="single"/>
              </w:rPr>
              <w:t>Termination Events</w:t>
            </w:r>
            <w:r>
              <w:rPr>
                <w:rFonts w:ascii="serif" w:hAnsi="serif"/>
              </w:rPr>
              <w:t>.</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591" w:type="dxa"/>
            <w:gridSpan w:val="3"/>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a.</w:t>
            </w:r>
          </w:p>
        </w:tc>
        <w:tc>
          <w:tcPr>
            <w:tcW w:w="9591" w:type="dxa"/>
            <w:gridSpan w:val="3"/>
            <w:tcBorders/>
            <w:shd w:fill="auto" w:val="clear"/>
          </w:tcPr>
          <w:p>
            <w:pPr>
              <w:pStyle w:val="TableContents"/>
              <w:spacing w:before="0" w:after="283"/>
              <w:rPr/>
            </w:pPr>
            <w:r>
              <w:rPr>
                <w:rFonts w:ascii="serif" w:hAnsi="serif"/>
                <w:u w:val="single"/>
              </w:rPr>
              <w:t>Termination Events</w:t>
            </w:r>
            <w:r>
              <w:rPr>
                <w:rFonts w:ascii="serif" w:hAnsi="serif"/>
              </w:rPr>
              <w:t>. Except as provided in Section 5(b), Honeywells obligation to pay the Annual Payment shall terminate:</w:t>
            </w:r>
            <w:r>
              <w:rPr/>
              <w:t xml:space="preserve">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591" w:type="dxa"/>
            <w:gridSpan w:val="3"/>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rFonts w:ascii="serif" w:hAnsi="serif"/>
              </w:rPr>
            </w:pPr>
            <w:r>
              <w:rPr>
                <w:rFonts w:ascii="serif" w:hAnsi="serif"/>
              </w:rPr>
              <w:t>i.</w:t>
            </w:r>
          </w:p>
        </w:tc>
        <w:tc>
          <w:tcPr>
            <w:tcW w:w="9284" w:type="dxa"/>
            <w:gridSpan w:val="2"/>
            <w:tcBorders/>
            <w:shd w:fill="auto" w:val="clear"/>
          </w:tcPr>
          <w:p>
            <w:pPr>
              <w:pStyle w:val="TableContents"/>
              <w:spacing w:before="0" w:after="283"/>
              <w:rPr>
                <w:rFonts w:ascii="serif" w:hAnsi="serif"/>
              </w:rPr>
            </w:pPr>
            <w:r>
              <w:rPr>
                <w:rFonts w:ascii="serif" w:hAnsi="serif"/>
              </w:rPr>
              <w:t>Automatically upon the earliest to occur of the following:</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(A)</w:t>
            </w:r>
          </w:p>
        </w:tc>
        <w:tc>
          <w:tcPr>
            <w:tcW w:w="8976" w:type="dxa"/>
            <w:tcBorders/>
            <w:shd w:fill="auto" w:val="clear"/>
          </w:tcPr>
          <w:p>
            <w:pPr>
              <w:pStyle w:val="TableContents"/>
              <w:spacing w:before="0" w:after="283"/>
              <w:rPr/>
            </w:pPr>
            <w:r>
              <w:rPr>
                <w:rFonts w:ascii="serif" w:hAnsi="serif"/>
              </w:rPr>
              <w:t>the payment of the Annual Payment that is attributable to the 48</w:t>
            </w:r>
            <w:r>
              <w:rPr>
                <w:rFonts w:ascii="serif" w:hAnsi="serif"/>
                <w:position w:val="8"/>
                <w:sz w:val="19"/>
              </w:rPr>
              <w:t>th</w:t>
            </w:r>
            <w:r>
              <w:rPr/>
              <w:t xml:space="preserve"> </w:t>
            </w:r>
            <w:r>
              <w:rPr>
                <w:rFonts w:ascii="serif" w:hAnsi="serif"/>
              </w:rPr>
              <w:t>policy year of the Policy,</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(B)</w:t>
            </w:r>
          </w:p>
        </w:tc>
        <w:tc>
          <w:tcPr>
            <w:tcW w:w="8976" w:type="dxa"/>
            <w:tcBorders/>
            <w:shd w:fill="auto" w:val="clear"/>
          </w:tcPr>
          <w:p>
            <w:pPr>
              <w:pStyle w:val="TableContents"/>
              <w:spacing w:before="0" w:after="283"/>
              <w:rPr>
                <w:rFonts w:ascii="serif" w:hAnsi="serif"/>
              </w:rPr>
            </w:pPr>
            <w:r>
              <w:rPr>
                <w:rFonts w:ascii="serif" w:hAnsi="serif"/>
              </w:rPr>
              <w:t>the death of the survivor of Executive and Co-insured,</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(C)</w:t>
            </w:r>
          </w:p>
        </w:tc>
        <w:tc>
          <w:tcPr>
            <w:tcW w:w="8976" w:type="dxa"/>
            <w:tcBorders/>
            <w:shd w:fill="auto" w:val="clear"/>
          </w:tcPr>
          <w:p>
            <w:pPr>
              <w:pStyle w:val="TableContents"/>
              <w:spacing w:before="0" w:after="283"/>
              <w:rPr>
                <w:rFonts w:ascii="serif" w:hAnsi="serif"/>
              </w:rPr>
            </w:pPr>
            <w:r>
              <w:rPr>
                <w:rFonts w:ascii="serif" w:hAnsi="serif"/>
              </w:rPr>
              <w:t>Executives Termination for Cause,</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(D)</w:t>
            </w:r>
          </w:p>
        </w:tc>
        <w:tc>
          <w:tcPr>
            <w:tcW w:w="8976" w:type="dxa"/>
            <w:tcBorders/>
            <w:shd w:fill="auto" w:val="clear"/>
          </w:tcPr>
          <w:p>
            <w:pPr>
              <w:pStyle w:val="TableContents"/>
              <w:spacing w:before="0" w:after="283"/>
              <w:rPr>
                <w:rFonts w:ascii="serif" w:hAnsi="serif"/>
              </w:rPr>
            </w:pPr>
            <w:r>
              <w:rPr>
                <w:rFonts w:ascii="serif" w:hAnsi="serif"/>
              </w:rPr>
              <w:t>upon written action of the Administrator, if Executives termination of employment from Honeywell and its subsidiaries and affiliates occurs before he obtains an irrevocable right to the Annual Payment, as described in paragraph (b) below,</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(E)</w:t>
            </w:r>
          </w:p>
        </w:tc>
        <w:tc>
          <w:tcPr>
            <w:tcW w:w="8976" w:type="dxa"/>
            <w:tcBorders/>
            <w:shd w:fill="auto" w:val="clear"/>
          </w:tcPr>
          <w:p>
            <w:pPr>
              <w:pStyle w:val="TableContents"/>
              <w:spacing w:before="0" w:after="283"/>
              <w:rPr>
                <w:rFonts w:ascii="serif" w:hAnsi="serif"/>
              </w:rPr>
            </w:pPr>
            <w:r>
              <w:rPr>
                <w:rFonts w:ascii="serif" w:hAnsi="serif"/>
              </w:rPr>
              <w:t>the year the Policy is no longer in force because Executive or Co-insured fails to pay the Premium, or voluntarily terminates, relinquishes, surrenders or cancels the Policy,</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rFonts w:ascii="serif" w:hAnsi="serif"/>
              </w:rPr>
            </w:pPr>
            <w:r>
              <w:rPr>
                <w:rFonts w:ascii="serif" w:hAnsi="serif"/>
              </w:rPr>
              <w:t>(F)</w:t>
            </w:r>
          </w:p>
        </w:tc>
        <w:tc>
          <w:tcPr>
            <w:tcW w:w="8976" w:type="dxa"/>
            <w:tcBorders/>
            <w:shd w:fill="auto" w:val="clear"/>
          </w:tcPr>
          <w:p>
            <w:pPr>
              <w:pStyle w:val="TableContents"/>
              <w:spacing w:before="0" w:after="283"/>
              <w:rPr>
                <w:rFonts w:ascii="serif" w:hAnsi="serif"/>
              </w:rPr>
            </w:pPr>
            <w:r>
              <w:rPr>
                <w:rFonts w:ascii="serif" w:hAnsi="serif"/>
              </w:rPr>
              <w:t>the first day Executive provides services above a de minimis level and without Honeywells consent to an entity deemed a competitor of Honeywells at any</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8976" w:type="dxa"/>
            <w:tcBorders/>
            <w:shd w:fill="auto" w:val="clea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591" w:type="dxa"/>
            <w:gridSpan w:val="3"/>
            <w:tcBorders/>
            <w:shd w:fill="auto" w:val="clear"/>
          </w:tcPr>
          <w:p>
            <w:pPr>
              <w:pStyle w:val="TableContents"/>
              <w:spacing w:before="0" w:after="283"/>
              <w:rPr/>
            </w:pPr>
            <w:r>
              <w:rPr/>
              <w:t> </w:t>
            </w:r>
          </w:p>
        </w:tc>
      </w:tr>
    </w:tbl>
    <w:p>
      <w:pPr>
        <w:pStyle w:val="TextBody"/>
        <w:rPr/>
      </w:pPr>
      <w:r>
        <w:rPr/>
        <w:t> </w:t>
      </w:r>
    </w:p>
    <w:p>
      <w:pPr>
        <w:pStyle w:val="HorizontalLine"/>
        <w:pBdr>
          <w:bottom w:val="single" w:sz="24" w:space="0" w:color="808080"/>
        </w:pBdr>
        <w:rPr/>
      </w:pPr>
      <w:r>
        <w:rPr/>
      </w:r>
      <w:r>
        <w:br w:type="page"/>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01"/>
        <w:gridCol w:w="302"/>
        <w:gridCol w:w="355"/>
        <w:gridCol w:w="397"/>
        <w:gridCol w:w="8850"/>
      </w:tblGrid>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9247" w:type="dxa"/>
            <w:gridSpan w:val="2"/>
            <w:tcBorders/>
            <w:shd w:fill="auto" w:val="clear"/>
          </w:tcPr>
          <w:p>
            <w:pPr>
              <w:pStyle w:val="TableContents"/>
              <w:spacing w:before="0" w:after="283"/>
              <w:rPr>
                <w:rFonts w:ascii="serif" w:hAnsi="serif"/>
              </w:rPr>
            </w:pPr>
            <w:r>
              <w:rPr>
                <w:rFonts w:ascii="serif" w:hAnsi="serif"/>
              </w:rPr>
              <w:t>time within three years following Executives termination of employment from Honeywell (or any subsidiary or affiliate of Honeywell). For purposes of this subsection, an entity shall be deemed a competitor if that entity and Honeywell could not have interlocking directors under 15 U.S.C. §19, as the same may be amended from time to time, and</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rFonts w:ascii="serif" w:hAnsi="serif"/>
              </w:rPr>
            </w:pPr>
            <w:r>
              <w:rPr>
                <w:rFonts w:ascii="serif" w:hAnsi="serif"/>
              </w:rPr>
              <w:t>(G)</w:t>
            </w:r>
          </w:p>
        </w:tc>
        <w:tc>
          <w:tcPr>
            <w:tcW w:w="8850" w:type="dxa"/>
            <w:tcBorders/>
            <w:shd w:fill="auto" w:val="clear"/>
            <w:vAlign w:val="center"/>
          </w:tcPr>
          <w:p>
            <w:pPr>
              <w:pStyle w:val="TableContents"/>
              <w:spacing w:before="0" w:after="283"/>
              <w:rPr>
                <w:rFonts w:ascii="serif" w:hAnsi="serif"/>
              </w:rPr>
            </w:pPr>
            <w:r>
              <w:rPr>
                <w:rFonts w:ascii="serif" w:hAnsi="serif"/>
              </w:rPr>
              <w:t>upon the written agreement of Honeywell and Executive (or Co-insured following Executives death).</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rFonts w:ascii="serif" w:hAnsi="serif"/>
              </w:rPr>
            </w:pPr>
            <w:r>
              <w:rPr>
                <w:rFonts w:ascii="serif" w:hAnsi="serif"/>
              </w:rPr>
              <w:t>b.</w:t>
            </w:r>
          </w:p>
        </w:tc>
        <w:tc>
          <w:tcPr>
            <w:tcW w:w="9247" w:type="dxa"/>
            <w:gridSpan w:val="2"/>
            <w:tcBorders/>
            <w:shd w:fill="auto" w:val="clear"/>
          </w:tcPr>
          <w:p>
            <w:pPr>
              <w:pStyle w:val="TableContents"/>
              <w:spacing w:before="0" w:after="283"/>
              <w:rPr/>
            </w:pPr>
            <w:r>
              <w:rPr>
                <w:rFonts w:ascii="serif" w:hAnsi="serif"/>
                <w:u w:val="single"/>
              </w:rPr>
              <w:t>Irrevocable Obligation</w:t>
            </w:r>
            <w:r>
              <w:rPr>
                <w:rFonts w:ascii="serif" w:hAnsi="serif"/>
              </w:rPr>
              <w:t>. Notwithstanding any other provision of the Agreement:</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rFonts w:ascii="serif" w:hAnsi="serif"/>
              </w:rPr>
            </w:pPr>
            <w:r>
              <w:rPr>
                <w:rFonts w:ascii="serif" w:hAnsi="serif"/>
              </w:rPr>
              <w:t>i.</w:t>
            </w:r>
          </w:p>
        </w:tc>
        <w:tc>
          <w:tcPr>
            <w:tcW w:w="8850" w:type="dxa"/>
            <w:tcBorders/>
            <w:shd w:fill="auto" w:val="clear"/>
            <w:vAlign w:val="center"/>
          </w:tcPr>
          <w:p>
            <w:pPr>
              <w:pStyle w:val="TableContents"/>
              <w:spacing w:before="0" w:after="283"/>
              <w:rPr/>
            </w:pPr>
            <w:r>
              <w:rPr>
                <w:rFonts w:ascii="serif" w:hAnsi="serif"/>
              </w:rPr>
              <w:t>If Executive becomes a Vested Executive, Honeywells obligation to pay the Annual Payment shall be irrevocable while Executive is employed by Honeywell and thereafter until the earlier of (a) the 48</w:t>
            </w:r>
            <w:r>
              <w:rPr>
                <w:rFonts w:ascii="serif" w:hAnsi="serif"/>
                <w:position w:val="8"/>
                <w:sz w:val="19"/>
              </w:rPr>
              <w:t xml:space="preserve">th </w:t>
            </w:r>
            <w:r>
              <w:rPr>
                <w:rFonts w:ascii="serif" w:hAnsi="serif"/>
              </w:rPr>
              <w:t>policy year of the Policy, or (b) the year the survivor of Executive and Co-insured dies, unless Executive incurs a Termination for Cause or the provisions of Section 5(a)(i)(E), 5(a)(i)(F) or 5(a)(i)(G) apply; and</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rFonts w:ascii="serif" w:hAnsi="serif"/>
              </w:rPr>
            </w:pPr>
            <w:r>
              <w:rPr>
                <w:rFonts w:ascii="serif" w:hAnsi="serif"/>
              </w:rPr>
              <w:t>ii.</w:t>
            </w:r>
          </w:p>
        </w:tc>
        <w:tc>
          <w:tcPr>
            <w:tcW w:w="8850" w:type="dxa"/>
            <w:tcBorders/>
            <w:shd w:fill="auto" w:val="clear"/>
            <w:vAlign w:val="center"/>
          </w:tcPr>
          <w:p>
            <w:pPr>
              <w:pStyle w:val="TableContents"/>
              <w:spacing w:before="0" w:after="283"/>
              <w:rPr/>
            </w:pPr>
            <w:r>
              <w:rPr>
                <w:rFonts w:ascii="serif" w:hAnsi="serif"/>
              </w:rPr>
              <w:t>If Executive obtains an irrevocable right pursuant to the provisions of Section 6 hereof (relating to Change in Control), Honeywells obligation to pay the Annual Payment shall continue until the earlier of (a) the 48</w:t>
            </w:r>
            <w:r>
              <w:rPr>
                <w:rFonts w:ascii="serif" w:hAnsi="serif"/>
                <w:position w:val="8"/>
                <w:sz w:val="19"/>
              </w:rPr>
              <w:t xml:space="preserve">th </w:t>
            </w:r>
            <w:r>
              <w:rPr>
                <w:rFonts w:ascii="serif" w:hAnsi="serif"/>
              </w:rPr>
              <w:t>policy year of the Policy, or (b) the year the survivor of Executive and Co-insured dies.</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rFonts w:ascii="serif" w:hAnsi="serif"/>
              </w:rPr>
            </w:pPr>
            <w:r>
              <w:rPr>
                <w:rFonts w:ascii="serif" w:hAnsi="serif"/>
              </w:rPr>
              <w:t>c.</w:t>
            </w:r>
          </w:p>
        </w:tc>
        <w:tc>
          <w:tcPr>
            <w:tcW w:w="9247" w:type="dxa"/>
            <w:gridSpan w:val="2"/>
            <w:tcBorders/>
            <w:shd w:fill="auto" w:val="clear"/>
          </w:tcPr>
          <w:p>
            <w:pPr>
              <w:pStyle w:val="TableContents"/>
              <w:spacing w:before="0" w:after="283"/>
              <w:rPr/>
            </w:pPr>
            <w:r>
              <w:rPr>
                <w:rFonts w:ascii="serif" w:hAnsi="serif"/>
                <w:u w:val="single"/>
              </w:rPr>
              <w:t>Allocation of Policy Death Benefit</w:t>
            </w:r>
            <w:r>
              <w:rPr>
                <w:rFonts w:ascii="serif" w:hAnsi="serif"/>
              </w:rPr>
              <w:t>. If the Agreement terminates due to the death of the survivor of Executive and Co-insured, the entire death benefit under the Policy shall be paid to the beneficiary or beneficiaries of the survivor of Executive or Co- insured. Honeywell shall not be entitled to receive any death benefits from the Policy.</w:t>
            </w:r>
          </w:p>
        </w:tc>
      </w:tr>
      <w:tr>
        <w:trPr/>
        <w:tc>
          <w:tcPr>
            <w:tcW w:w="301"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c>
          <w:tcPr>
            <w:tcW w:w="355" w:type="dxa"/>
            <w:tcBorders/>
            <w:shd w:fill="auto" w:val="clear"/>
          </w:tcPr>
          <w:p>
            <w:pPr>
              <w:pStyle w:val="TableContents"/>
              <w:spacing w:before="0" w:after="283"/>
              <w:rPr/>
            </w:pPr>
            <w:r>
              <w:rPr/>
              <w:t> </w:t>
            </w:r>
          </w:p>
        </w:tc>
        <w:tc>
          <w:tcPr>
            <w:tcW w:w="397" w:type="dxa"/>
            <w:tcBorders/>
            <w:shd w:fill="auto" w:val="clear"/>
          </w:tcPr>
          <w:p>
            <w:pPr>
              <w:pStyle w:val="TableContents"/>
              <w:spacing w:before="0" w:after="283"/>
              <w:rPr/>
            </w:pPr>
            <w:r>
              <w:rPr/>
              <w:t> </w:t>
            </w:r>
          </w:p>
        </w:tc>
        <w:tc>
          <w:tcPr>
            <w:tcW w:w="8850" w:type="dxa"/>
            <w:tcBorders/>
            <w:shd w:fill="auto" w:val="clear"/>
            <w:vAlign w:val="center"/>
          </w:tcPr>
          <w:p>
            <w:pPr>
              <w:pStyle w:val="TableContents"/>
              <w:spacing w:before="0" w:after="283"/>
              <w:rPr/>
            </w:pPr>
            <w:r>
              <w:rPr/>
              <w:t> </w:t>
            </w:r>
          </w:p>
        </w:tc>
      </w:tr>
    </w:tbl>
    <w:p>
      <w:pPr>
        <w:pStyle w:val="TextBody"/>
        <w:rPr/>
      </w:pPr>
      <w:r>
        <w:rPr/>
      </w:r>
    </w:p>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373"/>
        <w:gridCol w:w="520"/>
        <w:gridCol w:w="617"/>
        <w:gridCol w:w="943"/>
        <w:gridCol w:w="7752"/>
      </w:tblGrid>
      <w:tr>
        <w:trPr/>
        <w:tc>
          <w:tcPr>
            <w:tcW w:w="373" w:type="dxa"/>
            <w:tcBorders/>
            <w:shd w:fill="auto" w:val="clear"/>
            <w:vAlign w:val="center"/>
          </w:tcPr>
          <w:p>
            <w:pPr>
              <w:pStyle w:val="TableContents"/>
              <w:pageBreakBefore/>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rFonts w:ascii="serif" w:hAnsi="serif"/>
              </w:rPr>
            </w:pPr>
            <w:r>
              <w:rPr>
                <w:rFonts w:ascii="serif" w:hAnsi="serif"/>
              </w:rPr>
              <w:t xml:space="preserve">d. </w:t>
            </w:r>
          </w:p>
        </w:tc>
        <w:tc>
          <w:tcPr>
            <w:tcW w:w="8695" w:type="dxa"/>
            <w:gridSpan w:val="2"/>
            <w:tcBorders/>
            <w:shd w:fill="auto" w:val="clear"/>
          </w:tcPr>
          <w:p>
            <w:pPr>
              <w:pStyle w:val="TableContents"/>
              <w:spacing w:before="0" w:after="283"/>
              <w:rPr/>
            </w:pPr>
            <w:r>
              <w:rPr>
                <w:rFonts w:ascii="serif" w:hAnsi="serif"/>
                <w:u w:val="single"/>
              </w:rPr>
              <w:t>Disposition of Policy</w:t>
            </w:r>
            <w:r>
              <w:rPr>
                <w:rFonts w:ascii="serif" w:hAnsi="serif"/>
              </w:rPr>
              <w:t>. If this Agreement terminates for any reason, Executive (or Co-insured following Executives death) shall be solely responsible for paying the Premium as long as the Policy remains in force.</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rFonts w:ascii="serif" w:hAnsi="serif"/>
              </w:rPr>
              <w:t>6.</w:t>
            </w:r>
            <w:r>
              <w:rPr/>
              <w:t xml:space="preserve">  </w:t>
            </w:r>
          </w:p>
        </w:tc>
        <w:tc>
          <w:tcPr>
            <w:tcW w:w="9832" w:type="dxa"/>
            <w:gridSpan w:val="4"/>
            <w:tcBorders/>
            <w:shd w:fill="auto" w:val="clear"/>
            <w:vAlign w:val="center"/>
          </w:tcPr>
          <w:p>
            <w:pPr>
              <w:pStyle w:val="TableContents"/>
              <w:spacing w:before="0" w:after="283"/>
              <w:rPr/>
            </w:pPr>
            <w:r>
              <w:rPr>
                <w:rFonts w:ascii="serif" w:hAnsi="serif"/>
                <w:u w:val="single"/>
              </w:rPr>
              <w:t>Change in Control</w:t>
            </w:r>
            <w:r>
              <w:rPr>
                <w:rFonts w:ascii="serif" w:hAnsi="serif"/>
              </w:rPr>
              <w:t>. If there is a Change in Control:</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tcPr>
          <w:p>
            <w:pPr>
              <w:pStyle w:val="TableContents"/>
              <w:spacing w:before="0" w:after="283"/>
              <w:rPr/>
            </w:pPr>
            <w:r>
              <w:rPr>
                <w:rFonts w:ascii="serif" w:hAnsi="serif"/>
              </w:rPr>
              <w:t>a.</w:t>
            </w:r>
            <w:r>
              <w:rPr/>
              <w:t xml:space="preserve">  </w:t>
            </w:r>
          </w:p>
        </w:tc>
        <w:tc>
          <w:tcPr>
            <w:tcW w:w="9312" w:type="dxa"/>
            <w:gridSpan w:val="3"/>
            <w:tcBorders/>
            <w:shd w:fill="auto" w:val="clear"/>
          </w:tcPr>
          <w:p>
            <w:pPr>
              <w:pStyle w:val="TableContents"/>
              <w:spacing w:before="0" w:after="283"/>
              <w:rPr>
                <w:rFonts w:ascii="serif" w:hAnsi="serif"/>
              </w:rPr>
            </w:pPr>
            <w:r>
              <w:rPr>
                <w:rFonts w:ascii="serif" w:hAnsi="serif"/>
              </w:rPr>
              <w:t>The Agreement and Honeywells (or its successors) obligation to pay the Annual Payment shall become irrevocable at the time of the Change in Control; and</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tcPr>
          <w:p>
            <w:pPr>
              <w:pStyle w:val="TableContents"/>
              <w:spacing w:before="0" w:after="283"/>
              <w:rPr/>
            </w:pPr>
            <w:r>
              <w:rPr>
                <w:rFonts w:ascii="serif" w:hAnsi="serif"/>
              </w:rPr>
              <w:t>b.</w:t>
            </w:r>
            <w:r>
              <w:rPr/>
              <w:t> </w:t>
            </w:r>
          </w:p>
        </w:tc>
        <w:tc>
          <w:tcPr>
            <w:tcW w:w="9312" w:type="dxa"/>
            <w:gridSpan w:val="3"/>
            <w:tcBorders/>
            <w:shd w:fill="auto" w:val="clear"/>
          </w:tcPr>
          <w:p>
            <w:pPr>
              <w:pStyle w:val="TableContents"/>
              <w:spacing w:before="0" w:after="283"/>
              <w:rPr>
                <w:rFonts w:ascii="serif" w:hAnsi="serif"/>
              </w:rPr>
            </w:pPr>
            <w:r>
              <w:rPr>
                <w:rFonts w:ascii="serif" w:hAnsi="serif"/>
              </w:rPr>
              <w:t>Honeywell (or its successor) shall immediately fund an irrevocable rabbi trust with an amount sufficient to pay all necessary projected future Annual Payments.</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9832" w:type="dxa"/>
            <w:gridSpan w:val="4"/>
            <w:tcBorders/>
            <w:shd w:fill="auto" w:val="clear"/>
            <w:vAlign w:val="center"/>
          </w:tcPr>
          <w:p>
            <w:pPr>
              <w:pStyle w:val="TableContents"/>
              <w:spacing w:before="0" w:after="283"/>
              <w:rPr>
                <w:rFonts w:ascii="serif" w:hAnsi="serif"/>
              </w:rPr>
            </w:pPr>
            <w:r>
              <w:rPr>
                <w:rFonts w:ascii="serif" w:hAnsi="serif"/>
              </w:rPr>
              <w:t>Notwithstanding the creation and funding of an irrevocable rabbi trust in accordance with the provisions of this Section, Honeywell or its successor shall continue to be responsible for the Annual Payment if such amounts are not paid by the trust for any reason, or if the trusts assets become insufficient to pay any required amounts.</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rFonts w:ascii="serif" w:hAnsi="serif"/>
              </w:rPr>
            </w:pPr>
            <w:r>
              <w:rPr>
                <w:rFonts w:ascii="serif" w:hAnsi="serif"/>
              </w:rPr>
              <w:t>7.</w:t>
            </w:r>
          </w:p>
        </w:tc>
        <w:tc>
          <w:tcPr>
            <w:tcW w:w="9832" w:type="dxa"/>
            <w:gridSpan w:val="4"/>
            <w:tcBorders/>
            <w:shd w:fill="auto" w:val="clear"/>
            <w:vAlign w:val="center"/>
          </w:tcPr>
          <w:p>
            <w:pPr>
              <w:pStyle w:val="TableContents"/>
              <w:spacing w:before="0" w:after="283"/>
              <w:rPr/>
            </w:pPr>
            <w:r>
              <w:rPr>
                <w:rFonts w:ascii="serif" w:hAnsi="serif"/>
                <w:u w:val="single"/>
              </w:rPr>
              <w:t>Governing Laws &amp; Notices</w:t>
            </w:r>
            <w:r>
              <w:rPr>
                <w:rFonts w:ascii="serif" w:hAnsi="serif"/>
              </w:rPr>
              <w:t>.</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rFonts w:ascii="serif" w:hAnsi="serif"/>
              </w:rPr>
            </w:pPr>
            <w:r>
              <w:rPr>
                <w:rFonts w:ascii="serif" w:hAnsi="serif"/>
              </w:rPr>
              <w:t>a.</w:t>
            </w:r>
          </w:p>
        </w:tc>
        <w:tc>
          <w:tcPr>
            <w:tcW w:w="9312" w:type="dxa"/>
            <w:gridSpan w:val="3"/>
            <w:tcBorders/>
            <w:shd w:fill="auto" w:val="clear"/>
          </w:tcPr>
          <w:p>
            <w:pPr>
              <w:pStyle w:val="TableContents"/>
              <w:spacing w:before="0" w:after="283"/>
              <w:rPr/>
            </w:pPr>
            <w:r>
              <w:rPr>
                <w:rFonts w:ascii="serif" w:hAnsi="serif"/>
                <w:u w:val="single"/>
              </w:rPr>
              <w:t>Governing Law</w:t>
            </w:r>
            <w:r>
              <w:rPr>
                <w:rFonts w:ascii="serif" w:hAnsi="serif"/>
              </w:rPr>
              <w:t>. This Agreement shall be governed by and construed in accordance with the substantive law of the State of New Jersey without giving effect to the choice of law rules of the State of New Jersey.</w:t>
            </w:r>
            <w:r>
              <w:rPr/>
              <w:t xml:space="preserve">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tcPr>
          <w:p>
            <w:pPr>
              <w:pStyle w:val="TableContents"/>
              <w:spacing w:before="0" w:after="283"/>
              <w:rPr/>
            </w:pPr>
            <w:r>
              <w:rPr>
                <w:rFonts w:ascii="serif" w:hAnsi="serif"/>
              </w:rPr>
              <w:t>b.</w:t>
            </w:r>
            <w:r>
              <w:rPr/>
              <w:t xml:space="preserve">  </w:t>
            </w:r>
          </w:p>
        </w:tc>
        <w:tc>
          <w:tcPr>
            <w:tcW w:w="9312" w:type="dxa"/>
            <w:gridSpan w:val="3"/>
            <w:tcBorders/>
            <w:shd w:fill="auto" w:val="clear"/>
          </w:tcPr>
          <w:p>
            <w:pPr>
              <w:pStyle w:val="TableContents"/>
              <w:spacing w:before="0" w:after="283"/>
              <w:rPr/>
            </w:pPr>
            <w:r>
              <w:rPr>
                <w:rFonts w:ascii="serif" w:hAnsi="serif"/>
                <w:u w:val="single"/>
              </w:rPr>
              <w:t>Notices</w:t>
            </w:r>
            <w:r>
              <w:rPr>
                <w:rFonts w:ascii="serif" w:hAnsi="serif"/>
              </w:rPr>
              <w:t>. All notices hereunder shall be in writing and sent by first class mail with postage prepaid. Any notice to Honeywell shall be addressed to the Senior Vice President, Human Resources and Communications, Honeywell International Inc., 101 Columbia Road, Morristown, New Jersey 07962. Any notice to Executive shall be addressed to Executive at the address following such partys signature on this Agreement. Any party may change the address for such party herein set forth by giving written notice of such change to the other parties pursuant to the Section.</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r>
        <w:trPr/>
        <w:tc>
          <w:tcPr>
            <w:tcW w:w="373" w:type="dxa"/>
            <w:tcBorders/>
            <w:shd w:fill="auto" w:val="clear"/>
            <w:vAlign w:val="center"/>
          </w:tcPr>
          <w:p>
            <w:pPr>
              <w:pStyle w:val="TableContents"/>
              <w:spacing w:before="0" w:after="283"/>
              <w:rPr/>
            </w:pPr>
            <w:r>
              <w:rPr/>
              <w:t> </w:t>
            </w:r>
          </w:p>
        </w:tc>
        <w:tc>
          <w:tcPr>
            <w:tcW w:w="520"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rPr/>
            </w:pPr>
            <w:r>
              <w:rPr/>
              <w:t> </w:t>
            </w:r>
          </w:p>
        </w:tc>
        <w:tc>
          <w:tcPr>
            <w:tcW w:w="943" w:type="dxa"/>
            <w:tcBorders/>
            <w:shd w:fill="auto" w:val="clear"/>
          </w:tcPr>
          <w:p>
            <w:pPr>
              <w:pStyle w:val="TableContents"/>
              <w:spacing w:before="0" w:after="283"/>
              <w:rPr/>
            </w:pPr>
            <w:r>
              <w:rPr/>
              <w:t> </w:t>
            </w:r>
          </w:p>
        </w:tc>
        <w:tc>
          <w:tcPr>
            <w:tcW w:w="7752" w:type="dxa"/>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606"/>
        <w:gridCol w:w="607"/>
        <w:gridCol w:w="8992"/>
      </w:tblGrid>
      <w:tr>
        <w:trPr/>
        <w:tc>
          <w:tcPr>
            <w:tcW w:w="606" w:type="dxa"/>
            <w:tcBorders/>
            <w:shd w:fill="auto" w:val="clear"/>
          </w:tcPr>
          <w:p>
            <w:pPr>
              <w:pStyle w:val="TableContents"/>
              <w:pageBreakBefore/>
              <w:spacing w:before="0" w:after="283"/>
              <w:rPr/>
            </w:pPr>
            <w:r>
              <w:rPr>
                <w:rFonts w:ascii="serif" w:hAnsi="serif"/>
              </w:rPr>
              <w:t>8.</w:t>
            </w:r>
            <w:r>
              <w:rPr/>
              <w:t xml:space="preserve">      </w:t>
            </w:r>
          </w:p>
        </w:tc>
        <w:tc>
          <w:tcPr>
            <w:tcW w:w="9599" w:type="dxa"/>
            <w:gridSpan w:val="2"/>
            <w:tcBorders/>
            <w:shd w:fill="auto" w:val="clear"/>
            <w:vAlign w:val="center"/>
          </w:tcPr>
          <w:p>
            <w:pPr>
              <w:pStyle w:val="TableContents"/>
              <w:spacing w:before="0" w:after="283"/>
              <w:rPr/>
            </w:pPr>
            <w:r>
              <w:rPr>
                <w:rFonts w:ascii="serif" w:hAnsi="serif"/>
                <w:u w:val="single"/>
              </w:rPr>
              <w:t>Miscellaneous Provisions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06"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rFonts w:ascii="serif" w:hAnsi="serif"/>
              </w:rPr>
              <w:t>a.</w:t>
            </w:r>
            <w:r>
              <w:rPr/>
              <w:t xml:space="preserve">      </w:t>
            </w:r>
          </w:p>
        </w:tc>
        <w:tc>
          <w:tcPr>
            <w:tcW w:w="8992" w:type="dxa"/>
            <w:tcBorders/>
            <w:shd w:fill="auto" w:val="clear"/>
            <w:vAlign w:val="center"/>
          </w:tcPr>
          <w:p>
            <w:pPr>
              <w:pStyle w:val="TableContents"/>
              <w:spacing w:before="0" w:after="283"/>
              <w:rPr/>
            </w:pPr>
            <w:r>
              <w:rPr>
                <w:rFonts w:ascii="serif" w:hAnsi="serif"/>
              </w:rPr>
              <w:t>This Agreement shall not be deemed to constitute a contract of employment between Executive and Honeywell, nor shall any provision restrict the right of Honeywell to discharge Executive or restrict Executives right to terminate employment.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06"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rFonts w:ascii="serif" w:hAnsi="serif"/>
              </w:rPr>
              <w:t>b.</w:t>
            </w:r>
            <w:r>
              <w:rPr/>
              <w:t xml:space="preserve">      </w:t>
            </w:r>
          </w:p>
        </w:tc>
        <w:tc>
          <w:tcPr>
            <w:tcW w:w="8992" w:type="dxa"/>
            <w:tcBorders/>
            <w:shd w:fill="auto" w:val="clear"/>
            <w:vAlign w:val="center"/>
          </w:tcPr>
          <w:p>
            <w:pPr>
              <w:pStyle w:val="TableContents"/>
              <w:spacing w:before="0" w:after="283"/>
              <w:rPr/>
            </w:pPr>
            <w:r>
              <w:rPr>
                <w:rFonts w:ascii="serif" w:hAnsi="serif"/>
              </w:rPr>
              <w:t>The masculine pronoun includes the feminine, and the singular includes the plural where appropriate.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06"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rFonts w:ascii="serif" w:hAnsi="serif"/>
              </w:rPr>
              <w:t>c.</w:t>
            </w:r>
            <w:r>
              <w:rPr/>
              <w:t xml:space="preserve">      </w:t>
            </w:r>
          </w:p>
        </w:tc>
        <w:tc>
          <w:tcPr>
            <w:tcW w:w="8992" w:type="dxa"/>
            <w:tcBorders/>
            <w:shd w:fill="auto" w:val="clear"/>
            <w:vAlign w:val="center"/>
          </w:tcPr>
          <w:p>
            <w:pPr>
              <w:pStyle w:val="TableContents"/>
              <w:spacing w:before="0" w:after="283"/>
              <w:rPr/>
            </w:pPr>
            <w:r>
              <w:rPr>
                <w:rFonts w:ascii="serif" w:hAnsi="serif"/>
              </w:rPr>
              <w:t>Executive and Co-insured shall be responsible for keeping the Policy in force and remitting Premiums when required by the Insurer in a timely manner. Honeywell shall have no responsibility other than to pay Executive or Co-insured, as the case may be, the Annual Payment until this Agreement terminates.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06"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rFonts w:ascii="serif" w:hAnsi="serif"/>
              </w:rPr>
              <w:t>d.</w:t>
            </w:r>
            <w:r>
              <w:rPr/>
              <w:t xml:space="preserve">      </w:t>
            </w:r>
          </w:p>
        </w:tc>
        <w:tc>
          <w:tcPr>
            <w:tcW w:w="8992" w:type="dxa"/>
            <w:tcBorders/>
            <w:shd w:fill="auto" w:val="clear"/>
            <w:vAlign w:val="center"/>
          </w:tcPr>
          <w:p>
            <w:pPr>
              <w:pStyle w:val="TableContents"/>
              <w:spacing w:before="0" w:after="283"/>
              <w:rPr/>
            </w:pPr>
            <w:r>
              <w:rPr>
                <w:rFonts w:ascii="serif" w:hAnsi="serif"/>
              </w:rPr>
              <w:t>The parties intend for this Agreement to comply with the requirements of Internal Revenue Code section 409A, as amended from time to time, and the related regulations, and the provisions hereof shall be interpreted in a manner that satisfies the requirements of such Section and the related regulations, and the Agreement shall be operated accordingly. If any provision of this Agreement would otherwise frustrate or conflict with this intent, the provision, term or condition shall be interpreted and deemed amended so as to avoid this conflict.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06" w:type="dxa"/>
            <w:tcBorders/>
            <w:shd w:fill="auto" w:val="clear"/>
          </w:tcPr>
          <w:p>
            <w:pPr>
              <w:pStyle w:val="TableContents"/>
              <w:spacing w:before="0" w:after="283"/>
              <w:rPr/>
            </w:pPr>
            <w:r>
              <w:rPr>
                <w:rFonts w:ascii="serif" w:hAnsi="serif"/>
              </w:rPr>
              <w:t>9.</w:t>
            </w:r>
            <w:r>
              <w:rPr/>
              <w:t xml:space="preserve">      </w:t>
            </w:r>
          </w:p>
        </w:tc>
        <w:tc>
          <w:tcPr>
            <w:tcW w:w="9599" w:type="dxa"/>
            <w:gridSpan w:val="2"/>
            <w:tcBorders/>
            <w:shd w:fill="auto" w:val="clear"/>
            <w:vAlign w:val="center"/>
          </w:tcPr>
          <w:p>
            <w:pPr>
              <w:pStyle w:val="TableContents"/>
              <w:spacing w:before="0" w:after="283"/>
              <w:rPr/>
            </w:pPr>
            <w:r>
              <w:rPr>
                <w:rFonts w:ascii="serif" w:hAnsi="serif"/>
                <w:u w:val="single"/>
              </w:rPr>
              <w:t>Amendment, Termination, Administration, and Successors</w:t>
            </w:r>
            <w:r>
              <w:rPr>
                <w:rFonts w:ascii="serif" w:hAnsi="serif"/>
              </w:rPr>
              <w: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606" w:type="dxa"/>
            <w:tcBorders/>
            <w:shd w:fill="auto" w:val="clear"/>
            <w:vAlign w:val="center"/>
          </w:tcPr>
          <w:p>
            <w:pPr>
              <w:pStyle w:val="TableContents"/>
              <w:spacing w:before="0" w:after="283"/>
              <w:rPr/>
            </w:pPr>
            <w:r>
              <w:rPr/>
              <w:t> </w:t>
            </w:r>
          </w:p>
        </w:tc>
        <w:tc>
          <w:tcPr>
            <w:tcW w:w="607" w:type="dxa"/>
            <w:tcBorders/>
            <w:shd w:fill="auto" w:val="clear"/>
          </w:tcPr>
          <w:p>
            <w:pPr>
              <w:pStyle w:val="TableContents"/>
              <w:spacing w:before="0" w:after="283"/>
              <w:rPr/>
            </w:pPr>
            <w:r>
              <w:rPr>
                <w:rFonts w:ascii="serif" w:hAnsi="serif"/>
              </w:rPr>
              <w:t>a.</w:t>
            </w:r>
            <w:r>
              <w:rPr/>
              <w:t xml:space="preserve">      </w:t>
            </w:r>
          </w:p>
        </w:tc>
        <w:tc>
          <w:tcPr>
            <w:tcW w:w="8992" w:type="dxa"/>
            <w:tcBorders/>
            <w:shd w:fill="auto" w:val="clear"/>
            <w:vAlign w:val="center"/>
          </w:tcPr>
          <w:p>
            <w:pPr>
              <w:pStyle w:val="TableContents"/>
              <w:spacing w:before="0" w:after="283"/>
              <w:rPr/>
            </w:pPr>
            <w:r>
              <w:rPr>
                <w:rFonts w:ascii="serif" w:hAnsi="serif"/>
                <w:u w:val="single"/>
              </w:rPr>
              <w:t>Amendment</w:t>
            </w:r>
            <w:r>
              <w:rPr>
                <w:rFonts w:ascii="serif" w:hAnsi="serif"/>
              </w:rPr>
              <w:t>. This Agreement may be modified or amended by the Board of Directors of Honeywell at any time, but an amendment that affects the rights, benefits or obligations of Executive after Honeywells obligation to pay the Annual Payment becomes irrevocable under Section 5(b) shall not apply unless Executive (or Co-insured following Executives death) consents, in writing, to the amendment.</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305"/>
        <w:gridCol w:w="305"/>
        <w:gridCol w:w="9595"/>
      </w:tblGrid>
      <w:tr>
        <w:trPr/>
        <w:tc>
          <w:tcPr>
            <w:tcW w:w="305" w:type="dxa"/>
            <w:tcBorders/>
            <w:shd w:fill="auto" w:val="clear"/>
          </w:tcPr>
          <w:p>
            <w:pPr>
              <w:pStyle w:val="TableContents"/>
              <w:pageBreakBefore/>
              <w:spacing w:before="0" w:after="283"/>
              <w:rPr/>
            </w:pPr>
            <w:r>
              <w:rPr/>
              <w:t> </w:t>
            </w:r>
          </w:p>
        </w:tc>
        <w:tc>
          <w:tcPr>
            <w:tcW w:w="305" w:type="dxa"/>
            <w:tcBorders/>
            <w:shd w:fill="auto" w:val="clear"/>
          </w:tcPr>
          <w:p>
            <w:pPr>
              <w:pStyle w:val="TableContents"/>
              <w:spacing w:before="0" w:after="283"/>
              <w:rPr>
                <w:rFonts w:ascii="serif" w:hAnsi="serif"/>
              </w:rPr>
            </w:pPr>
            <w:r>
              <w:rPr>
                <w:rFonts w:ascii="serif" w:hAnsi="serif"/>
              </w:rPr>
              <w:t>b.</w:t>
            </w:r>
          </w:p>
        </w:tc>
        <w:tc>
          <w:tcPr>
            <w:tcW w:w="9595" w:type="dxa"/>
            <w:tcBorders/>
            <w:shd w:fill="auto" w:val="clear"/>
            <w:vAlign w:val="center"/>
          </w:tcPr>
          <w:p>
            <w:pPr>
              <w:pStyle w:val="TableContents"/>
              <w:spacing w:before="0" w:after="283"/>
              <w:rPr/>
            </w:pPr>
            <w:r>
              <w:rPr>
                <w:rFonts w:ascii="serif" w:hAnsi="serif"/>
                <w:u w:val="single"/>
              </w:rPr>
              <w:t>Termination</w:t>
            </w:r>
            <w:r>
              <w:rPr>
                <w:rFonts w:ascii="serif" w:hAnsi="serif"/>
              </w:rPr>
              <w:t>. The Board of Directors of Honeywell may terminate this Agreement at any time, but a termination which affects the rights, benefits or obligations of Executive after Honeywells obligation to pay the Annual Payment becomes irrevocable under Section 5(b) shall not apply unless Executive (or Co-insured following Executives death) consents, in writing, to the termination.</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rFonts w:ascii="serif" w:hAnsi="serif"/>
              </w:rPr>
            </w:pPr>
            <w:r>
              <w:rPr>
                <w:rFonts w:ascii="serif" w:hAnsi="serif"/>
              </w:rPr>
              <w:t>c.</w:t>
            </w:r>
          </w:p>
        </w:tc>
        <w:tc>
          <w:tcPr>
            <w:tcW w:w="9595" w:type="dxa"/>
            <w:tcBorders/>
            <w:shd w:fill="auto" w:val="clear"/>
            <w:vAlign w:val="center"/>
          </w:tcPr>
          <w:p>
            <w:pPr>
              <w:pStyle w:val="TableContents"/>
              <w:spacing w:before="0" w:after="283"/>
              <w:rPr/>
            </w:pPr>
            <w:r>
              <w:rPr>
                <w:rFonts w:ascii="serif" w:hAnsi="serif"/>
                <w:u w:val="single"/>
              </w:rPr>
              <w:t>Administration</w:t>
            </w:r>
            <w:r>
              <w:rPr>
                <w:rFonts w:ascii="serif" w:hAnsi="serif"/>
              </w:rPr>
              <w:t>. This Agreement shall be administered by the Administrator, whose address is Honeywell International Inc., 101 Columbia Road, Morristown, New Jersey 07962. The Administrator shall have the authority to make, amend, interpret, and enforce all rules and regulations for the administration of the Agreement and decide or resolve any and all questions, including interpretations of the Agreement, as may arise in connection with the Agreement in the Administrators sole discretion. In the administration of this Agreement, the Administrator may, from time to time, employ agents and delegate to them or to others such administrative duties as it sees fit. The Administrator may from time to time consult with counsel, who may be counsel to Honeywell. The decision or action of the Administrator (or its designee) with respect to any question arising out of or in connection with the administration, interpretation and application of this Agreement shall be final and conclusive and binding upon all persons having any interest in the Agreement. Honeywell shall indemnify and hold harmless the Administrator and any persons to whom administrative duties under this Agreement are delegated, against any and all claims, loss, damage, expense or liability arising from any action or failure to act with respect to this Agreement, except in the case of gross negligence or willful misconduct by the Administrator.</w:t>
            </w:r>
            <w:r>
              <w:rPr/>
              <w:t xml:space="preserve"> </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9595" w:type="dxa"/>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TextBody"/>
        <w:rPr/>
      </w:pPr>
      <w:r>
        <w:rPr/>
        <w:t> </w:t>
      </w:r>
    </w:p>
    <w:tbl>
      <w:tblPr>
        <w:tblW w:w="5000" w:type="pct"/>
        <w:jc w:val="left"/>
        <w:tblInd w:w="0" w:type="dxa"/>
        <w:tblCellMar>
          <w:top w:w="0" w:type="dxa"/>
          <w:left w:w="0" w:type="dxa"/>
          <w:bottom w:w="0" w:type="dxa"/>
          <w:right w:w="0" w:type="dxa"/>
        </w:tblCellMar>
      </w:tblPr>
      <w:tblGrid>
        <w:gridCol w:w="320"/>
        <w:gridCol w:w="320"/>
        <w:gridCol w:w="9565"/>
      </w:tblGrid>
      <w:tr>
        <w:trPr/>
        <w:tc>
          <w:tcPr>
            <w:tcW w:w="3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56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rPr>
                <w:rFonts w:ascii="serif" w:hAnsi="serif"/>
              </w:rPr>
            </w:pPr>
            <w:r>
              <w:rPr>
                <w:rFonts w:ascii="serif" w:hAnsi="serif"/>
              </w:rPr>
              <w:t>d.</w:t>
            </w:r>
          </w:p>
        </w:tc>
        <w:tc>
          <w:tcPr>
            <w:tcW w:w="9565" w:type="dxa"/>
            <w:tcBorders/>
            <w:shd w:fill="auto" w:val="clear"/>
            <w:vAlign w:val="center"/>
          </w:tcPr>
          <w:p>
            <w:pPr>
              <w:pStyle w:val="TableContents"/>
              <w:spacing w:before="0" w:after="283"/>
              <w:rPr/>
            </w:pPr>
            <w:r>
              <w:rPr>
                <w:rFonts w:ascii="serif" w:hAnsi="serif"/>
                <w:u w:val="single"/>
              </w:rPr>
              <w:t>Successors</w:t>
            </w:r>
            <w:r>
              <w:rPr>
                <w:rFonts w:ascii="serif" w:hAnsi="serif"/>
              </w:rPr>
              <w:t>. The terms and conditions of this Agreement shall inure to the benefit of and bind Honeywell and Executive and their successors, assignees, and representatives.</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56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rFonts w:ascii="serif" w:hAnsi="serif"/>
              </w:rPr>
              <w:t>10.</w:t>
            </w:r>
            <w:r>
              <w:rPr/>
              <w:t> </w:t>
            </w:r>
          </w:p>
        </w:tc>
        <w:tc>
          <w:tcPr>
            <w:tcW w:w="9885" w:type="dxa"/>
            <w:gridSpan w:val="2"/>
            <w:tcBorders/>
            <w:shd w:fill="auto" w:val="clear"/>
            <w:vAlign w:val="center"/>
          </w:tcPr>
          <w:p>
            <w:pPr>
              <w:pStyle w:val="TableContents"/>
              <w:spacing w:before="0" w:after="283"/>
              <w:rPr/>
            </w:pPr>
            <w:r>
              <w:rPr>
                <w:rFonts w:ascii="serif" w:hAnsi="serif"/>
                <w:u w:val="single"/>
              </w:rPr>
              <w:t>Claims Procedure; Agreement Information</w:t>
            </w:r>
            <w:r>
              <w:rPr>
                <w:rFonts w:ascii="serif" w:hAnsi="serif"/>
              </w:rPr>
              <w:t>.</w:t>
            </w:r>
            <w:r>
              <w:rPr/>
              <w:t xml:space="preserve">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56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rPr>
                <w:rFonts w:ascii="serif" w:hAnsi="serif"/>
              </w:rPr>
            </w:pPr>
            <w:r>
              <w:rPr>
                <w:rFonts w:ascii="serif" w:hAnsi="serif"/>
              </w:rPr>
              <w:t>a.</w:t>
            </w:r>
          </w:p>
        </w:tc>
        <w:tc>
          <w:tcPr>
            <w:tcW w:w="9565" w:type="dxa"/>
            <w:tcBorders/>
            <w:shd w:fill="auto" w:val="clear"/>
            <w:vAlign w:val="center"/>
          </w:tcPr>
          <w:p>
            <w:pPr>
              <w:pStyle w:val="TableContents"/>
              <w:spacing w:before="0" w:after="283"/>
              <w:rPr/>
            </w:pPr>
            <w:r>
              <w:rPr>
                <w:rFonts w:ascii="serif" w:hAnsi="serif"/>
                <w:u w:val="single"/>
              </w:rPr>
              <w:t>Named Fiduciary</w:t>
            </w:r>
            <w:r>
              <w:rPr>
                <w:rFonts w:ascii="serif" w:hAnsi="serif"/>
              </w:rPr>
              <w:t>. The Administrator is hereby designated as the named fiduciary under this Agreement. The named fiduciary shall have authority to control and manage the operation and administration of the Agreement.</w:t>
            </w:r>
            <w:r>
              <w:rPr/>
              <w:t xml:space="preserve">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56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rPr/>
            </w:pPr>
            <w:r>
              <w:rPr>
                <w:rFonts w:ascii="serif" w:hAnsi="serif"/>
              </w:rPr>
              <w:t>b.</w:t>
            </w:r>
            <w:r>
              <w:rPr/>
              <w:t>   </w:t>
            </w:r>
          </w:p>
        </w:tc>
        <w:tc>
          <w:tcPr>
            <w:tcW w:w="9565" w:type="dxa"/>
            <w:tcBorders/>
            <w:shd w:fill="auto" w:val="clear"/>
            <w:vAlign w:val="center"/>
          </w:tcPr>
          <w:p>
            <w:pPr>
              <w:pStyle w:val="TableContents"/>
              <w:spacing w:before="0" w:after="283"/>
              <w:rPr/>
            </w:pPr>
            <w:r>
              <w:rPr>
                <w:rFonts w:ascii="serif" w:hAnsi="serif"/>
                <w:u w:val="single"/>
              </w:rPr>
              <w:t>Claims Procedures</w:t>
            </w:r>
            <w:r>
              <w:rPr>
                <w:rFonts w:ascii="serif" w:hAnsi="serif"/>
              </w:rPr>
              <w:t>. Any controversy or claim arising out of or relating to this Agreement shall be filed with the Administrator, Honeywell International Inc., 101 Columbia Road, Morristown, New Jersey 07962. The Administrator shall make all determinations concerning such claim.</w:t>
            </w:r>
            <w:r>
              <w:rPr/>
              <w:t xml:space="preserve">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rPr/>
            </w:pPr>
            <w:r>
              <w:rPr/>
              <w:t> </w:t>
            </w:r>
          </w:p>
        </w:tc>
        <w:tc>
          <w:tcPr>
            <w:tcW w:w="9565" w:type="dxa"/>
            <w:tcBorders/>
            <w:shd w:fill="auto" w:val="clear"/>
            <w:vAlign w:val="center"/>
          </w:tcPr>
          <w:p>
            <w:pPr>
              <w:pStyle w:val="TableContents"/>
              <w:spacing w:before="0" w:after="283"/>
              <w:rPr/>
            </w:pPr>
            <w:r>
              <w:rPr/>
              <w:t> </w:t>
            </w:r>
          </w:p>
        </w:tc>
      </w:tr>
      <w:tr>
        <w:trPr/>
        <w:tc>
          <w:tcPr>
            <w:tcW w:w="320" w:type="dxa"/>
            <w:tcBorders/>
            <w:shd w:fill="auto" w:val="clear"/>
            <w:vAlign w:val="center"/>
          </w:tcPr>
          <w:p>
            <w:pPr>
              <w:pStyle w:val="TableContents"/>
              <w:spacing w:before="0" w:after="283"/>
              <w:rPr/>
            </w:pPr>
            <w:r>
              <w:rPr/>
              <w:t> </w:t>
            </w:r>
          </w:p>
        </w:tc>
        <w:tc>
          <w:tcPr>
            <w:tcW w:w="320" w:type="dxa"/>
            <w:tcBorders/>
            <w:shd w:fill="auto" w:val="clear"/>
          </w:tcPr>
          <w:p>
            <w:pPr>
              <w:pStyle w:val="TableContents"/>
              <w:spacing w:before="0" w:after="283"/>
              <w:rPr/>
            </w:pPr>
            <w:r>
              <w:rPr/>
              <w:t> </w:t>
            </w:r>
          </w:p>
        </w:tc>
        <w:tc>
          <w:tcPr>
            <w:tcW w:w="9565" w:type="dxa"/>
            <w:tcBorders/>
            <w:shd w:fill="auto" w:val="clear"/>
            <w:vAlign w:val="center"/>
          </w:tcPr>
          <w:p>
            <w:pPr>
              <w:pStyle w:val="TableContents"/>
              <w:spacing w:before="0" w:after="283"/>
              <w:rPr/>
            </w:pPr>
            <w:r>
              <w:rPr/>
              <w:t>     </w:t>
            </w:r>
            <w:r>
              <w:rPr/>
              <w:t>Any decision by the Administrator denying such claim shall be in writing and shall be delivered to all parties in interest in accordance with the notice provisions of Section 7(b) hereof. The denial shall state a specific reason for it, shall cite to pertinent provisions of the Agreement and, where appropriate, provide an explanation as to how the claimant can perfect the claim. The denial shall include a statement that an appeal must be in writing to the Administrator within sixty (60) days after receipt of the Administrators notice of the denial and of claimants right to bring a civil action under Section 502(a) of ERISA following a denial on appeal. This notice of denial of benefits shall be provided within ninety (90) days of the Administrators receipt of the claimants claim for benefits. If the Administrator fails to notify the claimant of its decision regarding the claim, the claim shall be considered denied, and the claimant shall then be permitted to proceed with the appeal as provided in this Section.</w:t>
            </w:r>
          </w:p>
        </w:tc>
      </w:tr>
    </w:tbl>
    <w:p>
      <w:pPr>
        <w:pStyle w:val="TextBody"/>
        <w:rPr/>
      </w:pPr>
      <w:r>
        <w:rPr/>
        <w:t> </w:t>
      </w:r>
    </w:p>
    <w:p>
      <w:pPr>
        <w:pStyle w:val="TextBody"/>
        <w:rPr/>
      </w:pPr>
      <w:r>
        <w:rPr/>
        <w:t> </w:t>
      </w:r>
    </w:p>
    <w:p>
      <w:pPr>
        <w:pStyle w:val="HorizontalLine"/>
        <w:pBdr>
          <w:bottom w:val="single" w:sz="24" w:space="0" w:color="808080"/>
        </w:pBdr>
        <w:rPr/>
      </w:pPr>
      <w:r>
        <w:rPr/>
      </w:r>
      <w:r>
        <w:br w:type="page"/>
      </w:r>
    </w:p>
    <w:tbl>
      <w:tblPr>
        <w:tblW w:w="5000" w:type="pct"/>
        <w:jc w:val="left"/>
        <w:tblInd w:w="0" w:type="dxa"/>
        <w:tblCellMar>
          <w:top w:w="0" w:type="dxa"/>
          <w:left w:w="0" w:type="dxa"/>
          <w:bottom w:w="0" w:type="dxa"/>
          <w:right w:w="0" w:type="dxa"/>
        </w:tblCellMar>
      </w:tblPr>
      <w:tblGrid>
        <w:gridCol w:w="305"/>
        <w:gridCol w:w="305"/>
        <w:gridCol w:w="305"/>
        <w:gridCol w:w="9290"/>
      </w:tblGrid>
      <w:tr>
        <w:trPr/>
        <w:tc>
          <w:tcPr>
            <w:tcW w:w="305" w:type="dxa"/>
            <w:tcBorders/>
            <w:shd w:fill="auto" w:val="clear"/>
            <w:vAlign w:val="center"/>
          </w:tcPr>
          <w:p>
            <w:pPr>
              <w:pStyle w:val="TableContents"/>
              <w:pageBreakBefore/>
              <w:spacing w:before="0" w:after="283"/>
              <w:rPr/>
            </w:pPr>
            <w:r>
              <w:rPr/>
              <w:t> </w:t>
            </w:r>
          </w:p>
        </w:tc>
        <w:tc>
          <w:tcPr>
            <w:tcW w:w="305" w:type="dxa"/>
            <w:tcBorders/>
            <w:shd w:fill="auto" w:val="clear"/>
          </w:tcPr>
          <w:p>
            <w:pPr>
              <w:pStyle w:val="TableContents"/>
              <w:spacing w:before="0" w:after="283"/>
              <w:rPr/>
            </w:pPr>
            <w:r>
              <w:rPr/>
              <w:t> </w:t>
            </w:r>
          </w:p>
        </w:tc>
        <w:tc>
          <w:tcPr>
            <w:tcW w:w="9595" w:type="dxa"/>
            <w:gridSpan w:val="2"/>
            <w:tcBorders/>
            <w:shd w:fill="auto" w:val="clear"/>
          </w:tcPr>
          <w:p>
            <w:pPr>
              <w:pStyle w:val="TableContents"/>
              <w:spacing w:before="0" w:after="283"/>
              <w:rPr/>
            </w:pPr>
            <w:r>
              <w:rPr/>
              <w:t>     </w:t>
            </w:r>
            <w:r>
              <w:rPr>
                <w:rFonts w:ascii="serif" w:hAnsi="serif"/>
              </w:rPr>
              <w:t>A claimant who has been completely or partially denied a benefit shall be entitled to appeal this denial of his/her claim by filing a written statement of his/her position with the Administrator no later than sixty (60) days after receipt of the written notification of such claim denial. The Administrator shall schedule and provide an opportunity for a full and fair review of the issue within thirty (30) days of receipt of the appeal. If the claimant appeals a denial of benefits, the Administrator shall reexamine all facts related to such claim and its denial, taking into account all comments, documents, records and other information submitted by the claimant relating to the claim, regardless of whether such information was submitted or considered in the initial benefit determination, and shall make a final determination as to whether the denial of benefits is justified under the circumstances.</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gridSpan w:val="2"/>
            <w:tcBorders/>
            <w:shd w:fill="auto" w:val="clear"/>
          </w:tcPr>
          <w:p>
            <w:pPr>
              <w:pStyle w:val="TableContents"/>
              <w:spacing w:before="0" w:after="283"/>
              <w:rPr/>
            </w:pPr>
            <w:r>
              <w:rPr/>
              <w:t> </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gridSpan w:val="2"/>
            <w:tcBorders/>
            <w:shd w:fill="auto" w:val="clear"/>
          </w:tcPr>
          <w:p>
            <w:pPr>
              <w:pStyle w:val="TableContents"/>
              <w:spacing w:before="0" w:after="283"/>
              <w:rPr/>
            </w:pPr>
            <w:r>
              <w:rPr/>
              <w:t>     </w:t>
            </w:r>
            <w:r>
              <w:rPr>
                <w:rFonts w:ascii="serif" w:hAnsi="serif"/>
              </w:rPr>
              <w:t xml:space="preserve">Following the review of information submitted by the claimant, either through the hearing process or otherwise, the Administrator shall render a decision on the review of the denied claim in the following manner: </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gridSpan w:val="2"/>
            <w:tcBorders/>
            <w:shd w:fill="auto" w:val="clear"/>
          </w:tcPr>
          <w:p>
            <w:pPr>
              <w:pStyle w:val="TableContents"/>
              <w:spacing w:before="0" w:after="283"/>
              <w:rPr/>
            </w:pPr>
            <w:r>
              <w:rPr/>
              <w:t> </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rFonts w:ascii="serif" w:hAnsi="serif"/>
              </w:rPr>
              <w:t>i.</w:t>
            </w:r>
            <w:r>
              <w:rPr/>
              <w:t> </w:t>
            </w:r>
          </w:p>
        </w:tc>
        <w:tc>
          <w:tcPr>
            <w:tcW w:w="9290" w:type="dxa"/>
            <w:tcBorders/>
            <w:shd w:fill="auto" w:val="clear"/>
            <w:vAlign w:val="center"/>
          </w:tcPr>
          <w:p>
            <w:pPr>
              <w:pStyle w:val="TableContents"/>
              <w:spacing w:before="0" w:after="283"/>
              <w:rPr>
                <w:rFonts w:ascii="serif" w:hAnsi="serif"/>
              </w:rPr>
            </w:pPr>
            <w:r>
              <w:rPr>
                <w:rFonts w:ascii="serif" w:hAnsi="serif"/>
              </w:rPr>
              <w:t>The Administrator shall make its decision regarding the merits of the denied claim within sixty (60) days following receipt of the request for review (or within 120 days after such receipt, in a case where there are special circumstances requiring extension of time for reviewing the appealed claim). The Administrator shall deliver the decision to the claimant in writing. If an extension of time for reviewing the appealed claim is required because of special circumstances, written notice of the extension shall be furnished to the claimant prior to the commencement of the extension. If the decision on review is not furnished within the prescribed time, the claim shall be deemed</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gridSpan w:val="2"/>
            <w:tcBorders/>
            <w:shd w:fill="auto" w:val="clear"/>
          </w:tcPr>
          <w:p>
            <w:pPr>
              <w:pStyle w:val="TableContents"/>
              <w:spacing w:before="0" w:after="283"/>
              <w:rPr/>
            </w:pPr>
            <w:r>
              <w:rPr/>
              <w:t> </w:t>
            </w:r>
          </w:p>
        </w:tc>
      </w:tr>
      <w:tr>
        <w:trPr/>
        <w:tc>
          <w:tcPr>
            <w:tcW w:w="305"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gridSpan w:val="2"/>
            <w:tcBorders/>
            <w:shd w:fill="auto" w:val="clear"/>
          </w:tcPr>
          <w:p>
            <w:pPr>
              <w:pStyle w:val="TableContents"/>
              <w:spacing w:before="0" w:after="283"/>
              <w:rPr/>
            </w:pPr>
            <w:r>
              <w:rPr/>
              <w:t> </w:t>
            </w:r>
          </w:p>
        </w:tc>
      </w:tr>
    </w:tbl>
    <w:p>
      <w:pPr>
        <w:pStyle w:val="HorizontalLine"/>
        <w:pBdr>
          <w:bottom w:val="single" w:sz="24" w:space="0" w:color="808080"/>
        </w:pBdr>
        <w:rPr/>
      </w:pPr>
      <w:r>
        <w:rPr/>
      </w:r>
      <w:r>
        <w:br w:type="page"/>
      </w:r>
    </w:p>
    <w:p>
      <w:pPr>
        <w:pStyle w:val="TextBody"/>
        <w:rPr/>
      </w:pPr>
      <w:bookmarkStart w:id="37" w:name="page_11"/>
      <w:bookmarkEnd w:id="37"/>
      <w:r>
        <w:rPr/>
        <w:t>    </w:t>
      </w:r>
    </w:p>
    <w:tbl>
      <w:tblPr>
        <w:tblW w:w="5000" w:type="pct"/>
        <w:jc w:val="left"/>
        <w:tblInd w:w="0" w:type="dxa"/>
        <w:tblCellMar>
          <w:top w:w="0" w:type="dxa"/>
          <w:left w:w="0" w:type="dxa"/>
          <w:bottom w:w="0" w:type="dxa"/>
          <w:right w:w="0" w:type="dxa"/>
        </w:tblCellMar>
      </w:tblPr>
      <w:tblGrid>
        <w:gridCol w:w="303"/>
        <w:gridCol w:w="315"/>
        <w:gridCol w:w="315"/>
        <w:gridCol w:w="9272"/>
      </w:tblGrid>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272" w:type="dxa"/>
            <w:tcBorders/>
            <w:shd w:fill="auto" w:val="clear"/>
            <w:vAlign w:val="center"/>
          </w:tcPr>
          <w:p>
            <w:pPr>
              <w:pStyle w:val="TableContents"/>
              <w:spacing w:before="0" w:after="283"/>
              <w:rPr>
                <w:rFonts w:ascii="serif" w:hAnsi="serif"/>
              </w:rPr>
            </w:pPr>
            <w:r>
              <w:rPr>
                <w:rFonts w:ascii="serif" w:hAnsi="serif"/>
              </w:rPr>
              <w:t>denied on review. The Administrators decision shall be binding on all persons affected thereby.</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272" w:type="dxa"/>
            <w:tcBorders/>
            <w:shd w:fill="auto" w:val="clear"/>
            <w:vAlign w:val="center"/>
          </w:tcPr>
          <w:p>
            <w:pPr>
              <w:pStyle w:val="TableContents"/>
              <w:spacing w:before="0" w:after="283"/>
              <w:rPr/>
            </w:pPr>
            <w:r>
              <w:rPr/>
              <w:t> </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rFonts w:ascii="serif" w:hAnsi="serif"/>
              </w:rPr>
              <w:t>ii.</w:t>
            </w:r>
            <w:r>
              <w:rPr/>
              <w:t> </w:t>
            </w:r>
          </w:p>
        </w:tc>
        <w:tc>
          <w:tcPr>
            <w:tcW w:w="9272" w:type="dxa"/>
            <w:tcBorders/>
            <w:shd w:fill="auto" w:val="clear"/>
            <w:vAlign w:val="center"/>
          </w:tcPr>
          <w:p>
            <w:pPr>
              <w:pStyle w:val="TableContents"/>
              <w:spacing w:before="0" w:after="283"/>
              <w:rPr>
                <w:rFonts w:ascii="serif" w:hAnsi="serif"/>
              </w:rPr>
            </w:pPr>
            <w:r>
              <w:rPr>
                <w:rFonts w:ascii="serif" w:hAnsi="serif"/>
              </w:rPr>
              <w:t>The decision on review shall include the specific reason for the adverse determination; specific reference to pertinent Agreement provisions; a statement that the claimant is entitled to receive, upon request and free of charge, reasonable access to, and copies of, all documents, records and other information relevant to the claimant's claim for benefits; and a statement that the claimant has a right to bring a civil action under Section 502(a) of ERISA.</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272" w:type="dxa"/>
            <w:tcBorders/>
            <w:shd w:fill="auto" w:val="clear"/>
            <w:vAlign w:val="center"/>
          </w:tcPr>
          <w:p>
            <w:pPr>
              <w:pStyle w:val="TableContents"/>
              <w:spacing w:before="0" w:after="283"/>
              <w:rPr/>
            </w:pPr>
            <w:r>
              <w:rPr/>
              <w:t> </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rFonts w:ascii="serif" w:hAnsi="serif"/>
              </w:rPr>
              <w:t>c.</w:t>
            </w:r>
            <w:r>
              <w:rPr/>
              <w:t> </w:t>
            </w:r>
          </w:p>
        </w:tc>
        <w:tc>
          <w:tcPr>
            <w:tcW w:w="9587" w:type="dxa"/>
            <w:gridSpan w:val="2"/>
            <w:tcBorders/>
            <w:shd w:fill="auto" w:val="clear"/>
          </w:tcPr>
          <w:p>
            <w:pPr>
              <w:pStyle w:val="TableContents"/>
              <w:spacing w:before="0" w:after="283"/>
              <w:rPr/>
            </w:pPr>
            <w:r>
              <w:rPr>
                <w:rFonts w:ascii="serif" w:hAnsi="serif"/>
                <w:u w:val="single"/>
              </w:rPr>
              <w:t>Agent for Service of Process</w:t>
            </w:r>
            <w:r>
              <w:rPr>
                <w:rFonts w:ascii="serif" w:hAnsi="serif"/>
              </w:rPr>
              <w:t>. The agent for service of process on the Agreement and service of legal process shall be the Senior Vice President, Human Resources and Communications, Honeywell International Inc., 101 Columbia Road, Morristown, New Jersey 07962.</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272" w:type="dxa"/>
            <w:tcBorders/>
            <w:shd w:fill="auto" w:val="clear"/>
            <w:vAlign w:val="center"/>
          </w:tcPr>
          <w:p>
            <w:pPr>
              <w:pStyle w:val="TableContents"/>
              <w:spacing w:before="0" w:after="283"/>
              <w:rPr/>
            </w:pPr>
            <w:r>
              <w:rPr/>
              <w:t> </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rFonts w:ascii="serif" w:hAnsi="serif"/>
              </w:rPr>
              <w:t>d.</w:t>
            </w:r>
            <w:r>
              <w:rPr/>
              <w:t> </w:t>
            </w:r>
          </w:p>
        </w:tc>
        <w:tc>
          <w:tcPr>
            <w:tcW w:w="9587" w:type="dxa"/>
            <w:gridSpan w:val="2"/>
            <w:tcBorders/>
            <w:shd w:fill="auto" w:val="clear"/>
          </w:tcPr>
          <w:p>
            <w:pPr>
              <w:pStyle w:val="TableContents"/>
              <w:spacing w:before="0" w:after="283"/>
              <w:rPr/>
            </w:pPr>
            <w:r>
              <w:rPr>
                <w:rFonts w:ascii="serif" w:hAnsi="serif"/>
                <w:u w:val="single"/>
              </w:rPr>
              <w:t>Agreement Year</w:t>
            </w:r>
            <w:r>
              <w:rPr>
                <w:rFonts w:ascii="serif" w:hAnsi="serif"/>
              </w:rPr>
              <w:t>. The agreement year of the Agreement shall be the calendar year.</w:t>
            </w:r>
          </w:p>
        </w:tc>
      </w:tr>
      <w:tr>
        <w:trPr/>
        <w:tc>
          <w:tcPr>
            <w:tcW w:w="303"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272" w:type="dxa"/>
            <w:tcBorders/>
            <w:shd w:fill="auto" w:val="clear"/>
            <w:vAlign w:val="center"/>
          </w:tcPr>
          <w:p>
            <w:pPr>
              <w:pStyle w:val="TableContents"/>
              <w:spacing w:before="0" w:after="283"/>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1999"/>
        <w:gridCol w:w="2892"/>
        <w:gridCol w:w="593"/>
        <w:gridCol w:w="101"/>
        <w:gridCol w:w="3455"/>
        <w:gridCol w:w="1165"/>
      </w:tblGrid>
      <w:tr>
        <w:trPr/>
        <w:tc>
          <w:tcPr>
            <w:tcW w:w="1999" w:type="dxa"/>
            <w:tcBorders/>
            <w:shd w:fill="auto" w:val="clear"/>
            <w:vAlign w:val="bottom"/>
          </w:tcPr>
          <w:p>
            <w:pPr>
              <w:pStyle w:val="TableContents"/>
              <w:spacing w:before="0" w:after="283"/>
              <w:jc w:val="left"/>
              <w:rPr/>
            </w:pPr>
            <w:r>
              <w:rPr>
                <w:rFonts w:ascii="serif" w:hAnsi="serif"/>
                <w:u w:val="single"/>
              </w:rPr>
              <w:t>August 4, 2006</w:t>
            </w: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rFonts w:ascii="serif" w:hAnsi="serif"/>
                <w:u w:val="single"/>
              </w:rPr>
            </w:pPr>
            <w:r>
              <w:rPr>
                <w:rFonts w:ascii="serif" w:hAnsi="serif"/>
                <w:u w:val="single"/>
              </w:rPr>
              <w:t>/s/ David M. Cote</w:t>
            </w:r>
          </w:p>
        </w:tc>
        <w:tc>
          <w:tcPr>
            <w:tcW w:w="1165" w:type="dxa"/>
            <w:tcBorders/>
            <w:shd w:fill="auto" w:val="clear"/>
            <w:vAlign w:val="bottom"/>
          </w:tcPr>
          <w:p>
            <w:pPr>
              <w:pStyle w:val="TableContents"/>
              <w:spacing w:before="0" w:after="283"/>
              <w:jc w:val="left"/>
              <w:rPr/>
            </w:pPr>
            <w:r>
              <w:rPr/>
              <w:t> </w:t>
            </w:r>
          </w:p>
        </w:tc>
      </w:tr>
      <w:tr>
        <w:trPr/>
        <w:tc>
          <w:tcPr>
            <w:tcW w:w="1999" w:type="dxa"/>
            <w:tcBorders/>
            <w:shd w:fill="auto" w:val="clear"/>
            <w:vAlign w:val="bottom"/>
          </w:tcPr>
          <w:p>
            <w:pPr>
              <w:pStyle w:val="TableContents"/>
              <w:spacing w:before="0" w:after="283"/>
              <w:jc w:val="left"/>
              <w:rPr/>
            </w:pPr>
            <w:r>
              <w:rPr>
                <w:rFonts w:ascii="serif" w:hAnsi="serif"/>
              </w:rPr>
              <w:t>Date</w:t>
            </w: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center"/>
              <w:rPr/>
            </w:pPr>
            <w:r>
              <w:rPr>
                <w:rFonts w:ascii="serif" w:hAnsi="serif"/>
              </w:rPr>
              <w:t>David M. Cote</w:t>
            </w:r>
            <w:r>
              <w:rPr/>
              <w:t xml:space="preserve">  </w:t>
            </w:r>
          </w:p>
        </w:tc>
        <w:tc>
          <w:tcPr>
            <w:tcW w:w="1165" w:type="dxa"/>
            <w:tcBorders/>
            <w:shd w:fill="auto" w:val="clear"/>
            <w:vAlign w:val="bottom"/>
          </w:tcPr>
          <w:p>
            <w:pPr>
              <w:pStyle w:val="TableContents"/>
              <w:spacing w:before="0" w:after="283"/>
              <w:jc w:val="center"/>
              <w:rPr/>
            </w:pPr>
            <w:r>
              <w:rPr/>
              <w:t> </w:t>
            </w:r>
          </w:p>
        </w:tc>
      </w:tr>
      <w:tr>
        <w:trPr/>
        <w:tc>
          <w:tcPr>
            <w:tcW w:w="10205" w:type="dxa"/>
            <w:gridSpan w:val="6"/>
            <w:tcBorders/>
            <w:shd w:fill="auto" w:val="clear"/>
            <w:vAlign w:val="center"/>
          </w:tcPr>
          <w:p>
            <w:pPr>
              <w:pStyle w:val="TableContents"/>
              <w:spacing w:before="0" w:after="283"/>
              <w:rPr/>
            </w:pPr>
            <w:r>
              <w:rPr/>
              <w:t xml:space="preserve">  </w:t>
            </w:r>
          </w:p>
        </w:tc>
      </w:tr>
      <w:tr>
        <w:trPr/>
        <w:tc>
          <w:tcPr>
            <w:tcW w:w="1999" w:type="dxa"/>
            <w:tcBorders/>
            <w:shd w:fill="auto" w:val="clear"/>
            <w:vAlign w:val="bottom"/>
          </w:tcPr>
          <w:p>
            <w:pPr>
              <w:pStyle w:val="TableContents"/>
              <w:spacing w:before="0" w:after="283"/>
              <w:jc w:val="left"/>
              <w:rPr/>
            </w:pP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pPr>
            <w:r>
              <w:rPr>
                <w:rFonts w:ascii="serif" w:hAnsi="serif"/>
                <w:u w:val="single"/>
              </w:rPr>
              <w:t>100 Columbia Road</w:t>
            </w:r>
            <w:r>
              <w:rPr/>
              <w:t xml:space="preserve">  </w:t>
            </w:r>
          </w:p>
        </w:tc>
        <w:tc>
          <w:tcPr>
            <w:tcW w:w="1165" w:type="dxa"/>
            <w:tcBorders/>
            <w:shd w:fill="auto" w:val="clear"/>
            <w:vAlign w:val="bottom"/>
          </w:tcPr>
          <w:p>
            <w:pPr>
              <w:pStyle w:val="TableContents"/>
              <w:spacing w:before="0" w:after="283"/>
              <w:jc w:val="left"/>
              <w:rPr/>
            </w:pPr>
            <w:r>
              <w:rPr/>
              <w:t> </w:t>
            </w:r>
          </w:p>
        </w:tc>
      </w:tr>
      <w:tr>
        <w:trPr/>
        <w:tc>
          <w:tcPr>
            <w:tcW w:w="10205" w:type="dxa"/>
            <w:gridSpan w:val="6"/>
            <w:tcBorders/>
            <w:shd w:fill="auto" w:val="clear"/>
            <w:vAlign w:val="center"/>
          </w:tcPr>
          <w:p>
            <w:pPr>
              <w:pStyle w:val="TableContents"/>
              <w:spacing w:before="0" w:after="283"/>
              <w:rPr/>
            </w:pPr>
            <w:r>
              <w:rPr/>
              <w:t xml:space="preserve">  </w:t>
            </w:r>
          </w:p>
        </w:tc>
      </w:tr>
      <w:tr>
        <w:trPr/>
        <w:tc>
          <w:tcPr>
            <w:tcW w:w="1999" w:type="dxa"/>
            <w:tcBorders/>
            <w:shd w:fill="auto" w:val="clear"/>
            <w:vAlign w:val="bottom"/>
          </w:tcPr>
          <w:p>
            <w:pPr>
              <w:pStyle w:val="TableContents"/>
              <w:spacing w:before="0" w:after="283"/>
              <w:jc w:val="left"/>
              <w:rPr/>
            </w:pP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pPr>
            <w:r>
              <w:rPr>
                <w:rFonts w:ascii="serif" w:hAnsi="serif"/>
                <w:u w:val="single"/>
              </w:rPr>
              <w:t>Morristown, NJ 07962</w:t>
            </w:r>
            <w:r>
              <w:rPr/>
              <w:t xml:space="preserve">  </w:t>
            </w:r>
          </w:p>
        </w:tc>
        <w:tc>
          <w:tcPr>
            <w:tcW w:w="1165" w:type="dxa"/>
            <w:tcBorders/>
            <w:shd w:fill="auto" w:val="clear"/>
            <w:vAlign w:val="bottom"/>
          </w:tcPr>
          <w:p>
            <w:pPr>
              <w:pStyle w:val="TableContents"/>
              <w:spacing w:before="0" w:after="283"/>
              <w:jc w:val="left"/>
              <w:rPr/>
            </w:pPr>
            <w:r>
              <w:rPr/>
              <w:t> </w:t>
            </w:r>
          </w:p>
        </w:tc>
      </w:tr>
      <w:tr>
        <w:trPr/>
        <w:tc>
          <w:tcPr>
            <w:tcW w:w="1999" w:type="dxa"/>
            <w:tcBorders/>
            <w:shd w:fill="auto" w:val="clear"/>
            <w:vAlign w:val="bottom"/>
          </w:tcPr>
          <w:p>
            <w:pPr>
              <w:pStyle w:val="TableContents"/>
              <w:spacing w:before="0" w:after="283"/>
              <w:jc w:val="left"/>
              <w:rPr/>
            </w:pP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pPr>
            <w:r>
              <w:rPr/>
              <w:t>                           </w:t>
            </w:r>
            <w:r>
              <w:rPr>
                <w:rFonts w:ascii="serif" w:hAnsi="serif"/>
              </w:rPr>
              <w:t>Address</w:t>
            </w:r>
            <w:r>
              <w:rPr/>
              <w:t xml:space="preserve">  </w:t>
            </w:r>
          </w:p>
        </w:tc>
        <w:tc>
          <w:tcPr>
            <w:tcW w:w="1165" w:type="dxa"/>
            <w:tcBorders/>
            <w:shd w:fill="auto" w:val="clear"/>
            <w:vAlign w:val="bottom"/>
          </w:tcPr>
          <w:p>
            <w:pPr>
              <w:pStyle w:val="TableContents"/>
              <w:spacing w:before="0" w:after="283"/>
              <w:jc w:val="left"/>
              <w:rPr/>
            </w:pPr>
            <w:r>
              <w:rPr/>
              <w:t> </w:t>
            </w:r>
          </w:p>
        </w:tc>
      </w:tr>
      <w:tr>
        <w:trPr/>
        <w:tc>
          <w:tcPr>
            <w:tcW w:w="10205" w:type="dxa"/>
            <w:gridSpan w:val="6"/>
            <w:tcBorders/>
            <w:shd w:fill="auto" w:val="clear"/>
            <w:vAlign w:val="center"/>
          </w:tcPr>
          <w:p>
            <w:pPr>
              <w:pStyle w:val="TableContents"/>
              <w:spacing w:before="0" w:after="283"/>
              <w:rPr/>
            </w:pPr>
            <w:r>
              <w:rPr/>
              <w:t xml:space="preserve">  </w:t>
            </w:r>
          </w:p>
        </w:tc>
      </w:tr>
      <w:tr>
        <w:trPr/>
        <w:tc>
          <w:tcPr>
            <w:tcW w:w="1999" w:type="dxa"/>
            <w:tcBorders/>
            <w:shd w:fill="auto" w:val="clear"/>
            <w:vAlign w:val="bottom"/>
          </w:tcPr>
          <w:p>
            <w:pPr>
              <w:pStyle w:val="TableContents"/>
              <w:spacing w:before="0" w:after="283"/>
              <w:jc w:val="left"/>
              <w:rPr/>
            </w:pPr>
            <w:r>
              <w:rPr/>
              <w:t xml:space="preserve">  </w:t>
            </w:r>
          </w:p>
        </w:tc>
        <w:tc>
          <w:tcPr>
            <w:tcW w:w="2892" w:type="dxa"/>
            <w:tcBorders/>
            <w:shd w:fill="auto" w:val="clear"/>
            <w:vAlign w:val="bottom"/>
          </w:tcPr>
          <w:p>
            <w:pPr>
              <w:pStyle w:val="TableContents"/>
              <w:spacing w:before="0" w:after="283"/>
              <w:rPr/>
            </w:pPr>
            <w:r>
              <w:rPr/>
              <w:t xml:space="preserve">  </w:t>
            </w:r>
          </w:p>
        </w:tc>
        <w:tc>
          <w:tcPr>
            <w:tcW w:w="5314" w:type="dxa"/>
            <w:gridSpan w:val="4"/>
            <w:tcBorders/>
            <w:shd w:fill="auto" w:val="clear"/>
            <w:vAlign w:val="bottom"/>
          </w:tcPr>
          <w:p>
            <w:pPr>
              <w:pStyle w:val="TableContents"/>
              <w:spacing w:before="0" w:after="283"/>
              <w:jc w:val="left"/>
              <w:rPr/>
            </w:pPr>
            <w:r>
              <w:rPr>
                <w:rFonts w:ascii="serif" w:hAnsi="serif"/>
              </w:rPr>
              <w:t>HONEYWELL INTERNATIONAL INC.</w:t>
            </w:r>
            <w:r>
              <w:rPr/>
              <w:t xml:space="preserve">  </w:t>
            </w:r>
          </w:p>
        </w:tc>
      </w:tr>
      <w:tr>
        <w:trPr/>
        <w:tc>
          <w:tcPr>
            <w:tcW w:w="10205" w:type="dxa"/>
            <w:gridSpan w:val="6"/>
            <w:tcBorders/>
            <w:shd w:fill="auto" w:val="clear"/>
            <w:vAlign w:val="center"/>
          </w:tcPr>
          <w:p>
            <w:pPr>
              <w:pStyle w:val="TableContents"/>
              <w:spacing w:before="0" w:after="283"/>
              <w:rPr/>
            </w:pPr>
            <w:r>
              <w:rPr/>
              <w:t xml:space="preserve">  </w:t>
            </w:r>
          </w:p>
        </w:tc>
      </w:tr>
      <w:tr>
        <w:trPr/>
        <w:tc>
          <w:tcPr>
            <w:tcW w:w="10205" w:type="dxa"/>
            <w:gridSpan w:val="6"/>
            <w:tcBorders/>
            <w:shd w:fill="auto" w:val="clear"/>
            <w:vAlign w:val="center"/>
          </w:tcPr>
          <w:p>
            <w:pPr>
              <w:pStyle w:val="TableContents"/>
              <w:spacing w:before="0" w:after="283"/>
              <w:rPr/>
            </w:pPr>
            <w:r>
              <w:rPr/>
              <w:t xml:space="preserve">  </w:t>
            </w:r>
          </w:p>
        </w:tc>
      </w:tr>
      <w:tr>
        <w:trPr/>
        <w:tc>
          <w:tcPr>
            <w:tcW w:w="1999" w:type="dxa"/>
            <w:tcBorders/>
            <w:shd w:fill="auto" w:val="clear"/>
            <w:vAlign w:val="bottom"/>
          </w:tcPr>
          <w:p>
            <w:pPr>
              <w:pStyle w:val="TableContents"/>
              <w:spacing w:before="0" w:after="283"/>
              <w:jc w:val="left"/>
              <w:rPr/>
            </w:pPr>
            <w:r>
              <w:rPr>
                <w:rFonts w:ascii="serif" w:hAnsi="serif"/>
                <w:u w:val="single"/>
              </w:rPr>
              <w:t>August 7, 2006</w:t>
            </w: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rFonts w:ascii="serif" w:hAnsi="serif"/>
              </w:rPr>
              <w:t>By:</w:t>
            </w: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pPr>
            <w:r>
              <w:rPr>
                <w:rFonts w:ascii="serif" w:hAnsi="serif"/>
                <w:u w:val="single"/>
              </w:rPr>
              <w:t>/s/ Thomas W. Weidenkopf</w:t>
            </w:r>
            <w:r>
              <w:rPr/>
              <w:t xml:space="preserve">  </w:t>
            </w:r>
          </w:p>
        </w:tc>
        <w:tc>
          <w:tcPr>
            <w:tcW w:w="1165" w:type="dxa"/>
            <w:tcBorders/>
            <w:shd w:fill="auto" w:val="clear"/>
            <w:vAlign w:val="bottom"/>
          </w:tcPr>
          <w:p>
            <w:pPr>
              <w:pStyle w:val="TableContents"/>
              <w:spacing w:before="0" w:after="283"/>
              <w:jc w:val="left"/>
              <w:rPr/>
            </w:pPr>
            <w:r>
              <w:rPr/>
              <w:t> </w:t>
            </w:r>
          </w:p>
        </w:tc>
      </w:tr>
      <w:tr>
        <w:trPr/>
        <w:tc>
          <w:tcPr>
            <w:tcW w:w="1999" w:type="dxa"/>
            <w:tcBorders/>
            <w:shd w:fill="auto" w:val="clear"/>
            <w:vAlign w:val="bottom"/>
          </w:tcPr>
          <w:p>
            <w:pPr>
              <w:pStyle w:val="TableContents"/>
              <w:spacing w:before="0" w:after="283"/>
              <w:jc w:val="left"/>
              <w:rPr/>
            </w:pPr>
            <w:r>
              <w:rPr>
                <w:rFonts w:ascii="serif" w:hAnsi="serif"/>
              </w:rPr>
              <w:t>Date</w:t>
            </w: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pPr>
            <w:r>
              <w:rPr/>
              <w:t xml:space="preserve">  </w:t>
            </w:r>
          </w:p>
        </w:tc>
        <w:tc>
          <w:tcPr>
            <w:tcW w:w="1165" w:type="dxa"/>
            <w:tcBorders/>
            <w:shd w:fill="auto" w:val="clear"/>
            <w:vAlign w:val="bottom"/>
          </w:tcPr>
          <w:p>
            <w:pPr>
              <w:pStyle w:val="TableContents"/>
              <w:spacing w:before="0" w:after="283"/>
              <w:jc w:val="left"/>
              <w:rPr/>
            </w:pPr>
            <w:r>
              <w:rPr/>
              <w:t> </w:t>
            </w:r>
          </w:p>
        </w:tc>
      </w:tr>
      <w:tr>
        <w:trPr/>
        <w:tc>
          <w:tcPr>
            <w:tcW w:w="1999" w:type="dxa"/>
            <w:tcBorders/>
            <w:shd w:fill="auto" w:val="clear"/>
            <w:vAlign w:val="bottom"/>
          </w:tcPr>
          <w:p>
            <w:pPr>
              <w:pStyle w:val="TableContents"/>
              <w:spacing w:before="0" w:after="283"/>
              <w:jc w:val="left"/>
              <w:rPr/>
            </w:pPr>
            <w:r>
              <w:rPr/>
              <w:t xml:space="preserve">  </w:t>
            </w:r>
          </w:p>
        </w:tc>
        <w:tc>
          <w:tcPr>
            <w:tcW w:w="2892" w:type="dxa"/>
            <w:tcBorders/>
            <w:shd w:fill="auto" w:val="clear"/>
            <w:vAlign w:val="bottom"/>
          </w:tcPr>
          <w:p>
            <w:pPr>
              <w:pStyle w:val="TableContents"/>
              <w:spacing w:before="0" w:after="283"/>
              <w:rPr/>
            </w:pPr>
            <w:r>
              <w:rPr/>
              <w:t xml:space="preserve">  </w:t>
            </w:r>
          </w:p>
        </w:tc>
        <w:tc>
          <w:tcPr>
            <w:tcW w:w="593" w:type="dxa"/>
            <w:tcBorders/>
            <w:shd w:fill="auto" w:val="clear"/>
            <w:vAlign w:val="bottom"/>
          </w:tcPr>
          <w:p>
            <w:pPr>
              <w:pStyle w:val="TableContents"/>
              <w:spacing w:before="0" w:after="283"/>
              <w:jc w:val="left"/>
              <w:rPr/>
            </w:pPr>
            <w:r>
              <w:rPr>
                <w:rFonts w:ascii="serif" w:hAnsi="serif"/>
              </w:rPr>
              <w:t>Title:</w:t>
            </w:r>
            <w:r>
              <w:rPr/>
              <w:t xml:space="preserve">  </w:t>
            </w:r>
          </w:p>
        </w:tc>
        <w:tc>
          <w:tcPr>
            <w:tcW w:w="101" w:type="dxa"/>
            <w:tcBorders/>
            <w:shd w:fill="auto" w:val="clear"/>
            <w:vAlign w:val="bottom"/>
          </w:tcPr>
          <w:p>
            <w:pPr>
              <w:pStyle w:val="TableContents"/>
              <w:spacing w:before="0" w:after="283"/>
              <w:rPr/>
            </w:pPr>
            <w:r>
              <w:rPr/>
              <w:t xml:space="preserve">  </w:t>
            </w:r>
          </w:p>
        </w:tc>
        <w:tc>
          <w:tcPr>
            <w:tcW w:w="3455" w:type="dxa"/>
            <w:tcBorders/>
            <w:shd w:fill="auto" w:val="clear"/>
            <w:vAlign w:val="bottom"/>
          </w:tcPr>
          <w:p>
            <w:pPr>
              <w:pStyle w:val="TableContents"/>
              <w:spacing w:before="0" w:after="283"/>
              <w:jc w:val="left"/>
              <w:rPr/>
            </w:pPr>
            <w:r>
              <w:rPr>
                <w:rFonts w:ascii="serif" w:hAnsi="serif"/>
                <w:u w:val="single"/>
              </w:rPr>
              <w:t>SVP HR &amp; Communications</w:t>
            </w:r>
            <w:r>
              <w:rPr/>
              <w:t xml:space="preserve">  </w:t>
            </w:r>
          </w:p>
        </w:tc>
        <w:tc>
          <w:tcPr>
            <w:tcW w:w="116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4" w:space="0" w:color="808080"/>
        </w:pBdr>
        <w:rPr/>
      </w:pPr>
      <w:r>
        <w:rPr/>
      </w:r>
      <w:r>
        <w:br w:type="page"/>
      </w:r>
    </w:p>
    <w:p>
      <w:pPr>
        <w:pStyle w:val="TextBody"/>
        <w:spacing w:before="0" w:after="0"/>
        <w:jc w:val="right"/>
        <w:rPr>
          <w:sz w:val="20"/>
          <w:u w:val="single"/>
        </w:rPr>
      </w:pPr>
      <w:bookmarkStart w:id="38" w:name="c44492_ex10-23.htm"/>
      <w:bookmarkStart w:id="39" w:name="ksc44492_ex1023"/>
      <w:bookmarkEnd w:id="38"/>
      <w:bookmarkEnd w:id="39"/>
      <w:r>
        <w:rPr>
          <w:sz w:val="20"/>
          <w:u w:val="single"/>
        </w:rPr>
        <w:t>Exhibit 10.23</w:t>
      </w:r>
    </w:p>
    <w:p>
      <w:pPr>
        <w:pStyle w:val="TextBody"/>
        <w:spacing w:before="0" w:after="0"/>
        <w:jc w:val="both"/>
        <w:rPr>
          <w:sz w:val="20"/>
        </w:rPr>
      </w:pPr>
      <w:r>
        <w:rPr>
          <w:sz w:val="20"/>
        </w:rPr>
        <w:t>July 27, 2001</w:t>
      </w:r>
    </w:p>
    <w:p>
      <w:pPr>
        <w:pStyle w:val="TextBody"/>
        <w:spacing w:before="0" w:after="0"/>
        <w:jc w:val="both"/>
        <w:rPr/>
      </w:pPr>
      <w:r>
        <w:rPr/>
        <w:t> </w:t>
      </w:r>
    </w:p>
    <w:p>
      <w:pPr>
        <w:pStyle w:val="TextBody"/>
        <w:spacing w:before="0" w:after="0"/>
        <w:jc w:val="both"/>
        <w:rPr>
          <w:sz w:val="20"/>
        </w:rPr>
      </w:pPr>
      <w:r>
        <w:rPr>
          <w:sz w:val="20"/>
        </w:rPr>
        <w:t>Mr. Larry E. Kittelberger</w:t>
      </w:r>
    </w:p>
    <w:p>
      <w:pPr>
        <w:pStyle w:val="TextBody"/>
        <w:spacing w:before="0" w:after="0"/>
        <w:jc w:val="both"/>
        <w:rPr>
          <w:sz w:val="20"/>
        </w:rPr>
      </w:pPr>
      <w:r>
        <w:rPr>
          <w:sz w:val="20"/>
        </w:rPr>
        <w:t>4 McVickers Lane</w:t>
      </w:r>
    </w:p>
    <w:p>
      <w:pPr>
        <w:pStyle w:val="TextBody"/>
        <w:spacing w:before="0" w:after="0"/>
        <w:jc w:val="both"/>
        <w:rPr>
          <w:sz w:val="20"/>
        </w:rPr>
      </w:pPr>
      <w:r>
        <w:rPr>
          <w:sz w:val="20"/>
        </w:rPr>
        <w:t>Mendam, NJ 07945</w:t>
      </w:r>
    </w:p>
    <w:p>
      <w:pPr>
        <w:pStyle w:val="TextBody"/>
        <w:spacing w:before="0" w:after="0"/>
        <w:jc w:val="both"/>
        <w:rPr/>
      </w:pPr>
      <w:r>
        <w:rPr/>
        <w:t> </w:t>
      </w:r>
    </w:p>
    <w:p>
      <w:pPr>
        <w:pStyle w:val="TextBody"/>
        <w:spacing w:before="0" w:after="0"/>
        <w:jc w:val="both"/>
        <w:rPr>
          <w:sz w:val="20"/>
        </w:rPr>
      </w:pPr>
      <w:r>
        <w:rPr>
          <w:sz w:val="20"/>
        </w:rPr>
        <w:t>Dear Larry:</w:t>
      </w:r>
    </w:p>
    <w:p>
      <w:pPr>
        <w:pStyle w:val="TextBody"/>
        <w:spacing w:before="0" w:after="0"/>
        <w:jc w:val="both"/>
        <w:rPr/>
      </w:pPr>
      <w:r>
        <w:rPr/>
        <w:t> </w:t>
      </w:r>
    </w:p>
    <w:p>
      <w:pPr>
        <w:pStyle w:val="TextBody"/>
        <w:spacing w:before="0" w:after="0"/>
        <w:jc w:val="both"/>
        <w:rPr>
          <w:sz w:val="20"/>
        </w:rPr>
      </w:pPr>
      <w:r>
        <w:rPr>
          <w:sz w:val="20"/>
        </w:rPr>
        <w:t>I am delighted to confirm our offer to you to become the Senior Vice President, Information Technology and Administration. In this position, reporting directly to me, you will become a member of the Honeywell Leadership Council and will be appointed an Officer of Honeywell, pending the Board of Directors approval. Please note that other elements of this offer, such as equity awards, are also subject to approval by our Board of Directors. In this position, you will participate in, or be eligible for the compensation and benefits outlined below.</w:t>
      </w:r>
    </w:p>
    <w:p>
      <w:pPr>
        <w:pStyle w:val="TextBody"/>
        <w:spacing w:before="0" w:after="0"/>
        <w:jc w:val="both"/>
        <w:rPr/>
      </w:pPr>
      <w:r>
        <w:rPr/>
        <w:t> </w:t>
      </w:r>
    </w:p>
    <w:p>
      <w:pPr>
        <w:pStyle w:val="TextBody"/>
        <w:spacing w:before="0" w:after="0"/>
        <w:jc w:val="both"/>
        <w:rPr>
          <w:b/>
          <w:i/>
          <w:sz w:val="20"/>
          <w:u w:val="single"/>
        </w:rPr>
      </w:pPr>
      <w:r>
        <w:rPr>
          <w:b/>
          <w:i/>
          <w:sz w:val="20"/>
          <w:u w:val="single"/>
        </w:rPr>
        <w:t>I. COMPENSATION</w:t>
      </w:r>
    </w:p>
    <w:p>
      <w:pPr>
        <w:pStyle w:val="TextBody"/>
        <w:spacing w:before="0" w:after="0"/>
        <w:jc w:val="both"/>
        <w:rPr/>
      </w:pPr>
      <w:r>
        <w:rPr/>
        <w:t> </w:t>
      </w:r>
    </w:p>
    <w:p>
      <w:pPr>
        <w:pStyle w:val="TextBody"/>
        <w:spacing w:before="0" w:after="0"/>
        <w:jc w:val="both"/>
        <w:rPr/>
      </w:pPr>
      <w:r>
        <w:rPr>
          <w:b/>
          <w:sz w:val="20"/>
        </w:rPr>
        <w:t>Cash Base Salary:</w:t>
      </w:r>
      <w:r>
        <w:rPr/>
        <w:t xml:space="preserve"> </w:t>
      </w:r>
      <w:r>
        <w:rPr>
          <w:sz w:val="20"/>
        </w:rPr>
        <w:t xml:space="preserve">Your annual cash base salary will be $490,000 and will be reviewed periodically on an interval that is approximately 18 months. </w:t>
      </w:r>
    </w:p>
    <w:p>
      <w:pPr>
        <w:pStyle w:val="TextBody"/>
        <w:spacing w:before="0" w:after="0"/>
        <w:jc w:val="both"/>
        <w:rPr/>
      </w:pPr>
      <w:r>
        <w:rPr/>
        <w:t> </w:t>
      </w:r>
    </w:p>
    <w:p>
      <w:pPr>
        <w:pStyle w:val="TextBody"/>
        <w:spacing w:before="0" w:after="0"/>
        <w:jc w:val="both"/>
        <w:rPr/>
      </w:pPr>
      <w:r>
        <w:rPr>
          <w:b/>
          <w:sz w:val="20"/>
        </w:rPr>
        <w:t>Annual Incentive Bonus:</w:t>
      </w:r>
      <w:r>
        <w:rPr/>
        <w:t xml:space="preserve"> </w:t>
      </w:r>
      <w:r>
        <w:rPr>
          <w:sz w:val="20"/>
        </w:rPr>
        <w:t>Your target bonus opportunity will be 75% of your annual cash base salary earnings during the year. Bonuses are awarded based on annual individual and business performance against objectives and are typically paid in the first quarter following each performance year. Your 2001 bonus will be guaranteed at target ($367,500) and is payable in the first quarter of 2002. Any relevant Lucent bonus payment will be offset against such payment.</w:t>
      </w:r>
    </w:p>
    <w:p>
      <w:pPr>
        <w:pStyle w:val="TextBody"/>
        <w:spacing w:before="0" w:after="0"/>
        <w:jc w:val="both"/>
        <w:rPr/>
      </w:pPr>
      <w:r>
        <w:rPr/>
        <w:t> </w:t>
      </w:r>
    </w:p>
    <w:p>
      <w:pPr>
        <w:pStyle w:val="TextBody"/>
        <w:spacing w:before="0" w:after="0"/>
        <w:jc w:val="both"/>
        <w:rPr>
          <w:b/>
          <w:i/>
          <w:sz w:val="20"/>
          <w:u w:val="single"/>
        </w:rPr>
      </w:pPr>
      <w:r>
        <w:rPr>
          <w:b/>
          <w:i/>
          <w:sz w:val="20"/>
          <w:u w:val="single"/>
        </w:rPr>
        <w:t>II. BENEFITS</w:t>
      </w:r>
    </w:p>
    <w:p>
      <w:pPr>
        <w:pStyle w:val="TextBody"/>
        <w:spacing w:before="0" w:after="0"/>
        <w:jc w:val="both"/>
        <w:rPr/>
      </w:pPr>
      <w:r>
        <w:rPr/>
        <w:t> </w:t>
      </w:r>
    </w:p>
    <w:p>
      <w:pPr>
        <w:pStyle w:val="TextBody"/>
        <w:spacing w:before="0" w:after="0"/>
        <w:jc w:val="both"/>
        <w:rPr/>
      </w:pPr>
      <w:r>
        <w:rPr>
          <w:b/>
          <w:sz w:val="20"/>
        </w:rPr>
        <w:t>Long Term Incentive Award:</w:t>
      </w:r>
      <w:r>
        <w:rPr/>
        <w:t xml:space="preserve"> </w:t>
      </w:r>
      <w:r>
        <w:rPr>
          <w:sz w:val="20"/>
        </w:rPr>
        <w:t>You are eligible for an annual stock option grant, with your actual grant determined by performance and potential. You will be granted the following on the later of your start date or the next Board meeting:</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5"/>
        <w:gridCol w:w="9187"/>
      </w:tblGrid>
      <w:tr>
        <w:trPr/>
        <w:tc>
          <w:tcPr>
            <w:tcW w:w="713" w:type="dxa"/>
            <w:tcBorders/>
            <w:shd w:fill="auto" w:val="clear"/>
          </w:tcPr>
          <w:p>
            <w:pPr>
              <w:pStyle w:val="TableContents"/>
              <w:spacing w:before="0" w:after="12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7" w:type="dxa"/>
            <w:tcBorders/>
            <w:shd w:fill="auto" w:val="clear"/>
          </w:tcPr>
          <w:p>
            <w:pPr>
              <w:pStyle w:val="TableContents"/>
              <w:spacing w:before="0" w:after="0"/>
              <w:ind w:left="0" w:right="0" w:hanging="0"/>
              <w:jc w:val="both"/>
              <w:rPr>
                <w:sz w:val="20"/>
              </w:rPr>
            </w:pPr>
            <w:r>
              <w:rPr>
                <w:sz w:val="20"/>
              </w:rPr>
              <w:t>250,000 Nonqualified Stock options, vesting 40%, 30%, 30% on January 1, 2002, January 1, 2003 and January 1, 2004, respectively.</w:t>
            </w:r>
          </w:p>
        </w:tc>
      </w:tr>
    </w:tbl>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50,000 Restricted Units, vesting 50% respectively on the 1</w:t>
            </w:r>
            <w:r>
              <w:rPr>
                <w:position w:val="7"/>
                <w:sz w:val="16"/>
                <w:sz w:val="20"/>
              </w:rPr>
              <w:t>st</w:t>
            </w:r>
            <w:r>
              <w:rPr>
                <w:sz w:val="20"/>
              </w:rPr>
              <w:t xml:space="preserve"> and then the 2</w:t>
            </w:r>
            <w:r>
              <w:rPr>
                <w:position w:val="7"/>
                <w:sz w:val="16"/>
                <w:sz w:val="20"/>
              </w:rPr>
              <w:t>nd</w:t>
            </w:r>
            <w:r>
              <w:rPr>
                <w:sz w:val="20"/>
              </w:rPr>
              <w:t xml:space="preserve"> anniversary of your hire date.</w:t>
            </w:r>
          </w:p>
        </w:tc>
      </w:tr>
    </w:tbl>
    <w:p>
      <w:pPr>
        <w:pStyle w:val="TextBody"/>
        <w:spacing w:before="0" w:after="0"/>
        <w:jc w:val="both"/>
        <w:rPr/>
      </w:pPr>
      <w:r>
        <w:rPr/>
        <w:t> </w:t>
      </w:r>
    </w:p>
    <w:p>
      <w:pPr>
        <w:pStyle w:val="TextBody"/>
        <w:spacing w:before="0" w:after="0"/>
        <w:jc w:val="both"/>
        <w:rPr>
          <w:sz w:val="20"/>
        </w:rPr>
      </w:pPr>
      <w:r>
        <w:rPr>
          <w:sz w:val="20"/>
        </w:rPr>
        <w:t>Contingent on Board of Director approval, the Company will also grant you, on or before April 1, 2002 but no earlier than January 31, 2002 the following:</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5"/>
        <w:gridCol w:w="9187"/>
      </w:tblGrid>
      <w:tr>
        <w:trPr/>
        <w:tc>
          <w:tcPr>
            <w:tcW w:w="713" w:type="dxa"/>
            <w:tcBorders/>
            <w:shd w:fill="auto" w:val="clear"/>
          </w:tcPr>
          <w:p>
            <w:pPr>
              <w:pStyle w:val="TableContents"/>
              <w:spacing w:before="0" w:after="12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7" w:type="dxa"/>
            <w:tcBorders/>
            <w:shd w:fill="auto" w:val="clear"/>
          </w:tcPr>
          <w:p>
            <w:pPr>
              <w:pStyle w:val="TableContents"/>
              <w:spacing w:before="0" w:after="0"/>
              <w:ind w:left="0" w:right="0" w:hanging="0"/>
              <w:jc w:val="both"/>
              <w:rPr>
                <w:sz w:val="20"/>
              </w:rPr>
            </w:pPr>
            <w:r>
              <w:rPr>
                <w:sz w:val="20"/>
              </w:rPr>
              <w:t>100,000 Nonqualified Stock options, vesting 40%, 30%, 30% on January 1, 2003, January 1, 2004 and January 1, 2005, respectively.</w:t>
            </w:r>
          </w:p>
        </w:tc>
      </w:tr>
    </w:tbl>
    <w:p>
      <w:pPr>
        <w:pStyle w:val="TextBody"/>
        <w:spacing w:before="0" w:after="0"/>
        <w:jc w:val="both"/>
        <w:rPr/>
      </w:pPr>
      <w:r>
        <w:rPr/>
        <w:t> </w:t>
      </w:r>
    </w:p>
    <w:p>
      <w:pPr>
        <w:pStyle w:val="HorizontalLine"/>
        <w:pBdr>
          <w:bottom w:val="single" w:sz="12" w:space="0" w:color="808080"/>
        </w:pBdr>
        <w:rPr/>
      </w:pPr>
      <w:r>
        <w:rPr/>
      </w:r>
      <w:r>
        <w:br w:type="page"/>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pageBreakBefore/>
              <w:spacing w:before="0" w:after="12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25,000 Restricted Units, vesting 50% respectively on the 1</w:t>
            </w:r>
            <w:r>
              <w:rPr>
                <w:position w:val="7"/>
                <w:sz w:val="16"/>
                <w:sz w:val="20"/>
              </w:rPr>
              <w:t>st</w:t>
            </w:r>
            <w:r>
              <w:rPr>
                <w:sz w:val="20"/>
              </w:rPr>
              <w:t xml:space="preserve"> and then the 2</w:t>
            </w:r>
            <w:r>
              <w:rPr>
                <w:position w:val="7"/>
                <w:sz w:val="16"/>
                <w:sz w:val="20"/>
              </w:rPr>
              <w:t>nd</w:t>
            </w:r>
            <w:r>
              <w:rPr>
                <w:sz w:val="20"/>
              </w:rPr>
              <w:t xml:space="preserve"> anniversary of the grant date.</w:t>
            </w:r>
          </w:p>
        </w:tc>
      </w:tr>
    </w:tbl>
    <w:p>
      <w:pPr>
        <w:pStyle w:val="TextBody"/>
        <w:spacing w:before="0" w:after="0"/>
        <w:jc w:val="both"/>
        <w:rPr/>
      </w:pPr>
      <w:r>
        <w:rPr/>
        <w:t> </w:t>
      </w:r>
    </w:p>
    <w:p>
      <w:pPr>
        <w:pStyle w:val="TextBody"/>
        <w:spacing w:before="0" w:after="0"/>
        <w:jc w:val="both"/>
        <w:rPr>
          <w:sz w:val="20"/>
        </w:rPr>
      </w:pPr>
      <w:r>
        <w:rPr>
          <w:sz w:val="20"/>
        </w:rPr>
        <w:t>In the event of your death or disability, any outstanding Long-Term Incentive Awards will be vested and exercisable in accordance with the terms and conditions of the 1993 Stock Plan for Employees of Honeywell International Inc. and its Affiliates (the 1993 Stock Plan). In the event of your involuntary termination other than for Gross Cause or termination by you for Good Reason (as defined below), any outstanding Long-Term Incentive Awards will continue to vest as originally scheduled and shall be exercisable for their full remaining term.</w:t>
      </w:r>
    </w:p>
    <w:p>
      <w:pPr>
        <w:pStyle w:val="TextBody"/>
        <w:spacing w:before="0" w:after="0"/>
        <w:jc w:val="both"/>
        <w:rPr/>
      </w:pPr>
      <w:r>
        <w:rPr/>
        <w:t> </w:t>
      </w:r>
    </w:p>
    <w:p>
      <w:pPr>
        <w:pStyle w:val="TextBody"/>
        <w:spacing w:before="0" w:after="0"/>
        <w:jc w:val="both"/>
        <w:rPr/>
      </w:pPr>
      <w:r>
        <w:rPr>
          <w:b/>
          <w:sz w:val="20"/>
        </w:rPr>
        <w:t>Pension:</w:t>
      </w:r>
      <w:r>
        <w:rPr/>
        <w:t xml:space="preserve"> </w:t>
      </w:r>
      <w:r>
        <w:rPr>
          <w:sz w:val="20"/>
        </w:rPr>
        <w:t>You will be provided a pension benefit equal to the benefit defined in the Honeywell International Inc. Supplemental Executive Retirement Plan for Executives in Career Band 6 and Above (the Band 6 SERP) (which provides total pension benefits equal to those historically offered to similarly situated Honeywell Corporate staff executives) and such Band 6 SERP benefit shall be determined by (1) combining your prior AlliedSignal service with your Lucent service and (2) providing you with two years of service credit for each year you perform services for Honeywell subsequent to your reemployment. Your Band 6 SERP benefit shall be available in an annuity or a single sum (determined in accordance with the assumptions specified in the Band 6 SERP at the time of your termination or retirement) and shall be reduced by the actuarial value of any qualified pension benefit payable to you under the terms of any tax-qualified pension plan of the Company which has not already been taken into account in determining the Band 6 SERP benefit.</w:t>
      </w:r>
    </w:p>
    <w:p>
      <w:pPr>
        <w:pStyle w:val="TextBody"/>
        <w:spacing w:before="0" w:after="0"/>
        <w:jc w:val="both"/>
        <w:rPr/>
      </w:pPr>
      <w:r>
        <w:rPr/>
        <w:t> </w:t>
      </w:r>
    </w:p>
    <w:p>
      <w:pPr>
        <w:pStyle w:val="TextBody"/>
        <w:spacing w:before="0" w:after="0"/>
        <w:jc w:val="both"/>
        <w:rPr/>
      </w:pPr>
      <w:r>
        <w:rPr>
          <w:b/>
          <w:sz w:val="20"/>
        </w:rPr>
        <w:t>Savings Plan:</w:t>
      </w:r>
      <w:r>
        <w:rPr/>
        <w:t xml:space="preserve"> </w:t>
      </w:r>
      <w:r>
        <w:rPr>
          <w:sz w:val="20"/>
        </w:rPr>
        <w:t>Upon reemployment, you are immediately eligible to participate in the Company's Savings Plan at the same Company match level ($0.50 on the dollar of your savings, up to 8% of your base salary) as when you left the Company in November 1999. The match will increase to one dollar ($1.00) for each one dollar ($1.00) of employee savings, up to 8% of your base salary after five (5) years of matching participation in the Savings Plan (including your prior AlliedSignal years of participation).</w:t>
      </w:r>
    </w:p>
    <w:p>
      <w:pPr>
        <w:pStyle w:val="TextBody"/>
        <w:spacing w:before="0" w:after="0"/>
        <w:jc w:val="both"/>
        <w:rPr/>
      </w:pPr>
      <w:r>
        <w:rPr/>
        <w:t> </w:t>
      </w:r>
    </w:p>
    <w:p>
      <w:pPr>
        <w:pStyle w:val="TextBody"/>
        <w:spacing w:before="0" w:after="0"/>
        <w:jc w:val="both"/>
        <w:rPr>
          <w:sz w:val="20"/>
        </w:rPr>
      </w:pPr>
      <w:r>
        <w:rPr>
          <w:sz w:val="20"/>
        </w:rPr>
        <w:t>The Companys contribution shall be fully vested after completion of five (5) years of vesting service with Honeywell, including your prior service with AlliedSignal. The amount of any Company contribution previously forfeited when you left AlliedSignal shall be restored to your account provided you repay any prior distribution from the Savings Plan within 60 months of your reemployment.</w:t>
      </w:r>
    </w:p>
    <w:p>
      <w:pPr>
        <w:pStyle w:val="TextBody"/>
        <w:spacing w:before="0" w:after="0"/>
        <w:jc w:val="both"/>
        <w:rPr/>
      </w:pPr>
      <w:r>
        <w:rPr/>
        <w:t> </w:t>
      </w:r>
    </w:p>
    <w:p>
      <w:pPr>
        <w:pStyle w:val="TextBody"/>
        <w:spacing w:before="0" w:after="0"/>
        <w:jc w:val="both"/>
        <w:rPr/>
      </w:pPr>
      <w:r>
        <w:rPr>
          <w:b/>
          <w:sz w:val="20"/>
        </w:rPr>
        <w:t xml:space="preserve">Supplemental Savings and Retirement Plans: </w:t>
      </w:r>
      <w:r>
        <w:rPr>
          <w:sz w:val="20"/>
        </w:rPr>
        <w:t>These plans are designed to assist highly paid employees who are limited by tax laws in the amount of employer contributions or payout to attain levels of participation enjoyed by other Honeywell employees. The current interest rate for amounts contributed under the plan is 10%. Benefits under any applicable Supplemental Pension Plan will be determined based on applicable base pay and incentive awards; Company contributions under the Supplemental Savings Plan are based on the amount of base pay deferred by you to the Plan.</w:t>
      </w:r>
    </w:p>
    <w:p>
      <w:pPr>
        <w:pStyle w:val="TextBody"/>
        <w:spacing w:before="0" w:after="0"/>
        <w:jc w:val="both"/>
        <w:rPr/>
      </w:pPr>
      <w:r>
        <w:rPr/>
        <w:t> </w:t>
      </w:r>
    </w:p>
    <w:p>
      <w:pPr>
        <w:pStyle w:val="HorizontalLine"/>
        <w:pBdr>
          <w:bottom w:val="single" w:sz="12" w:space="0" w:color="808080"/>
        </w:pBdr>
        <w:rPr/>
      </w:pPr>
      <w:r>
        <w:rPr/>
      </w:r>
      <w:r>
        <w:br w:type="page"/>
      </w:r>
    </w:p>
    <w:p>
      <w:pPr>
        <w:pStyle w:val="TextBody"/>
        <w:spacing w:before="0" w:after="0"/>
        <w:jc w:val="both"/>
        <w:rPr/>
      </w:pPr>
      <w:r>
        <w:rPr>
          <w:b/>
          <w:sz w:val="20"/>
        </w:rPr>
        <w:t>Salary and Incentive Compensation Deferrals:</w:t>
      </w:r>
      <w:r>
        <w:rPr/>
        <w:t xml:space="preserve"> </w:t>
      </w:r>
      <w:r>
        <w:rPr>
          <w:sz w:val="20"/>
        </w:rPr>
        <w:t xml:space="preserve">You may defer up to 50% of your base salary and 100% of your bonus. The interest rate for amounts deferred in 2001 is 11%, if you remain with Honeywell for 3 years from the beginning of your deferral, or 8% if your employment terminates sooner. The interest rate for 2002 will be 10%. In the event that the Company adopts a rabbi trust with respect to any deferred compensation program of the Company, you shall be covered by such trust to the same extent as similarly situated executive employees. Once youve accepted the position, Terri Acquaviva will forward a detailed enrollment package to you. </w:t>
      </w:r>
    </w:p>
    <w:p>
      <w:pPr>
        <w:pStyle w:val="TextBody"/>
        <w:spacing w:before="0" w:after="0"/>
        <w:jc w:val="both"/>
        <w:rPr/>
      </w:pPr>
      <w:r>
        <w:rPr/>
        <w:t> </w:t>
      </w:r>
    </w:p>
    <w:p>
      <w:pPr>
        <w:pStyle w:val="TextBody"/>
        <w:spacing w:before="0" w:after="0"/>
        <w:jc w:val="both"/>
        <w:rPr/>
      </w:pPr>
      <w:r>
        <w:rPr>
          <w:b/>
          <w:sz w:val="20"/>
        </w:rPr>
        <w:t>Medical and Dental Plans:</w:t>
      </w:r>
      <w:r>
        <w:rPr/>
        <w:t xml:space="preserve"> </w:t>
      </w:r>
      <w:r>
        <w:rPr>
          <w:sz w:val="20"/>
        </w:rPr>
        <w:t>Medical and Dental Plans provide competitive and comprehensive coverage on a subsidized basis. Coverage begins for you, your spouse and dependents on the first day of employment. The Company's health plans cover pre-existing conditions if you enroll within 31 days of first becoming eligible for the plans. We agree to combine your prior AlliedSignal service with your Lucent service and give you two years of service credit for years worked with Honeywell subsequent to your reemployment. If you are eligible to participate in the retiree medical plan upon your termination of employment with the Company, the Company shall make an annual cash payment to you equal to difference between the annual premium cost you are required to pay under the terms of the retiree medical plan and the annual premium cost you would have been required to pay if your service taken into account for purposes of calculating your Band 6 SERP benefit were recognized under the retiree medical plan.</w:t>
      </w:r>
    </w:p>
    <w:p>
      <w:pPr>
        <w:pStyle w:val="TextBody"/>
        <w:spacing w:before="0" w:after="0"/>
        <w:jc w:val="both"/>
        <w:rPr/>
      </w:pPr>
      <w:r>
        <w:rPr/>
        <w:t> </w:t>
      </w:r>
    </w:p>
    <w:p>
      <w:pPr>
        <w:pStyle w:val="TextBody"/>
        <w:spacing w:before="0" w:after="0"/>
        <w:jc w:val="both"/>
        <w:rPr>
          <w:sz w:val="20"/>
        </w:rPr>
      </w:pPr>
      <w:r>
        <w:rPr>
          <w:sz w:val="20"/>
        </w:rPr>
        <w:t>In any event, coverage shall continue for you, your spouse and/or eligible dependents for your and their lifetime upon your death, disability, involuntary termination for other than Gross Cause or termination by you for Good Reason on terms equivalent to the Companys Retiree Medical Plan for similarly situated executives.</w:t>
      </w:r>
    </w:p>
    <w:p>
      <w:pPr>
        <w:pStyle w:val="TextBody"/>
        <w:spacing w:before="0" w:after="0"/>
        <w:jc w:val="both"/>
        <w:rPr/>
      </w:pPr>
      <w:r>
        <w:rPr/>
        <w:t> </w:t>
      </w:r>
    </w:p>
    <w:p>
      <w:pPr>
        <w:pStyle w:val="TextBody"/>
        <w:spacing w:before="0" w:after="0"/>
        <w:jc w:val="both"/>
        <w:rPr/>
      </w:pPr>
      <w:r>
        <w:rPr>
          <w:b/>
          <w:sz w:val="20"/>
        </w:rPr>
        <w:t xml:space="preserve">Short Term Disability (STD): </w:t>
      </w:r>
      <w:r>
        <w:rPr>
          <w:sz w:val="20"/>
        </w:rPr>
        <w:t>A benefit of up to 6 months cash base salary will be provided.</w:t>
      </w:r>
    </w:p>
    <w:p>
      <w:pPr>
        <w:pStyle w:val="TextBody"/>
        <w:spacing w:before="0" w:after="0"/>
        <w:jc w:val="both"/>
        <w:rPr/>
      </w:pPr>
      <w:r>
        <w:rPr/>
        <w:t> </w:t>
      </w:r>
    </w:p>
    <w:p>
      <w:pPr>
        <w:pStyle w:val="TextBody"/>
        <w:spacing w:before="0" w:after="0"/>
        <w:jc w:val="both"/>
        <w:rPr/>
      </w:pPr>
      <w:r>
        <w:rPr>
          <w:b/>
          <w:sz w:val="20"/>
        </w:rPr>
        <w:t>Long Term Disability (LTD):</w:t>
      </w:r>
      <w:r>
        <w:rPr/>
        <w:t xml:space="preserve"> </w:t>
      </w:r>
      <w:r>
        <w:rPr>
          <w:sz w:val="20"/>
        </w:rPr>
        <w:t>The plan provides 60% of your base salary and incentive compensation target up to a maximum of $30,000 per month. This plan is contributory.</w:t>
      </w:r>
    </w:p>
    <w:p>
      <w:pPr>
        <w:pStyle w:val="TextBody"/>
        <w:spacing w:before="0" w:after="0"/>
        <w:jc w:val="both"/>
        <w:rPr/>
      </w:pPr>
      <w:r>
        <w:rPr/>
        <w:t> </w:t>
      </w:r>
    </w:p>
    <w:p>
      <w:pPr>
        <w:pStyle w:val="TextBody"/>
        <w:spacing w:before="0" w:after="0"/>
        <w:jc w:val="both"/>
        <w:rPr/>
      </w:pPr>
      <w:r>
        <w:rPr>
          <w:b/>
          <w:sz w:val="20"/>
        </w:rPr>
        <w:t xml:space="preserve">Vacation: </w:t>
      </w:r>
      <w:r>
        <w:rPr>
          <w:sz w:val="20"/>
        </w:rPr>
        <w:t>You will be eligible for four (4) weeks vacation.</w:t>
      </w:r>
    </w:p>
    <w:p>
      <w:pPr>
        <w:pStyle w:val="TextBody"/>
        <w:spacing w:before="0" w:after="0"/>
        <w:jc w:val="both"/>
        <w:rPr/>
      </w:pPr>
      <w:r>
        <w:rPr/>
        <w:t> </w:t>
      </w:r>
    </w:p>
    <w:p>
      <w:pPr>
        <w:pStyle w:val="TextBody"/>
        <w:spacing w:before="0" w:after="0"/>
        <w:jc w:val="both"/>
        <w:rPr/>
      </w:pPr>
      <w:r>
        <w:rPr>
          <w:b/>
          <w:sz w:val="20"/>
        </w:rPr>
        <w:t>Life Insurance</w:t>
      </w:r>
      <w:r>
        <w:rPr>
          <w:sz w:val="20"/>
        </w:rPr>
        <w:t>:</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 xml:space="preserve">Group Life </w:t>
            </w:r>
            <w:r>
              <w:rPr>
                <w:sz w:val="20"/>
              </w:rPr>
              <w:t>will be provided on a non-contributory basis in an amount equal to one and one-half times your base salary. Additionally, Group Universal Life is available; equal to five (5) times base salary and is contributory on an attractive group basis. Group Universal Life amounts over $250,000 are subject to evidence of good health.</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4"/>
        <w:gridCol w:w="305"/>
        <w:gridCol w:w="9186"/>
      </w:tblGrid>
      <w:tr>
        <w:trPr/>
        <w:tc>
          <w:tcPr>
            <w:tcW w:w="714" w:type="dxa"/>
            <w:tcBorders/>
            <w:shd w:fill="auto" w:val="clear"/>
          </w:tcPr>
          <w:p>
            <w:pPr>
              <w:pStyle w:val="TableContents"/>
              <w:spacing w:before="0" w:after="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 xml:space="preserve">Executive Life Insurance </w:t>
            </w:r>
            <w:r>
              <w:rPr>
                <w:sz w:val="20"/>
              </w:rPr>
              <w:t>provides for a pre-retirement death benefit generally equal to four (4) times base salary. In the event of your disability and provided you have enrolled in the basic LTD Plan described above, you are entitled to a long-term disability benefit equal to 100% of base pay for the first five (5) years of disability (reduced by your basic LTD Plan benefit) and 50% of base pay for the next five (5) years of disability (reduced by your basic LTD Plan benefit).</w:t>
            </w:r>
          </w:p>
        </w:tc>
      </w:tr>
    </w:tbl>
    <w:p>
      <w:pPr>
        <w:pStyle w:val="TextBody"/>
        <w:spacing w:before="0" w:after="0"/>
        <w:jc w:val="both"/>
        <w:rPr/>
      </w:pPr>
      <w:r>
        <w:rPr/>
        <w:t> </w:t>
      </w:r>
    </w:p>
    <w:p>
      <w:pPr>
        <w:pStyle w:val="HorizontalLine"/>
        <w:pBdr>
          <w:bottom w:val="single" w:sz="12" w:space="0" w:color="808080"/>
        </w:pBdr>
        <w:rPr/>
      </w:pPr>
      <w:r>
        <w:rPr/>
      </w:r>
      <w:r>
        <w:br w:type="page"/>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pageBreakBefore/>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Accidental Death and Dismemberment</w:t>
            </w:r>
            <w:r>
              <w:rPr/>
              <w:t xml:space="preserve"> </w:t>
            </w:r>
            <w:r>
              <w:rPr>
                <w:sz w:val="20"/>
              </w:rPr>
              <w:t>insurance is available on a contributory basis and provides a benefit up to a maximum of five (5) times your base salary.</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Business Travel Accident</w:t>
            </w:r>
            <w:r>
              <w:rPr/>
              <w:t xml:space="preserve"> </w:t>
            </w:r>
            <w:r>
              <w:rPr>
                <w:sz w:val="20"/>
              </w:rPr>
              <w:t>insurance is provided on a non-contributory basis, and provides a death benefit in the case of a business-related accident, of up to four (4) times your annual base salary (up to a maximum of $2.4 million).</w:t>
            </w:r>
          </w:p>
        </w:tc>
      </w:tr>
    </w:tbl>
    <w:p>
      <w:pPr>
        <w:pStyle w:val="TextBody"/>
        <w:spacing w:before="0" w:after="0"/>
        <w:jc w:val="both"/>
        <w:rPr/>
      </w:pPr>
      <w:r>
        <w:rPr/>
        <w:t> </w:t>
      </w:r>
    </w:p>
    <w:p>
      <w:pPr>
        <w:pStyle w:val="TextBody"/>
        <w:spacing w:before="0" w:after="0"/>
        <w:jc w:val="both"/>
        <w:rPr>
          <w:b/>
          <w:sz w:val="20"/>
        </w:rPr>
      </w:pPr>
      <w:r>
        <w:rPr>
          <w:b/>
          <w:sz w:val="20"/>
        </w:rPr>
        <w:t>Executive Perquisites: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Flexible Perquisite Allowance:</w:t>
            </w:r>
            <w:r>
              <w:rPr/>
              <w:t xml:space="preserve"> </w:t>
            </w:r>
            <w:r>
              <w:rPr>
                <w:sz w:val="20"/>
              </w:rPr>
              <w:t>You will be eligible for a quarterly payment of $12,500 (an annual benefit of $50,000), which is designed to pay for, but is not limited to, expenses such as a car and financial and estate planning assistance. Payments are taxable income, and the taxes are withheld at the time the payment is made. Upon acceptance of this offer, you will receive a pro-rated payment for the third quarter, based on your hire date.</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 xml:space="preserve">Executive Travel - </w:t>
            </w:r>
            <w:r>
              <w:rPr>
                <w:sz w:val="20"/>
              </w:rPr>
              <w:t>As an officer of the Company, you are eligible to fly first-class.</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4"/>
        <w:gridCol w:w="306"/>
        <w:gridCol w:w="9185"/>
      </w:tblGrid>
      <w:tr>
        <w:trPr/>
        <w:tc>
          <w:tcPr>
            <w:tcW w:w="714"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5" w:type="dxa"/>
            <w:tcBorders/>
            <w:shd w:fill="auto" w:val="clear"/>
          </w:tcPr>
          <w:p>
            <w:pPr>
              <w:pStyle w:val="TableContents"/>
              <w:spacing w:before="0" w:after="0"/>
              <w:ind w:left="0" w:right="0" w:hanging="0"/>
              <w:jc w:val="both"/>
              <w:rPr/>
            </w:pPr>
            <w:r>
              <w:rPr>
                <w:b/>
                <w:sz w:val="20"/>
              </w:rPr>
              <w:t>Excess Liability Insurance:</w:t>
            </w:r>
            <w:r>
              <w:rPr/>
              <w:t xml:space="preserve"> </w:t>
            </w:r>
            <w:r>
              <w:rPr>
                <w:sz w:val="20"/>
              </w:rPr>
              <w:t>You will receive Excess Liability Insurance of $10,000,000 per occurrence.</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4"/>
        <w:gridCol w:w="305"/>
        <w:gridCol w:w="9186"/>
      </w:tblGrid>
      <w:tr>
        <w:trPr/>
        <w:tc>
          <w:tcPr>
            <w:tcW w:w="714" w:type="dxa"/>
            <w:tcBorders/>
            <w:shd w:fill="auto" w:val="clear"/>
          </w:tcPr>
          <w:p>
            <w:pPr>
              <w:pStyle w:val="TableContents"/>
              <w:spacing w:before="0" w:after="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pPr>
            <w:r>
              <w:rPr>
                <w:b/>
                <w:sz w:val="20"/>
              </w:rPr>
              <w:t>Executive Severance</w:t>
            </w:r>
            <w:r>
              <w:rPr>
                <w:sz w:val="20"/>
              </w:rPr>
              <w:t>: The Company will provide 36 months, or such longer period as provided in this letter, of Cash Base Salary, Annual Incentive Bonus at the target bonus opportunity then in effect, and the Benefits (collectively the Severance), in the event of your involuntary termination for other than Gross Cause or termination by you for Good Reason. Gross Cause and Good Reason shall have the same meaning as said terms are currently defined in the AlliedSignal Inc. Severance Plan for Senior Executives as amended and restated effective as of May 1, 1999 (the Severance Plan). The term Good Reason shall also mean any change in your direct reporting relationship to Larry Bossidy (currently Chairman of the Board/CEO) or his successor or your removal from the Honeywell Leadership Council for reasons other than Gross Cause. In addition, you will become fully vested in all of the Plans listed below (other than any qualified pension or savings plan) and the Company will allow all unvested equity to continue to vest as scheduled and all options provided under the Long Term Incentive Award to be exercisable in the same manner as if you were still employed.</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ind w:left="0" w:right="0" w:hanging="0"/>
              <w:jc w:val="both"/>
              <w:rPr>
                <w:b/>
                <w:i/>
                <w:sz w:val="20"/>
                <w:u w:val="single"/>
              </w:rPr>
            </w:pPr>
            <w:r>
              <w:rPr>
                <w:b/>
                <w:i/>
                <w:sz w:val="20"/>
                <w:u w:val="single"/>
              </w:rPr>
              <w:t>III.</w:t>
            </w:r>
          </w:p>
        </w:tc>
        <w:tc>
          <w:tcPr>
            <w:tcW w:w="9492" w:type="dxa"/>
            <w:tcBorders/>
            <w:shd w:fill="auto" w:val="clear"/>
          </w:tcPr>
          <w:p>
            <w:pPr>
              <w:pStyle w:val="TableContents"/>
              <w:spacing w:before="0" w:after="0"/>
              <w:ind w:left="0" w:right="0" w:hanging="0"/>
              <w:jc w:val="both"/>
              <w:rPr>
                <w:b/>
                <w:i/>
                <w:sz w:val="20"/>
                <w:u w:val="single"/>
              </w:rPr>
            </w:pPr>
            <w:r>
              <w:rPr>
                <w:b/>
                <w:i/>
                <w:sz w:val="20"/>
                <w:u w:val="single"/>
              </w:rPr>
              <w:t>PLAN PARTICIPATION AND BENEFITS GUARANTEE</w:t>
            </w:r>
          </w:p>
        </w:tc>
      </w:tr>
    </w:tbl>
    <w:p>
      <w:pPr>
        <w:pStyle w:val="TextBody"/>
        <w:spacing w:before="0" w:after="0"/>
        <w:jc w:val="both"/>
        <w:rPr/>
      </w:pPr>
      <w:r>
        <w:rPr/>
        <w:t> </w:t>
      </w:r>
    </w:p>
    <w:p>
      <w:pPr>
        <w:pStyle w:val="TextBody"/>
        <w:spacing w:before="0" w:after="0"/>
        <w:jc w:val="both"/>
        <w:rPr>
          <w:sz w:val="20"/>
        </w:rPr>
      </w:pPr>
      <w:r>
        <w:rPr>
          <w:sz w:val="20"/>
        </w:rPr>
        <w:t>You will be a participant in the plans described in the following Plan documents (individually a Plan, collectively the Plans) and your participation is subject to the terms and conditions of such Plans:</w:t>
      </w:r>
    </w:p>
    <w:p>
      <w:pPr>
        <w:pStyle w:val="TextBody"/>
        <w:spacing w:before="0" w:after="0"/>
        <w:jc w:val="both"/>
        <w:rPr/>
      </w:pPr>
      <w:r>
        <w:rPr/>
        <w:t> </w:t>
      </w:r>
    </w:p>
    <w:p>
      <w:pPr>
        <w:pStyle w:val="HorizontalLine"/>
        <w:pBdr>
          <w:bottom w:val="single" w:sz="12" w:space="0" w:color="808080"/>
        </w:pBdr>
        <w:rPr/>
      </w:pPr>
      <w:r>
        <w:rPr/>
      </w:r>
      <w:r>
        <w:br w:type="page"/>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pageBreakBefore/>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1993 Stock Plan for Employees of Honeywell International Inc. and its Affiliates, as amended effective as of December 31, 1999;</w:t>
            </w:r>
          </w:p>
        </w:tc>
      </w:tr>
    </w:tbl>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Salaried Employees Pension Plan of AlliedSignal Inc., dated June 2000;</w:t>
            </w:r>
          </w:p>
        </w:tc>
      </w:tr>
    </w:tbl>
    <w:tbl>
      <w:tblPr>
        <w:tblW w:w="5000" w:type="pct"/>
        <w:jc w:val="left"/>
        <w:tblInd w:w="0" w:type="dxa"/>
        <w:tblCellMar>
          <w:top w:w="0" w:type="dxa"/>
          <w:left w:w="0" w:type="dxa"/>
          <w:bottom w:w="0" w:type="dxa"/>
          <w:right w:w="0" w:type="dxa"/>
        </w:tblCellMar>
      </w:tblPr>
      <w:tblGrid>
        <w:gridCol w:w="714"/>
        <w:gridCol w:w="305"/>
        <w:gridCol w:w="9186"/>
      </w:tblGrid>
      <w:tr>
        <w:trPr/>
        <w:tc>
          <w:tcPr>
            <w:tcW w:w="714" w:type="dxa"/>
            <w:tcBorders/>
            <w:shd w:fill="auto" w:val="clear"/>
          </w:tcPr>
          <w:p>
            <w:pPr>
              <w:pStyle w:val="TableContents"/>
              <w:spacing w:before="0" w:after="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Honeywell International Inc. Supplemental Pension Plan, amended and restated as of January 1, 2000;</w:t>
            </w:r>
          </w:p>
        </w:tc>
      </w:tr>
    </w:tbl>
    <w:tbl>
      <w:tblPr>
        <w:tblW w:w="5000" w:type="pct"/>
        <w:jc w:val="left"/>
        <w:tblInd w:w="0" w:type="dxa"/>
        <w:tblCellMar>
          <w:top w:w="0" w:type="dxa"/>
          <w:left w:w="0" w:type="dxa"/>
          <w:bottom w:w="0" w:type="dxa"/>
          <w:right w:w="0" w:type="dxa"/>
        </w:tblCellMar>
      </w:tblPr>
      <w:tblGrid>
        <w:gridCol w:w="714"/>
        <w:gridCol w:w="305"/>
        <w:gridCol w:w="9186"/>
      </w:tblGrid>
      <w:tr>
        <w:trPr/>
        <w:tc>
          <w:tcPr>
            <w:tcW w:w="714" w:type="dxa"/>
            <w:tcBorders/>
            <w:shd w:fill="auto" w:val="clear"/>
          </w:tcPr>
          <w:p>
            <w:pPr>
              <w:pStyle w:val="TableContents"/>
              <w:spacing w:before="0" w:after="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Honeywell International Inc. Supplemental Executive Retirement Plan for Executives in Career Band 6 and Above (you will not be a participant in this Plan but your pension benefit will be calculated in accordance with the terms of this Plan);</w:t>
            </w:r>
          </w:p>
        </w:tc>
      </w:tr>
    </w:tbl>
    <w:tbl>
      <w:tblPr>
        <w:tblW w:w="5000" w:type="pct"/>
        <w:jc w:val="left"/>
        <w:tblInd w:w="0" w:type="dxa"/>
        <w:tblCellMar>
          <w:top w:w="0" w:type="dxa"/>
          <w:left w:w="0" w:type="dxa"/>
          <w:bottom w:w="0" w:type="dxa"/>
          <w:right w:w="0" w:type="dxa"/>
        </w:tblCellMar>
      </w:tblPr>
      <w:tblGrid>
        <w:gridCol w:w="714"/>
        <w:gridCol w:w="306"/>
        <w:gridCol w:w="9185"/>
      </w:tblGrid>
      <w:tr>
        <w:trPr/>
        <w:tc>
          <w:tcPr>
            <w:tcW w:w="714"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5" w:type="dxa"/>
            <w:tcBorders/>
            <w:shd w:fill="auto" w:val="clear"/>
          </w:tcPr>
          <w:p>
            <w:pPr>
              <w:pStyle w:val="TableContents"/>
              <w:spacing w:before="0" w:after="0"/>
              <w:ind w:left="0" w:right="0" w:hanging="0"/>
              <w:jc w:val="both"/>
              <w:rPr>
                <w:sz w:val="20"/>
              </w:rPr>
            </w:pPr>
            <w:r>
              <w:rPr>
                <w:sz w:val="20"/>
              </w:rPr>
              <w:t>AlliedSignal Savings Plan, amended and restated effective July 1, 1997;</w:t>
            </w:r>
          </w:p>
        </w:tc>
      </w:tr>
    </w:tbl>
    <w:tbl>
      <w:tblPr>
        <w:tblW w:w="5000" w:type="pct"/>
        <w:jc w:val="left"/>
        <w:tblInd w:w="0" w:type="dxa"/>
        <w:tblCellMar>
          <w:top w:w="0" w:type="dxa"/>
          <w:left w:w="0" w:type="dxa"/>
          <w:bottom w:w="0" w:type="dxa"/>
          <w:right w:w="0" w:type="dxa"/>
        </w:tblCellMar>
      </w:tblPr>
      <w:tblGrid>
        <w:gridCol w:w="714"/>
        <w:gridCol w:w="305"/>
        <w:gridCol w:w="9186"/>
      </w:tblGrid>
      <w:tr>
        <w:trPr/>
        <w:tc>
          <w:tcPr>
            <w:tcW w:w="714" w:type="dxa"/>
            <w:tcBorders/>
            <w:shd w:fill="auto" w:val="clear"/>
          </w:tcPr>
          <w:p>
            <w:pPr>
              <w:pStyle w:val="TableContents"/>
              <w:spacing w:before="0" w:after="0"/>
              <w:ind w:left="0" w:right="0" w:hanging="0"/>
              <w:jc w:val="both"/>
              <w:rPr/>
            </w:pPr>
            <w:r>
              <w:rPr/>
              <w:t> </w:t>
            </w:r>
          </w:p>
        </w:tc>
        <w:tc>
          <w:tcPr>
            <w:tcW w:w="305"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Honeywell Supplemental Savings Plan, dated December 1, 2000;</w:t>
            </w:r>
          </w:p>
        </w:tc>
      </w:tr>
    </w:tbl>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Salary Deferral Plan for Selected Employees of Honeywell International Inc. and its Affiliates (Career Band 6 and Above or Employees Who Occupy Positions Equivalent Thereto), amended and restated as of January 1, 2000;</w:t>
            </w:r>
          </w:p>
        </w:tc>
      </w:tr>
    </w:tbl>
    <w:tbl>
      <w:tblPr>
        <w:tblW w:w="5000" w:type="pct"/>
        <w:jc w:val="left"/>
        <w:tblInd w:w="0" w:type="dxa"/>
        <w:tblCellMar>
          <w:top w:w="0" w:type="dxa"/>
          <w:left w:w="0" w:type="dxa"/>
          <w:bottom w:w="0" w:type="dxa"/>
          <w:right w:w="0" w:type="dxa"/>
        </w:tblCellMar>
      </w:tblPr>
      <w:tblGrid>
        <w:gridCol w:w="714"/>
        <w:gridCol w:w="306"/>
        <w:gridCol w:w="9185"/>
      </w:tblGrid>
      <w:tr>
        <w:trPr/>
        <w:tc>
          <w:tcPr>
            <w:tcW w:w="714"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5" w:type="dxa"/>
            <w:tcBorders/>
            <w:shd w:fill="auto" w:val="clear"/>
          </w:tcPr>
          <w:p>
            <w:pPr>
              <w:pStyle w:val="TableContents"/>
              <w:spacing w:before="0" w:after="0"/>
              <w:ind w:left="0" w:right="0" w:hanging="0"/>
              <w:jc w:val="both"/>
              <w:rPr>
                <w:sz w:val="20"/>
              </w:rPr>
            </w:pPr>
            <w:r>
              <w:rPr>
                <w:sz w:val="20"/>
              </w:rPr>
              <w:t>The Various Honeywell Medical and Dental Plan options available based on your location;</w:t>
            </w:r>
          </w:p>
        </w:tc>
      </w:tr>
    </w:tbl>
    <w:tbl>
      <w:tblPr>
        <w:tblW w:w="5000" w:type="pct"/>
        <w:jc w:val="left"/>
        <w:tblInd w:w="0" w:type="dxa"/>
        <w:tblCellMar>
          <w:top w:w="0" w:type="dxa"/>
          <w:left w:w="0" w:type="dxa"/>
          <w:bottom w:w="0" w:type="dxa"/>
          <w:right w:w="0" w:type="dxa"/>
        </w:tblCellMar>
      </w:tblPr>
      <w:tblGrid>
        <w:gridCol w:w="714"/>
        <w:gridCol w:w="306"/>
        <w:gridCol w:w="9185"/>
      </w:tblGrid>
      <w:tr>
        <w:trPr/>
        <w:tc>
          <w:tcPr>
            <w:tcW w:w="714"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5" w:type="dxa"/>
            <w:tcBorders/>
            <w:shd w:fill="auto" w:val="clear"/>
          </w:tcPr>
          <w:p>
            <w:pPr>
              <w:pStyle w:val="TableContents"/>
              <w:spacing w:before="0" w:after="0"/>
              <w:ind w:left="0" w:right="0" w:hanging="0"/>
              <w:jc w:val="both"/>
              <w:rPr>
                <w:sz w:val="20"/>
              </w:rPr>
            </w:pPr>
            <w:r>
              <w:rPr>
                <w:sz w:val="20"/>
              </w:rPr>
              <w:t xml:space="preserve">Honeywells Short Term Disability Policy; </w:t>
            </w:r>
          </w:p>
        </w:tc>
      </w:tr>
    </w:tbl>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6" w:type="dxa"/>
            <w:tcBorders/>
            <w:shd w:fill="auto" w:val="clear"/>
          </w:tcPr>
          <w:p>
            <w:pPr>
              <w:pStyle w:val="TableContents"/>
              <w:spacing w:before="0" w:after="0"/>
              <w:ind w:left="0" w:right="0" w:hanging="0"/>
              <w:jc w:val="both"/>
              <w:rPr>
                <w:sz w:val="20"/>
              </w:rPr>
            </w:pPr>
            <w:r>
              <w:rPr>
                <w:sz w:val="20"/>
              </w:rPr>
              <w:t>Honeywell Long-Term Disability (LTD) Plan, revised on November 30, 2000; and</w:t>
            </w:r>
          </w:p>
        </w:tc>
      </w:tr>
    </w:tbl>
    <w:tbl>
      <w:tblPr>
        <w:tblW w:w="5000" w:type="pct"/>
        <w:jc w:val="left"/>
        <w:tblInd w:w="0" w:type="dxa"/>
        <w:tblCellMar>
          <w:top w:w="0" w:type="dxa"/>
          <w:left w:w="0" w:type="dxa"/>
          <w:bottom w:w="0" w:type="dxa"/>
          <w:right w:w="0" w:type="dxa"/>
        </w:tblCellMar>
      </w:tblPr>
      <w:tblGrid>
        <w:gridCol w:w="714"/>
        <w:gridCol w:w="306"/>
        <w:gridCol w:w="9185"/>
      </w:tblGrid>
      <w:tr>
        <w:trPr/>
        <w:tc>
          <w:tcPr>
            <w:tcW w:w="714" w:type="dxa"/>
            <w:tcBorders/>
            <w:shd w:fill="auto" w:val="clear"/>
          </w:tcPr>
          <w:p>
            <w:pPr>
              <w:pStyle w:val="TableContents"/>
              <w:spacing w:before="0" w:after="0"/>
              <w:ind w:left="0" w:right="0" w:hanging="0"/>
              <w:jc w:val="both"/>
              <w:rPr/>
            </w:pPr>
            <w:r>
              <w:rPr/>
              <w:t> </w:t>
            </w:r>
          </w:p>
        </w:tc>
        <w:tc>
          <w:tcPr>
            <w:tcW w:w="306" w:type="dxa"/>
            <w:tcBorders/>
            <w:shd w:fill="auto" w:val="clear"/>
          </w:tcPr>
          <w:p>
            <w:pPr>
              <w:pStyle w:val="TableContents"/>
              <w:spacing w:before="0" w:after="0"/>
              <w:ind w:left="0" w:right="0" w:hanging="0"/>
              <w:jc w:val="both"/>
              <w:rPr>
                <w:b/>
                <w:sz w:val="28"/>
              </w:rPr>
            </w:pPr>
            <w:r>
              <w:rPr>
                <w:b/>
                <w:sz w:val="28"/>
              </w:rPr>
              <w:t></w:t>
            </w:r>
          </w:p>
        </w:tc>
        <w:tc>
          <w:tcPr>
            <w:tcW w:w="9185" w:type="dxa"/>
            <w:tcBorders/>
            <w:shd w:fill="auto" w:val="clear"/>
          </w:tcPr>
          <w:p>
            <w:pPr>
              <w:pStyle w:val="TableContents"/>
              <w:spacing w:before="0" w:after="0"/>
              <w:ind w:left="0" w:right="0" w:hanging="0"/>
              <w:jc w:val="both"/>
              <w:rPr>
                <w:sz w:val="20"/>
              </w:rPr>
            </w:pPr>
            <w:r>
              <w:rPr>
                <w:sz w:val="20"/>
              </w:rPr>
              <w:t>AlliedSignal Inc. Severance Plan for Senior Executives (amended and restated effective as of May 1, 1999).</w:t>
            </w:r>
          </w:p>
        </w:tc>
      </w:tr>
    </w:tbl>
    <w:p>
      <w:pPr>
        <w:pStyle w:val="TextBody"/>
        <w:spacing w:before="0" w:after="0"/>
        <w:jc w:val="both"/>
        <w:rPr/>
      </w:pPr>
      <w:r>
        <w:rPr/>
        <w:t> </w:t>
      </w:r>
    </w:p>
    <w:p>
      <w:pPr>
        <w:pStyle w:val="TextBody"/>
        <w:spacing w:before="0" w:after="0"/>
        <w:jc w:val="both"/>
        <w:rPr>
          <w:sz w:val="20"/>
        </w:rPr>
      </w:pPr>
      <w:r>
        <w:rPr>
          <w:sz w:val="20"/>
        </w:rPr>
        <w:t>To the extent all Benefits provided in this offer letter (the Benefits) are not provided in their entirety under the Plans, the Company guarantees that you will nevertheless receive all of the Benefits. The Company further guarantees that the Board of Directors will take all actions necessary to provide you with such Benefits.</w:t>
      </w:r>
    </w:p>
    <w:p>
      <w:pPr>
        <w:pStyle w:val="TextBody"/>
        <w:spacing w:before="0" w:after="0"/>
        <w:jc w:val="both"/>
        <w:rPr/>
      </w:pPr>
      <w:r>
        <w:rPr/>
        <w:t> </w:t>
      </w:r>
    </w:p>
    <w:p>
      <w:pPr>
        <w:pStyle w:val="TextBody"/>
        <w:spacing w:before="0" w:after="0"/>
        <w:jc w:val="both"/>
        <w:rPr>
          <w:sz w:val="20"/>
        </w:rPr>
      </w:pPr>
      <w:r>
        <w:rPr>
          <w:sz w:val="20"/>
        </w:rPr>
        <w:t>If any of the Plans are modified or amended in any way which impacts your Benefits, other than any deminimis modifications to any medical, life or disability plans that shall also apply to similarly situated executives, the Company guarantees that you will nevertheless receive the better of the (i) Benefits or (ii) such benefits as are provided under any such modified or amended Plan.</w:t>
      </w:r>
    </w:p>
    <w:p>
      <w:pPr>
        <w:pStyle w:val="TextBody"/>
        <w:spacing w:before="0" w:after="0"/>
        <w:jc w:val="both"/>
        <w:rPr/>
      </w:pPr>
      <w:r>
        <w:rPr/>
        <w:t> </w:t>
      </w:r>
    </w:p>
    <w:p>
      <w:pPr>
        <w:pStyle w:val="TextBody"/>
        <w:spacing w:before="0" w:after="0"/>
        <w:jc w:val="both"/>
        <w:rPr>
          <w:sz w:val="20"/>
        </w:rPr>
      </w:pPr>
      <w:r>
        <w:rPr>
          <w:sz w:val="20"/>
        </w:rPr>
        <w:t>In the event the Company has any additional plans or institutes any additional benefit for any similarly situated officers or members of the Honeywell Leadership Council, you will receive such additional benefit subject to the generally applicable terms and conditions of such benefit (excluding individually determined Bonus, Long Term Incentive awards and individually negotiated contractual obligations).</w:t>
      </w:r>
    </w:p>
    <w:p>
      <w:pPr>
        <w:pStyle w:val="TextBody"/>
        <w:spacing w:before="0" w:after="0"/>
        <w:jc w:val="both"/>
        <w:rPr/>
      </w:pPr>
      <w:r>
        <w:rPr/>
        <w:t> </w:t>
      </w:r>
    </w:p>
    <w:p>
      <w:pPr>
        <w:pStyle w:val="TextBody"/>
        <w:spacing w:before="0" w:after="0"/>
        <w:jc w:val="both"/>
        <w:rPr>
          <w:sz w:val="20"/>
        </w:rPr>
      </w:pPr>
      <w:r>
        <w:rPr>
          <w:sz w:val="20"/>
        </w:rPr>
        <w:t xml:space="preserve">This offer is subject to certification of suitability for your proposed employment which will include screening for illegal substance abuse, satisfactory reference checks and background investigation, verification of documentation required in compliance with the Immigration Reform and Control Act of 1986, and your signing the Company's Agreement Relating to Intellectual Property and Confidential Information. </w:t>
      </w:r>
    </w:p>
    <w:p>
      <w:pPr>
        <w:pStyle w:val="TextBody"/>
        <w:spacing w:before="0" w:after="0"/>
        <w:jc w:val="both"/>
        <w:rPr/>
      </w:pPr>
      <w:r>
        <w:rPr/>
        <w:t> </w:t>
      </w:r>
    </w:p>
    <w:p>
      <w:pPr>
        <w:pStyle w:val="HorizontalLine"/>
        <w:pBdr>
          <w:bottom w:val="single" w:sz="12" w:space="0" w:color="808080"/>
        </w:pBdr>
        <w:rPr/>
      </w:pPr>
      <w:r>
        <w:rPr/>
      </w:r>
      <w:r>
        <w:br w:type="page"/>
      </w:r>
    </w:p>
    <w:p>
      <w:pPr>
        <w:pStyle w:val="TextBody"/>
        <w:spacing w:before="0" w:after="0"/>
        <w:jc w:val="both"/>
        <w:rPr>
          <w:sz w:val="20"/>
        </w:rPr>
      </w:pPr>
      <w:r>
        <w:rPr>
          <w:sz w:val="20"/>
        </w:rPr>
        <w:t>Larry, your experience and background will be an asset to our Company, and we look forward to having you with us.</w:t>
      </w:r>
    </w:p>
    <w:p>
      <w:pPr>
        <w:pStyle w:val="TextBody"/>
        <w:spacing w:before="0" w:after="0"/>
        <w:jc w:val="both"/>
        <w:rPr/>
      </w:pPr>
      <w:r>
        <w:rPr/>
        <w:t> </w:t>
      </w:r>
    </w:p>
    <w:p>
      <w:pPr>
        <w:pStyle w:val="TextBody"/>
        <w:spacing w:before="0" w:after="0"/>
        <w:jc w:val="both"/>
        <w:rPr>
          <w:sz w:val="20"/>
        </w:rPr>
      </w:pPr>
      <w:r>
        <w:rPr>
          <w:sz w:val="20"/>
        </w:rPr>
        <w:t>Sincerely,</w:t>
      </w:r>
    </w:p>
    <w:p>
      <w:pPr>
        <w:pStyle w:val="TextBody"/>
        <w:spacing w:before="0" w:after="0"/>
        <w:jc w:val="both"/>
        <w:rPr/>
      </w:pPr>
      <w:r>
        <w:rPr/>
        <w:t> </w:t>
      </w:r>
    </w:p>
    <w:p>
      <w:pPr>
        <w:pStyle w:val="TextBody"/>
        <w:spacing w:before="0" w:after="0"/>
        <w:jc w:val="both"/>
        <w:rPr>
          <w:sz w:val="20"/>
        </w:rPr>
      </w:pPr>
      <w:r>
        <w:rPr>
          <w:sz w:val="20"/>
        </w:rPr>
        <w:t>/s/Larry A. Bossidy</w:t>
      </w:r>
    </w:p>
    <w:p>
      <w:pPr>
        <w:pStyle w:val="TextBody"/>
        <w:spacing w:before="0" w:after="0"/>
        <w:jc w:val="both"/>
        <w:rPr/>
      </w:pPr>
      <w:r>
        <w:rPr/>
        <w:t> </w:t>
      </w:r>
    </w:p>
    <w:p>
      <w:pPr>
        <w:pStyle w:val="TextBody"/>
        <w:spacing w:before="0" w:after="0"/>
        <w:jc w:val="both"/>
        <w:rPr>
          <w:sz w:val="20"/>
        </w:rPr>
      </w:pPr>
      <w:r>
        <w:rPr>
          <w:sz w:val="20"/>
        </w:rPr>
        <w:t>Larry A. Bossidy</w:t>
      </w:r>
    </w:p>
    <w:p>
      <w:pPr>
        <w:pStyle w:val="TextBody"/>
        <w:spacing w:before="0" w:after="0"/>
        <w:jc w:val="both"/>
        <w:rPr>
          <w:sz w:val="20"/>
        </w:rPr>
      </w:pPr>
      <w:r>
        <w:rPr>
          <w:sz w:val="20"/>
        </w:rPr>
        <w:t>Chairman and Chief Executive Officer</w:t>
      </w:r>
    </w:p>
    <w:p>
      <w:pPr>
        <w:pStyle w:val="TextBody"/>
        <w:spacing w:before="0" w:after="0"/>
        <w:jc w:val="both"/>
        <w:rPr/>
      </w:pPr>
      <w:r>
        <w:rPr/>
        <w:t> </w:t>
      </w:r>
    </w:p>
    <w:p>
      <w:pPr>
        <w:pStyle w:val="TextBody"/>
        <w:spacing w:before="0" w:after="0"/>
        <w:jc w:val="both"/>
        <w:rPr>
          <w:sz w:val="20"/>
        </w:rPr>
      </w:pPr>
      <w:r>
        <w:rPr>
          <w:sz w:val="20"/>
        </w:rPr>
        <w:t>Please indicate your acceptance of this offer by signing below and returning a copy to me.</w:t>
      </w:r>
    </w:p>
    <w:p>
      <w:pPr>
        <w:pStyle w:val="TextBody"/>
        <w:spacing w:before="0" w:after="0"/>
        <w:jc w:val="both"/>
        <w:rPr/>
      </w:pPr>
      <w:r>
        <w:rPr/>
        <w:t> </w:t>
      </w:r>
    </w:p>
    <w:p>
      <w:pPr>
        <w:pStyle w:val="TextBody"/>
        <w:spacing w:before="0" w:after="0"/>
        <w:jc w:val="both"/>
        <w:rPr/>
      </w:pPr>
      <w:r>
        <w:rPr/>
        <w:t> </w:t>
      </w:r>
    </w:p>
    <w:tbl>
      <w:tblPr>
        <w:tblW w:w="2900" w:type="pct"/>
        <w:jc w:val="left"/>
        <w:tblInd w:w="0" w:type="dxa"/>
        <w:tblCellMar>
          <w:top w:w="0" w:type="dxa"/>
          <w:left w:w="0" w:type="dxa"/>
          <w:bottom w:w="0" w:type="dxa"/>
          <w:right w:w="0" w:type="dxa"/>
        </w:tblCellMar>
      </w:tblPr>
      <w:tblGrid>
        <w:gridCol w:w="3108"/>
        <w:gridCol w:w="2810"/>
      </w:tblGrid>
      <w:tr>
        <w:trPr/>
        <w:tc>
          <w:tcPr>
            <w:tcW w:w="3108" w:type="dxa"/>
            <w:tcBorders/>
            <w:shd w:fill="auto" w:val="clear"/>
          </w:tcPr>
          <w:p>
            <w:pPr>
              <w:pStyle w:val="TableContents"/>
              <w:spacing w:before="0" w:after="0"/>
              <w:ind w:left="0" w:right="0" w:hanging="0"/>
              <w:jc w:val="both"/>
              <w:rPr>
                <w:sz w:val="20"/>
              </w:rPr>
            </w:pPr>
            <w:r>
              <w:rPr>
                <w:sz w:val="20"/>
              </w:rPr>
              <w:t xml:space="preserve">Read and Accepted: </w:t>
            </w:r>
          </w:p>
        </w:tc>
        <w:tc>
          <w:tcPr>
            <w:tcW w:w="2810" w:type="dxa"/>
            <w:tcBorders/>
            <w:shd w:fill="auto" w:val="clear"/>
          </w:tcPr>
          <w:p>
            <w:pPr>
              <w:pStyle w:val="TableContents"/>
              <w:spacing w:before="0" w:after="0"/>
              <w:ind w:left="0" w:right="0" w:hanging="0"/>
              <w:jc w:val="center"/>
              <w:rPr>
                <w:sz w:val="20"/>
                <w:u w:val="single"/>
              </w:rPr>
            </w:pPr>
            <w:r>
              <w:rPr>
                <w:sz w:val="20"/>
                <w:u w:val="single"/>
              </w:rPr>
              <w:t>/s/ Larry E. Kittelberger</w:t>
            </w:r>
          </w:p>
        </w:tc>
      </w:tr>
      <w:tr>
        <w:trPr/>
        <w:tc>
          <w:tcPr>
            <w:tcW w:w="3108" w:type="dxa"/>
            <w:tcBorders/>
            <w:shd w:fill="auto" w:val="clear"/>
          </w:tcPr>
          <w:p>
            <w:pPr>
              <w:pStyle w:val="TableContents"/>
              <w:spacing w:before="0" w:after="283"/>
              <w:rPr/>
            </w:pPr>
            <w:r>
              <w:rPr/>
              <w:t> </w:t>
            </w:r>
          </w:p>
        </w:tc>
        <w:tc>
          <w:tcPr>
            <w:tcW w:w="2810" w:type="dxa"/>
            <w:tcBorders/>
            <w:shd w:fill="auto" w:val="clear"/>
          </w:tcPr>
          <w:p>
            <w:pPr>
              <w:pStyle w:val="TableContents"/>
              <w:spacing w:before="0" w:after="0"/>
              <w:jc w:val="center"/>
              <w:rPr>
                <w:sz w:val="20"/>
              </w:rPr>
            </w:pPr>
            <w:r>
              <w:rPr>
                <w:sz w:val="20"/>
              </w:rPr>
              <w:t>Signature</w:t>
            </w:r>
          </w:p>
        </w:tc>
      </w:tr>
    </w:tbl>
    <w:p>
      <w:pPr>
        <w:pStyle w:val="TextBody"/>
        <w:spacing w:before="0" w:after="0"/>
        <w:jc w:val="both"/>
        <w:rPr/>
      </w:pPr>
      <w:r>
        <w:rPr/>
        <w:t> </w:t>
      </w:r>
    </w:p>
    <w:p>
      <w:pPr>
        <w:pStyle w:val="TextBody"/>
        <w:spacing w:before="0" w:after="0"/>
        <w:jc w:val="both"/>
        <w:rPr/>
      </w:pPr>
      <w:r>
        <w:rPr/>
        <w:t> </w:t>
      </w:r>
    </w:p>
    <w:tbl>
      <w:tblPr>
        <w:tblW w:w="1850" w:type="pct"/>
        <w:jc w:val="left"/>
        <w:tblInd w:w="0" w:type="dxa"/>
        <w:tblCellMar>
          <w:top w:w="0" w:type="dxa"/>
          <w:left w:w="0" w:type="dxa"/>
          <w:bottom w:w="0" w:type="dxa"/>
          <w:right w:w="0" w:type="dxa"/>
        </w:tblCellMar>
      </w:tblPr>
      <w:tblGrid>
        <w:gridCol w:w="2059"/>
        <w:gridCol w:w="1716"/>
      </w:tblGrid>
      <w:tr>
        <w:trPr/>
        <w:tc>
          <w:tcPr>
            <w:tcW w:w="2059" w:type="dxa"/>
            <w:tcBorders/>
            <w:shd w:fill="auto" w:val="clear"/>
          </w:tcPr>
          <w:p>
            <w:pPr>
              <w:pStyle w:val="TableContents"/>
              <w:spacing w:before="0" w:after="0"/>
              <w:ind w:left="0" w:right="0" w:hanging="0"/>
              <w:jc w:val="both"/>
              <w:rPr>
                <w:sz w:val="20"/>
              </w:rPr>
            </w:pPr>
            <w:r>
              <w:rPr>
                <w:sz w:val="20"/>
              </w:rPr>
              <w:t xml:space="preserve">Date: </w:t>
            </w:r>
          </w:p>
        </w:tc>
        <w:tc>
          <w:tcPr>
            <w:tcW w:w="1716" w:type="dxa"/>
            <w:tcBorders/>
            <w:shd w:fill="auto" w:val="clear"/>
          </w:tcPr>
          <w:p>
            <w:pPr>
              <w:pStyle w:val="TableContents"/>
              <w:spacing w:before="0" w:after="0"/>
              <w:ind w:left="0" w:right="0" w:hanging="0"/>
              <w:jc w:val="both"/>
              <w:rPr>
                <w:sz w:val="20"/>
                <w:u w:val="single"/>
              </w:rPr>
            </w:pPr>
            <w:r>
              <w:rPr>
                <w:sz w:val="20"/>
                <w:u w:val="single"/>
              </w:rPr>
              <w:t>July 30, 2001</w:t>
            </w:r>
          </w:p>
        </w:tc>
      </w:tr>
    </w:tbl>
    <w:p>
      <w:pPr>
        <w:pStyle w:val="TextBody"/>
        <w:spacing w:before="0" w:after="0"/>
        <w:jc w:val="both"/>
        <w:rPr/>
      </w:pPr>
      <w:r>
        <w:rPr/>
        <w:t> </w:t>
      </w:r>
    </w:p>
    <w:p>
      <w:pPr>
        <w:pStyle w:val="TextBody"/>
        <w:spacing w:before="0" w:after="0"/>
        <w:jc w:val="both"/>
        <w:rPr/>
      </w:pPr>
      <w:r>
        <w:rPr/>
        <w:t> </w:t>
      </w:r>
    </w:p>
    <w:tbl>
      <w:tblPr>
        <w:tblW w:w="1050" w:type="pct"/>
        <w:jc w:val="left"/>
        <w:tblInd w:w="0" w:type="dxa"/>
        <w:tblCellMar>
          <w:top w:w="0" w:type="dxa"/>
          <w:left w:w="0" w:type="dxa"/>
          <w:bottom w:w="0" w:type="dxa"/>
          <w:right w:w="0" w:type="dxa"/>
        </w:tblCellMar>
      </w:tblPr>
      <w:tblGrid>
        <w:gridCol w:w="540"/>
        <w:gridCol w:w="1603"/>
      </w:tblGrid>
      <w:tr>
        <w:trPr/>
        <w:tc>
          <w:tcPr>
            <w:tcW w:w="540" w:type="dxa"/>
            <w:tcBorders/>
            <w:shd w:fill="auto" w:val="clear"/>
          </w:tcPr>
          <w:p>
            <w:pPr>
              <w:pStyle w:val="TableContents"/>
              <w:spacing w:before="0" w:after="0"/>
              <w:ind w:left="0" w:right="0" w:hanging="0"/>
              <w:jc w:val="both"/>
              <w:rPr>
                <w:sz w:val="20"/>
              </w:rPr>
            </w:pPr>
            <w:r>
              <w:rPr>
                <w:sz w:val="20"/>
              </w:rPr>
              <w:t xml:space="preserve">cc: </w:t>
            </w:r>
          </w:p>
        </w:tc>
        <w:tc>
          <w:tcPr>
            <w:tcW w:w="1603" w:type="dxa"/>
            <w:tcBorders/>
            <w:shd w:fill="auto" w:val="clear"/>
          </w:tcPr>
          <w:p>
            <w:pPr>
              <w:pStyle w:val="TableContents"/>
              <w:spacing w:before="0" w:after="0"/>
              <w:ind w:left="0" w:right="0" w:hanging="0"/>
              <w:jc w:val="both"/>
              <w:rPr>
                <w:sz w:val="20"/>
              </w:rPr>
            </w:pPr>
            <w:r>
              <w:rPr>
                <w:sz w:val="20"/>
              </w:rPr>
              <w:t>D. Redlinger</w:t>
            </w:r>
          </w:p>
        </w:tc>
      </w:tr>
      <w:tr>
        <w:trPr/>
        <w:tc>
          <w:tcPr>
            <w:tcW w:w="540"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rPr>
                <w:sz w:val="20"/>
              </w:rPr>
            </w:pPr>
            <w:r>
              <w:rPr>
                <w:sz w:val="20"/>
              </w:rPr>
              <w:t>E. Redling</w:t>
            </w:r>
          </w:p>
        </w:tc>
      </w:tr>
    </w:tbl>
    <w:p>
      <w:pPr>
        <w:pStyle w:val="HorizontalLine"/>
        <w:pBdr>
          <w:bottom w:val="single" w:sz="12" w:space="0" w:color="808080"/>
        </w:pBdr>
        <w:rPr/>
      </w:pPr>
      <w:r>
        <w:rPr/>
      </w:r>
      <w:r>
        <w:br w:type="page"/>
      </w:r>
    </w:p>
    <w:p>
      <w:pPr>
        <w:pStyle w:val="TextBody"/>
        <w:jc w:val="right"/>
        <w:rPr>
          <w:rFonts w:ascii="serif" w:hAnsi="serif"/>
          <w:u w:val="single"/>
        </w:rPr>
      </w:pPr>
      <w:bookmarkStart w:id="40" w:name="page_1"/>
      <w:bookmarkStart w:id="41" w:name="c44492_ex10-24.htm"/>
      <w:bookmarkStart w:id="42" w:name="ksc44492_ex1024"/>
      <w:bookmarkEnd w:id="40"/>
      <w:bookmarkEnd w:id="41"/>
      <w:bookmarkEnd w:id="42"/>
      <w:r>
        <w:rPr>
          <w:rFonts w:ascii="serif" w:hAnsi="serif"/>
          <w:u w:val="single"/>
        </w:rPr>
        <w:t>Exhibit 10.24</w:t>
      </w:r>
    </w:p>
    <w:p>
      <w:pPr>
        <w:pStyle w:val="TextBody"/>
        <w:jc w:val="center"/>
        <w:rPr>
          <w:rFonts w:ascii="serif" w:hAnsi="serif"/>
          <w:b/>
          <w:sz w:val="36"/>
        </w:rPr>
      </w:pPr>
      <w:r>
        <w:rPr>
          <w:rFonts w:ascii="serif" w:hAnsi="serif"/>
          <w:b/>
          <w:sz w:val="36"/>
        </w:rPr>
        <w:br/>
        <w:br/>
        <w:t>Honeywell Supplemental Retirement Plan</w:t>
      </w:r>
    </w:p>
    <w:p>
      <w:pPr>
        <w:pStyle w:val="TextBody"/>
        <w:jc w:val="center"/>
        <w:rPr>
          <w:rFonts w:ascii="serif" w:hAnsi="serif"/>
          <w:b/>
        </w:rPr>
      </w:pPr>
      <w:r>
        <w:rPr>
          <w:rFonts w:ascii="serif" w:hAnsi="serif"/>
          <w:b/>
        </w:rPr>
        <w:t>Honeywell International Inc.</w:t>
      </w:r>
    </w:p>
    <w:p>
      <w:pPr>
        <w:pStyle w:val="TextBody"/>
        <w:jc w:val="center"/>
        <w:rPr>
          <w:rFonts w:ascii="serif" w:hAnsi="serif"/>
          <w:b/>
        </w:rPr>
      </w:pPr>
      <w:r>
        <w:rPr>
          <w:rFonts w:ascii="serif" w:hAnsi="serif"/>
          <w:b/>
        </w:rPr>
        <w:t xml:space="preserve">December 15, 2006 </w:t>
      </w:r>
    </w:p>
    <w:p>
      <w:pPr>
        <w:pStyle w:val="HorizontalLine"/>
        <w:pBdr>
          <w:bottom w:val="single" w:sz="24" w:space="0" w:color="808080"/>
        </w:pBdr>
        <w:rPr/>
      </w:pPr>
      <w:r>
        <w:rPr/>
      </w:r>
      <w:r>
        <w:br w:type="page"/>
      </w:r>
    </w:p>
    <w:p>
      <w:pPr>
        <w:pStyle w:val="TextBody"/>
        <w:jc w:val="center"/>
        <w:rPr>
          <w:rFonts w:ascii="serif" w:hAnsi="serif"/>
          <w:b/>
          <w:sz w:val="28"/>
        </w:rPr>
      </w:pPr>
      <w:bookmarkStart w:id="43" w:name="page_2"/>
      <w:bookmarkEnd w:id="43"/>
      <w:r>
        <w:rPr>
          <w:rFonts w:ascii="serif" w:hAnsi="serif"/>
          <w:b/>
          <w:sz w:val="28"/>
        </w:rPr>
        <w:t>Honeywell Supplemental Retirement Plan</w:t>
      </w:r>
    </w:p>
    <w:tbl>
      <w:tblPr>
        <w:tblW w:w="5000" w:type="pct"/>
        <w:jc w:val="left"/>
        <w:tblInd w:w="0" w:type="dxa"/>
        <w:tblCellMar>
          <w:top w:w="0" w:type="dxa"/>
          <w:left w:w="0" w:type="dxa"/>
          <w:bottom w:w="0" w:type="dxa"/>
          <w:right w:w="0" w:type="dxa"/>
        </w:tblCellMar>
      </w:tblPr>
      <w:tblGrid>
        <w:gridCol w:w="1306"/>
        <w:gridCol w:w="208"/>
        <w:gridCol w:w="8691"/>
      </w:tblGrid>
      <w:tr>
        <w:trPr/>
        <w:tc>
          <w:tcPr>
            <w:tcW w:w="1306" w:type="dxa"/>
            <w:tcBorders/>
            <w:shd w:fill="auto" w:val="clear"/>
            <w:vAlign w:val="bottom"/>
          </w:tcPr>
          <w:p>
            <w:pPr>
              <w:pStyle w:val="TableContents"/>
              <w:spacing w:before="0" w:after="283"/>
              <w:jc w:val="left"/>
              <w:rPr/>
            </w:pPr>
            <w:r>
              <w:rPr>
                <w:rFonts w:ascii="serif" w:hAnsi="serif"/>
                <w:b/>
              </w:rPr>
              <w:t>Section 1.</w:t>
            </w:r>
            <w:r>
              <w:rPr/>
              <w:t xml:space="preserve">  </w:t>
            </w:r>
          </w:p>
        </w:tc>
        <w:tc>
          <w:tcPr>
            <w:tcW w:w="208" w:type="dxa"/>
            <w:tcBorders/>
            <w:shd w:fill="auto" w:val="clear"/>
            <w:vAlign w:val="bottom"/>
          </w:tcPr>
          <w:p>
            <w:pPr>
              <w:pStyle w:val="TableContents"/>
              <w:spacing w:before="0" w:after="283"/>
              <w:rPr/>
            </w:pPr>
            <w:r>
              <w:rPr/>
              <w:t xml:space="preserve">  </w:t>
            </w:r>
          </w:p>
        </w:tc>
        <w:tc>
          <w:tcPr>
            <w:tcW w:w="8691" w:type="dxa"/>
            <w:tcBorders/>
            <w:shd w:fill="auto" w:val="clear"/>
            <w:vAlign w:val="bottom"/>
          </w:tcPr>
          <w:p>
            <w:pPr>
              <w:pStyle w:val="TableContents"/>
              <w:spacing w:before="0" w:after="0"/>
              <w:jc w:val="left"/>
              <w:rPr/>
            </w:pPr>
            <w:r>
              <w:rPr>
                <w:rFonts w:ascii="serif" w:hAnsi="serif"/>
                <w:b/>
              </w:rPr>
              <w:t>Purpose of the Plan</w:t>
            </w:r>
            <w:r>
              <w:rPr/>
              <w:t xml:space="preserve">  </w:t>
            </w:r>
          </w:p>
        </w:tc>
      </w:tr>
    </w:tbl>
    <w:p>
      <w:pPr>
        <w:pStyle w:val="TextBody"/>
        <w:rPr/>
      </w:pPr>
      <w:r>
        <w:rPr/>
      </w:r>
    </w:p>
    <w:p>
      <w:pPr>
        <w:pStyle w:val="TextBody"/>
        <w:rPr/>
      </w:pPr>
      <w:r>
        <w:rPr/>
        <w:t>          </w:t>
      </w:r>
      <w:r>
        <w:rPr>
          <w:rFonts w:ascii="serif" w:hAnsi="serif"/>
        </w:rPr>
        <w:t xml:space="preserve">The purpose of this Honeywell Supplemental Retirement Plan (the Plan) is to provide certain corporate procedures and uniform rules for plans and agreements maintained by Honeywell International Inc. (the Company) and its Affiliates that provide supplemental retirement benefits to eligible executives. </w:t>
      </w:r>
    </w:p>
    <w:tbl>
      <w:tblPr>
        <w:tblW w:w="5000" w:type="pct"/>
        <w:jc w:val="left"/>
        <w:tblInd w:w="0" w:type="dxa"/>
        <w:tblCellMar>
          <w:top w:w="0" w:type="dxa"/>
          <w:left w:w="0" w:type="dxa"/>
          <w:bottom w:w="0" w:type="dxa"/>
          <w:right w:w="0" w:type="dxa"/>
        </w:tblCellMar>
      </w:tblPr>
      <w:tblGrid>
        <w:gridCol w:w="1295"/>
        <w:gridCol w:w="204"/>
        <w:gridCol w:w="8706"/>
      </w:tblGrid>
      <w:tr>
        <w:trPr/>
        <w:tc>
          <w:tcPr>
            <w:tcW w:w="1295" w:type="dxa"/>
            <w:tcBorders/>
            <w:shd w:fill="auto" w:val="clear"/>
            <w:vAlign w:val="bottom"/>
          </w:tcPr>
          <w:p>
            <w:pPr>
              <w:pStyle w:val="TableContents"/>
              <w:spacing w:before="0" w:after="283"/>
              <w:jc w:val="left"/>
              <w:rPr/>
            </w:pPr>
            <w:r>
              <w:rPr>
                <w:rFonts w:ascii="serif" w:hAnsi="serif"/>
                <w:b/>
              </w:rPr>
              <w:t>Section 2.</w:t>
            </w:r>
            <w:r>
              <w:rPr/>
              <w:t xml:space="preserve">  </w:t>
            </w:r>
          </w:p>
        </w:tc>
        <w:tc>
          <w:tcPr>
            <w:tcW w:w="204" w:type="dxa"/>
            <w:tcBorders/>
            <w:shd w:fill="auto" w:val="clear"/>
            <w:vAlign w:val="bottom"/>
          </w:tcPr>
          <w:p>
            <w:pPr>
              <w:pStyle w:val="TableContents"/>
              <w:spacing w:before="0" w:after="283"/>
              <w:rPr/>
            </w:pPr>
            <w:r>
              <w:rPr/>
              <w:t xml:space="preserve">  </w:t>
            </w:r>
          </w:p>
        </w:tc>
        <w:tc>
          <w:tcPr>
            <w:tcW w:w="8706" w:type="dxa"/>
            <w:tcBorders/>
            <w:shd w:fill="auto" w:val="clear"/>
            <w:vAlign w:val="bottom"/>
          </w:tcPr>
          <w:p>
            <w:pPr>
              <w:pStyle w:val="TableContents"/>
              <w:spacing w:before="0" w:after="283"/>
              <w:jc w:val="left"/>
              <w:rPr/>
            </w:pPr>
            <w:r>
              <w:rPr>
                <w:rFonts w:ascii="serif" w:hAnsi="serif"/>
                <w:b/>
              </w:rPr>
              <w:t>Definitions</w:t>
            </w:r>
            <w:r>
              <w:rPr/>
              <w:t xml:space="preserve">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Administrator means the Companys Senior Vice President  Human Resources and Communications.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Affiliate means any plant, branch, location, operation, division or subsidiary of the Company.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Board means the Board of Directors of the Company.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Effective Date means December 15, 2006.</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Eligible Employees means those employees eligible to participate in a Sub-plan in accordance with the terms of the Sub-plan on or after the Effective Date.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Employer means the Company and any Affiliate that is authorized to, and that elects to, participate in a Sub-plan.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Participant means an Eligible Employee who participates in a Sub-plan.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Sub-plan means a plan, program, scheme or arrangement maintained or adopted by an Employer to provide supplemental retirement benefits for one or more Eligible Employees.</w:t>
            </w:r>
            <w:r>
              <w:rPr/>
              <w:t xml:space="preserve"> </w:t>
            </w:r>
          </w:p>
        </w:tc>
      </w:tr>
      <w:tr>
        <w:trPr/>
        <w:tc>
          <w:tcPr>
            <w:tcW w:w="10205" w:type="dxa"/>
            <w:gridSpan w:val="2"/>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1316"/>
        <w:gridCol w:w="205"/>
        <w:gridCol w:w="8684"/>
      </w:tblGrid>
      <w:tr>
        <w:trPr/>
        <w:tc>
          <w:tcPr>
            <w:tcW w:w="1316" w:type="dxa"/>
            <w:tcBorders/>
            <w:shd w:fill="auto" w:val="clear"/>
            <w:vAlign w:val="bottom"/>
          </w:tcPr>
          <w:p>
            <w:pPr>
              <w:pStyle w:val="TableContents"/>
              <w:spacing w:before="0" w:after="283"/>
              <w:jc w:val="left"/>
              <w:rPr/>
            </w:pPr>
            <w:r>
              <w:rPr>
                <w:rFonts w:ascii="serif" w:hAnsi="serif"/>
                <w:b/>
              </w:rPr>
              <w:t>Section 3.</w:t>
            </w:r>
            <w:r>
              <w:rPr/>
              <w:t xml:space="preserve">  </w:t>
            </w:r>
          </w:p>
        </w:tc>
        <w:tc>
          <w:tcPr>
            <w:tcW w:w="205" w:type="dxa"/>
            <w:tcBorders/>
            <w:shd w:fill="auto" w:val="clear"/>
            <w:vAlign w:val="bottom"/>
          </w:tcPr>
          <w:p>
            <w:pPr>
              <w:pStyle w:val="TableContents"/>
              <w:spacing w:before="0" w:after="283"/>
              <w:rPr/>
            </w:pPr>
            <w:r>
              <w:rPr/>
              <w:t xml:space="preserve">  </w:t>
            </w:r>
          </w:p>
        </w:tc>
        <w:tc>
          <w:tcPr>
            <w:tcW w:w="8684" w:type="dxa"/>
            <w:tcBorders/>
            <w:shd w:fill="auto" w:val="clear"/>
            <w:vAlign w:val="bottom"/>
          </w:tcPr>
          <w:p>
            <w:pPr>
              <w:pStyle w:val="TableContents"/>
              <w:spacing w:before="0" w:after="283"/>
              <w:jc w:val="left"/>
              <w:rPr/>
            </w:pPr>
            <w:r>
              <w:rPr>
                <w:rFonts w:ascii="serif" w:hAnsi="serif"/>
                <w:b/>
              </w:rPr>
              <w:t>Terms and Conditions to be Set Forth in Sub-plans</w:t>
            </w:r>
            <w:r>
              <w:rPr/>
              <w:t xml:space="preserve">  </w:t>
            </w:r>
          </w:p>
        </w:tc>
      </w:tr>
    </w:tbl>
    <w:p>
      <w:pPr>
        <w:pStyle w:val="TextBody"/>
        <w:rPr/>
      </w:pPr>
      <w:r>
        <w:rPr/>
      </w:r>
    </w:p>
    <w:p>
      <w:pPr>
        <w:pStyle w:val="TextBody"/>
        <w:rPr/>
      </w:pPr>
      <w:r>
        <w:rPr/>
        <w:t>          </w:t>
      </w:r>
      <w:r>
        <w:rPr>
          <w:rFonts w:ascii="serif" w:hAnsi="serif"/>
        </w:rPr>
        <w:t>All benefits delivered pursuant to the Plan shall be delivered in accordance with the terms and conditions of a Sub-plan. Each Sub-plan shall be set forth in writing and shall be listed on Schedule A. Each Sub-plan shall permit participation by a specified group of Eligible Employees. Each Sub-plan shall include such additional terms and conditions as the Employer, the Administrator and</w:t>
      </w:r>
      <w:r>
        <w:rPr/>
        <w:t xml:space="preserve"> </w:t>
      </w:r>
      <w:r>
        <w:rPr>
          <w:rFonts w:ascii="serif" w:hAnsi="serif"/>
        </w:rPr>
        <w:t xml:space="preserve">the Chief Executive Officer of the Company (or his delegate) shall determine to be necessary or appropriate to accomplish the purposes thereof consistent with the terms hereof. In the event of any inconsistency between the terms of any Sub-plan and the terms hereof, the terms hereof shall govern. </w:t>
      </w:r>
    </w:p>
    <w:p>
      <w:pPr>
        <w:pStyle w:val="TextBody"/>
        <w:jc w:val="center"/>
        <w:rPr>
          <w:rFonts w:ascii="serif" w:hAnsi="serif"/>
        </w:rPr>
      </w:pPr>
      <w:r>
        <w:rPr>
          <w:rFonts w:ascii="serif" w:hAnsi="serif"/>
        </w:rPr>
        <w:t>2</w:t>
      </w:r>
    </w:p>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44" w:name="page_3"/>
      <w:bookmarkStart w:id="45" w:name="page_3"/>
      <w:bookmarkEnd w:id="45"/>
    </w:p>
    <w:tbl>
      <w:tblPr>
        <w:tblW w:w="5000" w:type="pct"/>
        <w:jc w:val="left"/>
        <w:tblInd w:w="0" w:type="dxa"/>
        <w:tblCellMar>
          <w:top w:w="0" w:type="dxa"/>
          <w:left w:w="0" w:type="dxa"/>
          <w:bottom w:w="0" w:type="dxa"/>
          <w:right w:w="0" w:type="dxa"/>
        </w:tblCellMar>
      </w:tblPr>
      <w:tblGrid>
        <w:gridCol w:w="1299"/>
        <w:gridCol w:w="203"/>
        <w:gridCol w:w="8703"/>
      </w:tblGrid>
      <w:tr>
        <w:trPr/>
        <w:tc>
          <w:tcPr>
            <w:tcW w:w="1299" w:type="dxa"/>
            <w:tcBorders/>
            <w:shd w:fill="auto" w:val="clear"/>
            <w:vAlign w:val="bottom"/>
          </w:tcPr>
          <w:p>
            <w:pPr>
              <w:pStyle w:val="TableContents"/>
              <w:spacing w:before="0" w:after="283"/>
              <w:jc w:val="left"/>
              <w:rPr/>
            </w:pPr>
            <w:r>
              <w:rPr>
                <w:rFonts w:ascii="serif" w:hAnsi="serif"/>
                <w:b/>
              </w:rPr>
              <w:t>Section 4.</w:t>
            </w:r>
            <w:r>
              <w:rPr/>
              <w:t xml:space="preserve">  </w:t>
            </w:r>
          </w:p>
        </w:tc>
        <w:tc>
          <w:tcPr>
            <w:tcW w:w="203" w:type="dxa"/>
            <w:tcBorders/>
            <w:shd w:fill="auto" w:val="clear"/>
            <w:vAlign w:val="bottom"/>
          </w:tcPr>
          <w:p>
            <w:pPr>
              <w:pStyle w:val="TableContents"/>
              <w:spacing w:before="0" w:after="283"/>
              <w:rPr/>
            </w:pPr>
            <w:r>
              <w:rPr/>
              <w:t xml:space="preserve">  </w:t>
            </w:r>
          </w:p>
        </w:tc>
        <w:tc>
          <w:tcPr>
            <w:tcW w:w="8703" w:type="dxa"/>
            <w:tcBorders/>
            <w:shd w:fill="auto" w:val="clear"/>
            <w:vAlign w:val="bottom"/>
          </w:tcPr>
          <w:p>
            <w:pPr>
              <w:pStyle w:val="TableContents"/>
              <w:spacing w:before="0" w:after="283"/>
              <w:jc w:val="left"/>
              <w:rPr/>
            </w:pPr>
            <w:r>
              <w:rPr>
                <w:rFonts w:ascii="serif" w:hAnsi="serif"/>
                <w:b/>
              </w:rPr>
              <w:t>Amendment or Termination</w:t>
            </w:r>
            <w:r>
              <w:rPr/>
              <w:t xml:space="preserve">  </w:t>
            </w:r>
          </w:p>
        </w:tc>
      </w:tr>
    </w:tbl>
    <w:p>
      <w:pPr>
        <w:pStyle w:val="TextBody"/>
        <w:rPr/>
      </w:pPr>
      <w:r>
        <w:rPr/>
      </w:r>
    </w:p>
    <w:p>
      <w:pPr>
        <w:pStyle w:val="TextBody"/>
        <w:rPr/>
      </w:pPr>
      <w:r>
        <w:rPr/>
        <w:t>          </w:t>
      </w:r>
      <w:r>
        <w:rPr>
          <w:rFonts w:ascii="serif" w:hAnsi="serif"/>
        </w:rPr>
        <w:t xml:space="preserve">(a) </w:t>
      </w:r>
      <w:r>
        <w:rPr>
          <w:rFonts w:ascii="serif" w:hAnsi="serif"/>
          <w:u w:val="single"/>
        </w:rPr>
        <w:t>Amendment</w:t>
      </w:r>
      <w:r>
        <w:rPr>
          <w:rFonts w:ascii="serif" w:hAnsi="serif"/>
        </w:rPr>
        <w:t xml:space="preserve">. The Plan (including, without limitation, Schedule A attached hereto) may be amended at any time and from time to time by the Chief Executive Officer of the Company (or his delegate). Each Sub-plan may be amended in accordance with its terms. </w:t>
      </w:r>
    </w:p>
    <w:p>
      <w:pPr>
        <w:pStyle w:val="TextBody"/>
        <w:rPr/>
      </w:pPr>
      <w:r>
        <w:rPr/>
        <w:t>          </w:t>
      </w:r>
      <w:r>
        <w:rPr>
          <w:rFonts w:ascii="serif" w:hAnsi="serif"/>
        </w:rPr>
        <w:t xml:space="preserve">(b) </w:t>
      </w:r>
      <w:r>
        <w:rPr>
          <w:rFonts w:ascii="serif" w:hAnsi="serif"/>
          <w:u w:val="single"/>
        </w:rPr>
        <w:t>Termination</w:t>
      </w:r>
      <w:r>
        <w:rPr>
          <w:rFonts w:ascii="serif" w:hAnsi="serif"/>
        </w:rPr>
        <w:t xml:space="preserve">. The Plan will terminate upon the adoption of a resolution of the Chief Executive Officer of the Company terminating the Plan or the adoption of a resolution terminating all Sub-plans with respect to all of the then Employers. </w:t>
      </w:r>
    </w:p>
    <w:tbl>
      <w:tblPr>
        <w:tblW w:w="5000" w:type="pct"/>
        <w:jc w:val="left"/>
        <w:tblInd w:w="0" w:type="dxa"/>
        <w:tblCellMar>
          <w:top w:w="0" w:type="dxa"/>
          <w:left w:w="0" w:type="dxa"/>
          <w:bottom w:w="0" w:type="dxa"/>
          <w:right w:w="0" w:type="dxa"/>
        </w:tblCellMar>
      </w:tblPr>
      <w:tblGrid>
        <w:gridCol w:w="1298"/>
        <w:gridCol w:w="205"/>
        <w:gridCol w:w="8702"/>
      </w:tblGrid>
      <w:tr>
        <w:trPr/>
        <w:tc>
          <w:tcPr>
            <w:tcW w:w="1298" w:type="dxa"/>
            <w:tcBorders/>
            <w:shd w:fill="auto" w:val="clear"/>
            <w:vAlign w:val="bottom"/>
          </w:tcPr>
          <w:p>
            <w:pPr>
              <w:pStyle w:val="TableContents"/>
              <w:spacing w:before="0" w:after="283"/>
              <w:jc w:val="left"/>
              <w:rPr/>
            </w:pPr>
            <w:r>
              <w:rPr>
                <w:rFonts w:ascii="serif" w:hAnsi="serif"/>
                <w:b/>
              </w:rPr>
              <w:t>Section 5.</w:t>
            </w:r>
            <w:r>
              <w:rPr/>
              <w:t xml:space="preserve">  </w:t>
            </w:r>
          </w:p>
        </w:tc>
        <w:tc>
          <w:tcPr>
            <w:tcW w:w="205" w:type="dxa"/>
            <w:tcBorders/>
            <w:shd w:fill="auto" w:val="clear"/>
            <w:vAlign w:val="bottom"/>
          </w:tcPr>
          <w:p>
            <w:pPr>
              <w:pStyle w:val="TableContents"/>
              <w:spacing w:before="0" w:after="283"/>
              <w:rPr/>
            </w:pPr>
            <w:r>
              <w:rPr/>
              <w:t xml:space="preserve">  </w:t>
            </w:r>
          </w:p>
        </w:tc>
        <w:tc>
          <w:tcPr>
            <w:tcW w:w="8702" w:type="dxa"/>
            <w:tcBorders/>
            <w:shd w:fill="auto" w:val="clear"/>
            <w:vAlign w:val="bottom"/>
          </w:tcPr>
          <w:p>
            <w:pPr>
              <w:pStyle w:val="TableContents"/>
              <w:spacing w:before="0" w:after="283"/>
              <w:jc w:val="left"/>
              <w:rPr/>
            </w:pPr>
            <w:r>
              <w:rPr>
                <w:rFonts w:ascii="serif" w:hAnsi="serif"/>
                <w:b/>
              </w:rPr>
              <w:t>Governing Law</w:t>
            </w:r>
            <w:r>
              <w:rPr/>
              <w:t xml:space="preserve">  </w:t>
            </w:r>
          </w:p>
        </w:tc>
      </w:tr>
    </w:tbl>
    <w:p>
      <w:pPr>
        <w:pStyle w:val="TextBody"/>
        <w:rPr/>
      </w:pPr>
      <w:r>
        <w:rPr/>
      </w:r>
    </w:p>
    <w:p>
      <w:pPr>
        <w:pStyle w:val="TextBody"/>
        <w:rPr/>
      </w:pPr>
      <w:r>
        <w:rPr/>
        <w:t>          </w:t>
      </w:r>
      <w:r>
        <w:rPr>
          <w:rFonts w:ascii="serif" w:hAnsi="serif"/>
        </w:rPr>
        <w:t xml:space="preserve">The Plan and its provisions shall be construed in accordance with the laws of the State of Delaware, United States of America, except to the extent otherwise required by the laws of the applicable local jurisdiction. </w:t>
      </w:r>
    </w:p>
    <w:p>
      <w:pPr>
        <w:pStyle w:val="TextBody"/>
        <w:jc w:val="center"/>
        <w:rPr>
          <w:rFonts w:ascii="serif" w:hAnsi="serif"/>
        </w:rPr>
      </w:pPr>
      <w:r>
        <w:rPr>
          <w:rFonts w:ascii="serif" w:hAnsi="serif"/>
        </w:rPr>
        <w:t>3</w:t>
      </w:r>
    </w:p>
    <w:p>
      <w:pPr>
        <w:pStyle w:val="HorizontalLine"/>
        <w:pBdr>
          <w:bottom w:val="single" w:sz="24" w:space="0" w:color="808080"/>
        </w:pBdr>
        <w:rPr/>
      </w:pPr>
      <w:r>
        <w:rPr/>
      </w:r>
      <w:r>
        <w:br w:type="page"/>
      </w:r>
    </w:p>
    <w:p>
      <w:pPr>
        <w:pStyle w:val="TextBody"/>
        <w:jc w:val="center"/>
        <w:rPr/>
      </w:pPr>
      <w:bookmarkStart w:id="46" w:name="page_4"/>
      <w:bookmarkEnd w:id="46"/>
      <w:r>
        <w:rPr>
          <w:rFonts w:ascii="serif" w:hAnsi="serif"/>
          <w:b/>
        </w:rPr>
        <w:t>Schedule A</w:t>
      </w:r>
      <w:r>
        <w:rPr/>
        <w:t xml:space="preserve"> </w:t>
      </w:r>
    </w:p>
    <w:p>
      <w:pPr>
        <w:pStyle w:val="TextBody"/>
        <w:jc w:val="center"/>
        <w:rPr>
          <w:rFonts w:ascii="serif" w:hAnsi="serif"/>
          <w:b/>
        </w:rPr>
      </w:pPr>
      <w:r>
        <w:rPr>
          <w:rFonts w:ascii="serif" w:hAnsi="serif"/>
          <w:b/>
        </w:rPr>
        <w:t>List of Sub-plans as of December 15, 2006</w:t>
      </w:r>
    </w:p>
    <w:p>
      <w:pPr>
        <w:pStyle w:val="TextBody"/>
        <w:numPr>
          <w:ilvl w:val="0"/>
          <w:numId w:val="2"/>
        </w:numPr>
        <w:tabs>
          <w:tab w:val="clear" w:pos="1134"/>
          <w:tab w:val="left" w:pos="707" w:leader="none"/>
        </w:tabs>
        <w:spacing w:before="0" w:after="0"/>
        <w:ind w:left="707" w:hanging="283"/>
        <w:rPr/>
      </w:pPr>
      <w:r>
        <w:rPr>
          <w:rFonts w:ascii="serif" w:hAnsi="serif"/>
        </w:rPr>
        <w:t>Honeywell International Inc. Supplemental Pension Plan</w:t>
      </w:r>
      <w:r>
        <w:rPr/>
        <w:t xml:space="preserve"> </w:t>
      </w:r>
    </w:p>
    <w:p>
      <w:pPr>
        <w:pStyle w:val="TextBody"/>
        <w:numPr>
          <w:ilvl w:val="0"/>
          <w:numId w:val="2"/>
        </w:numPr>
        <w:tabs>
          <w:tab w:val="clear" w:pos="1134"/>
          <w:tab w:val="left" w:pos="707" w:leader="none"/>
        </w:tabs>
        <w:spacing w:before="0" w:after="0"/>
        <w:ind w:left="707" w:hanging="283"/>
        <w:rPr/>
      </w:pPr>
      <w:r>
        <w:rPr>
          <w:rFonts w:ascii="serif" w:hAnsi="serif"/>
        </w:rPr>
        <w:t>Honeywell Supplemental Defined Benefit Retirement Plan</w:t>
      </w:r>
      <w:r>
        <w:rPr/>
        <w:t xml:space="preserve"> </w:t>
      </w:r>
    </w:p>
    <w:p>
      <w:pPr>
        <w:pStyle w:val="TextBody"/>
        <w:numPr>
          <w:ilvl w:val="0"/>
          <w:numId w:val="2"/>
        </w:numPr>
        <w:tabs>
          <w:tab w:val="clear" w:pos="1134"/>
          <w:tab w:val="left" w:pos="707" w:leader="none"/>
        </w:tabs>
        <w:spacing w:before="0" w:after="0"/>
        <w:ind w:left="707" w:hanging="283"/>
        <w:rPr/>
      </w:pPr>
      <w:r>
        <w:rPr>
          <w:rFonts w:ascii="serif" w:hAnsi="serif"/>
        </w:rPr>
        <w:t>Honeywell International Inc Supplemental Executive Retirement Plan for</w:t>
      </w:r>
      <w:r>
        <w:rPr/>
        <w:t xml:space="preserve"> </w:t>
      </w:r>
      <w:r>
        <w:rPr>
          <w:rFonts w:ascii="serif" w:hAnsi="serif"/>
        </w:rPr>
        <w:t>Executives in Career Band 6 and Above</w:t>
      </w:r>
      <w:r>
        <w:rPr/>
        <w:t xml:space="preserve"> </w:t>
      </w:r>
    </w:p>
    <w:p>
      <w:pPr>
        <w:pStyle w:val="TextBody"/>
        <w:numPr>
          <w:ilvl w:val="0"/>
          <w:numId w:val="2"/>
        </w:numPr>
        <w:tabs>
          <w:tab w:val="clear" w:pos="1134"/>
          <w:tab w:val="left" w:pos="707" w:leader="none"/>
        </w:tabs>
        <w:ind w:left="707" w:hanging="283"/>
        <w:rPr/>
      </w:pPr>
      <w:r>
        <w:rPr>
          <w:rFonts w:ascii="serif" w:hAnsi="serif"/>
        </w:rPr>
        <w:t>Pittway Corporation Supplement Executive Retirement Plan</w:t>
      </w:r>
      <w:r>
        <w:rPr/>
        <w:t xml:space="preserve"> </w:t>
      </w:r>
    </w:p>
    <w:p>
      <w:pPr>
        <w:pStyle w:val="HorizontalLine"/>
        <w:pBdr>
          <w:bottom w:val="single" w:sz="24" w:space="0" w:color="808080"/>
        </w:pBdr>
        <w:rPr/>
      </w:pPr>
      <w:r>
        <w:rPr/>
      </w:r>
      <w:r>
        <w:br w:type="page"/>
      </w:r>
    </w:p>
    <w:p>
      <w:pPr>
        <w:pStyle w:val="TextBody"/>
        <w:jc w:val="right"/>
        <w:rPr>
          <w:rFonts w:ascii="serif" w:hAnsi="serif"/>
          <w:u w:val="single"/>
        </w:rPr>
      </w:pPr>
      <w:bookmarkStart w:id="47" w:name="page_12"/>
      <w:bookmarkStart w:id="48" w:name="c44492_ex10-25.htm"/>
      <w:bookmarkStart w:id="49" w:name="ksc44492_ex1025"/>
      <w:bookmarkEnd w:id="47"/>
      <w:bookmarkEnd w:id="48"/>
      <w:bookmarkEnd w:id="49"/>
      <w:r>
        <w:rPr>
          <w:rFonts w:ascii="serif" w:hAnsi="serif"/>
          <w:u w:val="single"/>
        </w:rPr>
        <w:t>Exhibit 10.25</w:t>
      </w:r>
    </w:p>
    <w:p>
      <w:pPr>
        <w:pStyle w:val="TextBody"/>
        <w:jc w:val="center"/>
        <w:rPr>
          <w:rFonts w:ascii="serif" w:hAnsi="serif"/>
          <w:u w:val="single"/>
        </w:rPr>
      </w:pPr>
      <w:r>
        <w:rPr>
          <w:rFonts w:ascii="serif" w:hAnsi="serif"/>
          <w:u w:val="single"/>
        </w:rPr>
        <w:t>PITTWAY CORPORATION</w:t>
        <w:br/>
        <w:t>SUPPLEMENTAL EXECUTIVE RETIREMENT PLAN</w:t>
      </w:r>
    </w:p>
    <w:p>
      <w:pPr>
        <w:pStyle w:val="TextBody"/>
        <w:jc w:val="center"/>
        <w:rPr>
          <w:rFonts w:ascii="serif" w:hAnsi="serif"/>
          <w:u w:val="single"/>
        </w:rPr>
      </w:pPr>
      <w:r>
        <w:rPr>
          <w:rFonts w:ascii="serif" w:hAnsi="serif"/>
          <w:u w:val="single"/>
        </w:rPr>
        <w:t>SECTION 1</w:t>
      </w:r>
    </w:p>
    <w:p>
      <w:pPr>
        <w:pStyle w:val="TextBody"/>
        <w:jc w:val="center"/>
        <w:rPr>
          <w:rFonts w:ascii="serif" w:hAnsi="serif"/>
          <w:u w:val="single"/>
        </w:rPr>
      </w:pPr>
      <w:r>
        <w:rPr>
          <w:rFonts w:ascii="serif" w:hAnsi="serif"/>
          <w:u w:val="single"/>
        </w:rPr>
        <w:t>Introduction</w:t>
      </w:r>
    </w:p>
    <w:p>
      <w:pPr>
        <w:pStyle w:val="TextBody"/>
        <w:rPr/>
      </w:pPr>
      <w:r>
        <w:rPr>
          <w:rFonts w:ascii="serif" w:hAnsi="serif"/>
        </w:rPr>
        <w:t>1.1</w:t>
      </w:r>
      <w:r>
        <w:rPr/>
        <w:t xml:space="preserve"> </w:t>
      </w:r>
      <w:r>
        <w:rPr>
          <w:rFonts w:ascii="serif" w:hAnsi="serif"/>
          <w:u w:val="single"/>
        </w:rPr>
        <w:t>The Plan and Its Effective Date</w:t>
      </w:r>
      <w:r>
        <w:rPr>
          <w:rFonts w:ascii="serif" w:hAnsi="serif"/>
        </w:rPr>
        <w:t xml:space="preserve">. This Pittway Corporation Supplemental Executive Retirement Plan (the plan) has been established by Pittway Corporation (the company), effective January 1, 1996. </w:t>
      </w:r>
    </w:p>
    <w:p>
      <w:pPr>
        <w:pStyle w:val="TextBody"/>
        <w:rPr/>
      </w:pPr>
      <w:r>
        <w:rPr>
          <w:rFonts w:ascii="serif" w:hAnsi="serif"/>
        </w:rPr>
        <w:t>1.2</w:t>
      </w:r>
      <w:r>
        <w:rPr/>
        <w:t xml:space="preserve"> </w:t>
      </w:r>
      <w:r>
        <w:rPr>
          <w:rFonts w:ascii="serif" w:hAnsi="serif"/>
          <w:u w:val="single"/>
        </w:rPr>
        <w:t>Purpose</w:t>
      </w:r>
      <w:r>
        <w:rPr>
          <w:rFonts w:ascii="serif" w:hAnsi="serif"/>
        </w:rPr>
        <w:t xml:space="preserve">. The company maintains the Pittway Corporation Retirement Plan (As Amended and Restated Effective as of January 1, 1989) (as the same may hereafter be amended, the retirement plan), which is intended to meet the requirements of a qualified plan under the Internal Revenue Code of 1986, as amended (the Code). While the Code places limitations on the maximum benefits which may be paid from a qualified plan and the maximum amount of an employees compensation that may be taken into account for determining benefits payable under a qualified plan, the Employee Retirement Income Security Act of 1974, as amended (ERISA), permits the payment under an unfunded plan of benefits which may not be paid under a qualified plan because of such limitations. The purpose of the plan is to provide certain key employees of the company and its subsidiaries with certain benefits which may not be provided under the retirement plan because of the maximum compensation limitation of the Code. </w:t>
      </w:r>
    </w:p>
    <w:p>
      <w:pPr>
        <w:pStyle w:val="TextBody"/>
        <w:jc w:val="center"/>
        <w:rPr/>
      </w:pPr>
      <w:r>
        <w:rPr>
          <w:rFonts w:ascii="serif" w:hAnsi="serif"/>
          <w:u w:val="single"/>
        </w:rPr>
        <w:t>SECTION 2</w:t>
      </w:r>
      <w:r>
        <w:rPr/>
        <w:t xml:space="preserve"> </w:t>
      </w:r>
    </w:p>
    <w:p>
      <w:pPr>
        <w:pStyle w:val="TextBody"/>
        <w:jc w:val="center"/>
        <w:rPr>
          <w:rFonts w:ascii="serif" w:hAnsi="serif"/>
          <w:u w:val="single"/>
        </w:rPr>
      </w:pPr>
      <w:r>
        <w:rPr>
          <w:rFonts w:ascii="serif" w:hAnsi="serif"/>
          <w:u w:val="single"/>
        </w:rPr>
        <w:t>Eligibility and Benefits</w:t>
      </w:r>
    </w:p>
    <w:p>
      <w:pPr>
        <w:pStyle w:val="TextBody"/>
        <w:rPr/>
      </w:pPr>
      <w:r>
        <w:rPr>
          <w:rFonts w:ascii="serif" w:hAnsi="serif"/>
        </w:rPr>
        <w:t>2.1</w:t>
      </w:r>
      <w:r>
        <w:rPr/>
        <w:t xml:space="preserve"> </w:t>
      </w:r>
      <w:r>
        <w:rPr>
          <w:rFonts w:ascii="serif" w:hAnsi="serif"/>
          <w:u w:val="single"/>
        </w:rPr>
        <w:t>Eligibility</w:t>
      </w:r>
      <w:r>
        <w:rPr>
          <w:rFonts w:ascii="serif" w:hAnsi="serif"/>
        </w:rPr>
        <w:t xml:space="preserve">. Each key employee of the company or a subsidiary of the company (a participant) who participates in the retirement plan and who is a party to an employment agreement with the company or subsidiary of the company substantially in the form attached hereto as Exhibit 1 (as the same may hereafter be amended, his Employment Agreement) that provides for his participation in the plan shall participate in the plan, subject to the conditions and limitations of the plan. It is expressly understood that variations among the participants Employment Agreements may result in differences in the numbered paragraphs thereof in which corresponding provisions appear (for example, the non-competition provisions which are in paragraph 10 of Exhibit 1 attached hereto, or variations thereof, may be in paragraph 10 of certain of the Employment Agreements but in paragraph 9 of others). Accordingly, each reference in the plan to a particular numbered paragraph of a participants Employment Agreement shall be deemed to be a reference to the paragraph thereof, if any, which corresponds to the identically numbered paragraph of Exhibit 1. </w:t>
      </w:r>
    </w:p>
    <w:p>
      <w:pPr>
        <w:pStyle w:val="TextBody"/>
        <w:rPr/>
      </w:pPr>
      <w:r>
        <w:rPr>
          <w:rFonts w:ascii="serif" w:hAnsi="serif"/>
        </w:rPr>
        <w:t>2.2</w:t>
      </w:r>
      <w:r>
        <w:rPr/>
        <w:t xml:space="preserve"> </w:t>
      </w:r>
      <w:r>
        <w:rPr>
          <w:rFonts w:ascii="serif" w:hAnsi="serif"/>
          <w:u w:val="single"/>
        </w:rPr>
        <w:t>Accrued Benefit</w:t>
      </w:r>
      <w:r>
        <w:rPr>
          <w:rFonts w:ascii="serif" w:hAnsi="serif"/>
        </w:rPr>
        <w:t xml:space="preserve">. For 1995 and for each full calendar year and any final fraction of a calendar year of a participants Employment Period (as such term is defined in such participants Employment Agreement), the participant shall accrue a benefit under the plan equal to 1.85 percent of that portion of his earnings (as defined in section 2.3 below) for such year or fraction that is in excess of the maximum dollar limitation (as defined below) for such year or fraction and is less than $300,000. For purposes of the plan, maximum dollar limitation means, for </w:t>
      </w:r>
    </w:p>
    <w:p>
      <w:pPr>
        <w:pStyle w:val="HorizontalLine"/>
        <w:pBdr>
          <w:bottom w:val="single" w:sz="24" w:space="0" w:color="808080"/>
        </w:pBdr>
        <w:rPr/>
      </w:pPr>
      <w:r>
        <w:rPr/>
      </w:r>
      <w:r>
        <w:br w:type="page"/>
      </w:r>
    </w:p>
    <w:p>
      <w:pPr>
        <w:pStyle w:val="TextBody"/>
        <w:rPr>
          <w:rFonts w:ascii="serif" w:hAnsi="serif"/>
        </w:rPr>
      </w:pPr>
      <w:bookmarkStart w:id="50" w:name="page_21"/>
      <w:bookmarkEnd w:id="50"/>
      <w:r>
        <w:rPr>
          <w:rFonts w:ascii="serif" w:hAnsi="serif"/>
        </w:rPr>
        <w:t xml:space="preserve">any year or fraction of a year, the greater of $150,000 or the dollar amount of any higher maximum limitation on annual compensation taken into account under a qualified plan for such year or fraction of a year determined by the Secretary of Treasury or his delegate or by law under section 401 (a) (17) of the Code; it being understood that annual compensation for purposes of such limitation is computed differently from earnings for purposes of the plan. A participants accrued benefits under the plan shall be referred to hereinafter as the participants supplemental retirement benefits. </w:t>
      </w:r>
    </w:p>
    <w:p>
      <w:pPr>
        <w:pStyle w:val="TextBody"/>
        <w:rPr/>
      </w:pPr>
      <w:r>
        <w:rPr>
          <w:rFonts w:ascii="serif" w:hAnsi="serif"/>
        </w:rPr>
        <w:t>2.3</w:t>
      </w:r>
      <w:r>
        <w:rPr/>
        <w:t xml:space="preserve"> </w:t>
      </w:r>
      <w:r>
        <w:rPr>
          <w:rFonts w:ascii="serif" w:hAnsi="serif"/>
          <w:u w:val="single"/>
        </w:rPr>
        <w:t>Earnings</w:t>
      </w:r>
      <w:r>
        <w:rPr>
          <w:rFonts w:ascii="serif" w:hAnsi="serif"/>
        </w:rPr>
        <w:t xml:space="preserve">. For purposes of the plan, a participants earnings for any year or fraction means his total, regular cash compensation paid for such year or fraction for services rendered to the Pittway Companies (as such term is defined in the retirement plan) during such year or fraction, consisting solely of his salary and his annual discretionary cash bonus, if any, for such year. It is expressly understood that a participants earnings do not include any other compensation, including, without limitation, any of the following: </w:t>
      </w:r>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rPr>
              <w:t>Long-tem incentive compensation;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rPr>
              <w:t>Unused vacation pay;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(c)</w:t>
            </w:r>
            <w:r>
              <w:rPr/>
              <w:t xml:space="preserve">      </w:t>
            </w:r>
          </w:p>
        </w:tc>
        <w:tc>
          <w:tcPr>
            <w:tcW w:w="9495" w:type="dxa"/>
            <w:tcBorders/>
            <w:shd w:fill="auto" w:val="clear"/>
            <w:vAlign w:val="center"/>
          </w:tcPr>
          <w:p>
            <w:pPr>
              <w:pStyle w:val="TableContents"/>
              <w:spacing w:before="0" w:after="283"/>
              <w:rPr/>
            </w:pPr>
            <w:r>
              <w:rPr>
                <w:rFonts w:ascii="serif" w:hAnsi="serif"/>
              </w:rPr>
              <w:t>Special cash bonuses;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(d)</w:t>
            </w:r>
            <w:r>
              <w:rPr/>
              <w:t xml:space="preserve">      </w:t>
            </w:r>
          </w:p>
        </w:tc>
        <w:tc>
          <w:tcPr>
            <w:tcW w:w="9495" w:type="dxa"/>
            <w:tcBorders/>
            <w:shd w:fill="auto" w:val="clear"/>
            <w:vAlign w:val="center"/>
          </w:tcPr>
          <w:p>
            <w:pPr>
              <w:pStyle w:val="TableContents"/>
              <w:spacing w:before="0" w:after="283"/>
              <w:rPr/>
            </w:pPr>
            <w:r>
              <w:rPr>
                <w:rFonts w:ascii="serif" w:hAnsi="serif"/>
              </w:rPr>
              <w:t>Any income realized for Federal income tax purposes as a result of the grant or exercise of an option or options to acquire shares of stock of a Pittway Company, the receipt or exercise of any stock appreciation right or payment, or the disposition of shares acquired by the exercise of such and option or right;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(e)</w:t>
            </w:r>
            <w:r>
              <w:rPr/>
              <w:t xml:space="preserve">      </w:t>
            </w:r>
          </w:p>
        </w:tc>
        <w:tc>
          <w:tcPr>
            <w:tcW w:w="9495" w:type="dxa"/>
            <w:tcBorders/>
            <w:shd w:fill="auto" w:val="clear"/>
            <w:vAlign w:val="center"/>
          </w:tcPr>
          <w:p>
            <w:pPr>
              <w:pStyle w:val="TableContents"/>
              <w:spacing w:before="0" w:after="283"/>
              <w:rPr/>
            </w:pPr>
            <w:r>
              <w:rPr>
                <w:rFonts w:ascii="serif" w:hAnsi="serif"/>
              </w:rPr>
              <w:t>Any noncash compensation, including any amounts contributed by the participants employer(s) for his benefit under the retirement plan or any other retirement or benefit plan, arrangement, or policy maintained by his employer(s);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(f)</w:t>
            </w:r>
            <w:r>
              <w:rPr/>
              <w:t xml:space="preserve">      </w:t>
            </w:r>
          </w:p>
        </w:tc>
        <w:tc>
          <w:tcPr>
            <w:tcW w:w="9495" w:type="dxa"/>
            <w:tcBorders/>
            <w:shd w:fill="auto" w:val="clear"/>
            <w:vAlign w:val="center"/>
          </w:tcPr>
          <w:p>
            <w:pPr>
              <w:pStyle w:val="TableContents"/>
              <w:spacing w:before="0" w:after="283"/>
              <w:rPr/>
            </w:pPr>
            <w:r>
              <w:rPr>
                <w:rFonts w:ascii="serif" w:hAnsi="serif"/>
              </w:rPr>
              <w:t>Any reimbursements for medical, dental or travel expenses, automobile allowances, relocation allowances, educational assistance allowances, awards and other special allowances;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(g)</w:t>
            </w:r>
            <w:r>
              <w:rPr/>
              <w:t xml:space="preserve">      </w:t>
            </w:r>
          </w:p>
        </w:tc>
        <w:tc>
          <w:tcPr>
            <w:tcW w:w="9495" w:type="dxa"/>
            <w:tcBorders/>
            <w:shd w:fill="auto" w:val="clear"/>
            <w:vAlign w:val="center"/>
          </w:tcPr>
          <w:p>
            <w:pPr>
              <w:pStyle w:val="TableContents"/>
              <w:spacing w:before="0" w:after="283"/>
              <w:rPr/>
            </w:pPr>
            <w:r>
              <w:rPr>
                <w:rFonts w:ascii="serif" w:hAnsi="serif"/>
              </w:rPr>
              <w:t>Any income realized for Federal income tax purposes as a result of (i) group life insurance, (ii) the personal use of an employer-owned automobile, or (iii) the transfer of restricted shares of stock or restricted property of a Pittway Company, or the removal of any such restrictions;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(h)</w:t>
            </w:r>
            <w:r>
              <w:rPr/>
              <w:t xml:space="preserve">      </w:t>
            </w:r>
          </w:p>
        </w:tc>
        <w:tc>
          <w:tcPr>
            <w:tcW w:w="9495" w:type="dxa"/>
            <w:tcBorders/>
            <w:shd w:fill="auto" w:val="clear"/>
            <w:vAlign w:val="center"/>
          </w:tcPr>
          <w:p>
            <w:pPr>
              <w:pStyle w:val="TableContents"/>
              <w:spacing w:before="0" w:after="283"/>
              <w:rPr/>
            </w:pPr>
            <w:r>
              <w:rPr>
                <w:rFonts w:ascii="serif" w:hAnsi="serif"/>
              </w:rPr>
              <w:t>Any severance pay paid as a result of the participants termination of employment (it being expressly understood that any amount(s) taken into account pursuant to the final sentence of section 2.8 below shall not be deemed severance pay for purposes hereof);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(i)</w:t>
            </w:r>
            <w:r>
              <w:rPr/>
              <w:t xml:space="preserve">      </w:t>
            </w:r>
          </w:p>
        </w:tc>
        <w:tc>
          <w:tcPr>
            <w:tcW w:w="9495" w:type="dxa"/>
            <w:tcBorders/>
            <w:shd w:fill="auto" w:val="clear"/>
            <w:vAlign w:val="center"/>
          </w:tcPr>
          <w:p>
            <w:pPr>
              <w:pStyle w:val="TableContents"/>
              <w:spacing w:before="0" w:after="283"/>
              <w:rPr/>
            </w:pPr>
            <w:r>
              <w:rPr>
                <w:rFonts w:ascii="serif" w:hAnsi="serif"/>
              </w:rPr>
              <w:t>Any compensation paid or payable to the participant, or to any governmental body or agency on account of the participant, under the terms of any state, Federal or foreign law requiring the payment of such compensation because of the participants voluntary or involuntary termination of employment with any Pittway Company.</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center"/>
        <w:rPr>
          <w:rFonts w:ascii="serif" w:hAnsi="serif"/>
        </w:rPr>
      </w:pPr>
      <w:r>
        <w:rPr>
          <w:rFonts w:ascii="serif" w:hAnsi="serif"/>
        </w:rPr>
        <w:t>2</w:t>
      </w:r>
    </w:p>
    <w:p>
      <w:pPr>
        <w:pStyle w:val="HorizontalLine"/>
        <w:pBdr>
          <w:bottom w:val="single" w:sz="24" w:space="0" w:color="808080"/>
        </w:pBdr>
        <w:rPr/>
      </w:pPr>
      <w:r>
        <w:rPr/>
      </w:r>
      <w:r>
        <w:br w:type="page"/>
      </w:r>
    </w:p>
    <w:p>
      <w:pPr>
        <w:pStyle w:val="TextBody"/>
        <w:rPr>
          <w:rFonts w:ascii="serif" w:hAnsi="serif"/>
        </w:rPr>
      </w:pPr>
      <w:bookmarkStart w:id="51" w:name="page_31"/>
      <w:bookmarkEnd w:id="51"/>
      <w:r>
        <w:rPr>
          <w:rFonts w:ascii="serif" w:hAnsi="serif"/>
        </w:rPr>
        <w:t>Notwithstanding the foregoing, a participants earnings do include (i) any salary reduction amount elected by the participant and credited to a cafeteria plan (as defined in section 125 (c) of the Code) or a qualified cash or deferred arrangement (as defined in section 401 (k) of the Code) and (ii) the initial value ascribed to any performance shares award the participant elects to receive in lieu of a portion of his annual discretionary cash bonus.</w:t>
      </w:r>
    </w:p>
    <w:p>
      <w:pPr>
        <w:pStyle w:val="TextBody"/>
        <w:rPr/>
      </w:pPr>
      <w:r>
        <w:rPr>
          <w:rFonts w:ascii="serif" w:hAnsi="serif"/>
        </w:rPr>
        <w:t>2.4</w:t>
      </w:r>
      <w:r>
        <w:rPr/>
        <w:t xml:space="preserve"> </w:t>
      </w:r>
      <w:r>
        <w:rPr>
          <w:rFonts w:ascii="serif" w:hAnsi="serif"/>
          <w:u w:val="single"/>
        </w:rPr>
        <w:t>Payment of Benefits</w:t>
      </w:r>
      <w:r>
        <w:rPr>
          <w:rFonts w:ascii="serif" w:hAnsi="serif"/>
        </w:rPr>
        <w:t>. Each participants Employment Agreement provides that in no event shall his Employment Period be extended beyond his 65</w:t>
      </w:r>
      <w:r>
        <w:rPr>
          <w:rFonts w:ascii="serif" w:hAnsi="serif"/>
          <w:position w:val="8"/>
          <w:sz w:val="19"/>
        </w:rPr>
        <w:t>th</w:t>
      </w:r>
      <w:r>
        <w:rPr/>
        <w:t xml:space="preserve"> </w:t>
      </w:r>
      <w:r>
        <w:rPr>
          <w:rFonts w:ascii="serif" w:hAnsi="serif"/>
        </w:rPr>
        <w:t>birthday except by mutual agreement of the participant and his employer. Subject to the conditions and limitations of the plan, upon a participants attainment of age 65 years, he shall be entitled to a monthly benefit payable for his life commencing upon his attainment of age 65 years in an amount equal to one-twelfth (1/12) of the sum of the participants accrued supplemental retirement benefits. A participants supplemental retirement benefits shall be paid to him in the form described below that applies to the participant; provided, however, that in lieu of payment in the normal form described below, the participant may irrevocably elect, within thirty (30) days after his commencement of participation in the plan, to receive his supplemental retirement benefits in a single lump sum as soon as practicable after his attainment of age 65 years. A participants supplemental retirement benefit commencement date means the date of which the initial payment (or, in the case of a single lump sum, full payment) of the supplemental retirement benefits to which the participant is entitled is payable. Subject to the conditions and limitations of the plan, a participants supplemental retirement benefit commencement date shall normally be the first day of the calendar month coincident with or next following the participants attainment of age 65 years. Notwithstanding the immediately proceeding sentence, if a participants Employment Period under his Employment Agreement terminates prior to his attainment of age 65 years and he is eligible, and elects, to receive early retirement benefits under the retirement plan, and if the participant requests a supplemental retirement benefit commencement date prior to his attainment of age 65 years, then with (but only with) the consent of the committee (as defined in section 3.1 below), the participants supplemental retirement benefit commencement date shall be such earlier date, if any, selected by the committee. Supplemental retirement benefits that are paid in a lump sum, or commence, before the participants attainment of age 65 years, if any, shall be subject to actuarial reduction in accordance with section 2.5 below.</w:t>
      </w:r>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283"/>
              <w:rPr/>
            </w:pPr>
            <w:r>
              <w:rPr>
                <w:rFonts w:ascii="serif" w:hAnsi="serif"/>
              </w:rPr>
              <w:t>(a)</w:t>
            </w:r>
            <w:r>
              <w:rPr/>
              <w:t xml:space="preserve">      </w:t>
            </w:r>
          </w:p>
        </w:tc>
        <w:tc>
          <w:tcPr>
            <w:tcW w:w="9495" w:type="dxa"/>
            <w:tcBorders/>
            <w:shd w:fill="auto" w:val="clear"/>
            <w:vAlign w:val="center"/>
          </w:tcPr>
          <w:p>
            <w:pPr>
              <w:pStyle w:val="TableContents"/>
              <w:spacing w:before="0" w:after="283"/>
              <w:rPr/>
            </w:pPr>
            <w:r>
              <w:rPr>
                <w:rFonts w:ascii="serif" w:hAnsi="serif"/>
                <w:u w:val="single"/>
              </w:rPr>
              <w:t>Life Annuity</w:t>
            </w:r>
            <w:r>
              <w:rPr>
                <w:rFonts w:ascii="serif" w:hAnsi="serif"/>
              </w:rPr>
              <w:t>. If a participant does not have a spouse (as defined in section 2.7 below) on his supplemental retirement benefit commencement date, and if he has not elected pursuant to the proceeding provisions of this section 2.4 to receive his supplemental retirement benefits in a single lump sum, payment of his supplemental retirement benefits shall be during his lifetime on a life annuity basis.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710" w:type="dxa"/>
            <w:tcBorders/>
            <w:shd w:fill="auto" w:val="clear"/>
          </w:tcPr>
          <w:p>
            <w:pPr>
              <w:pStyle w:val="TableContents"/>
              <w:spacing w:before="0" w:after="283"/>
              <w:rPr/>
            </w:pPr>
            <w:r>
              <w:rPr>
                <w:rFonts w:ascii="serif" w:hAnsi="serif"/>
              </w:rPr>
              <w:t>(b)</w:t>
            </w:r>
            <w:r>
              <w:rPr/>
              <w:t xml:space="preserve">      </w:t>
            </w:r>
          </w:p>
        </w:tc>
        <w:tc>
          <w:tcPr>
            <w:tcW w:w="9495" w:type="dxa"/>
            <w:tcBorders/>
            <w:shd w:fill="auto" w:val="clear"/>
            <w:vAlign w:val="center"/>
          </w:tcPr>
          <w:p>
            <w:pPr>
              <w:pStyle w:val="TableContents"/>
              <w:spacing w:before="0" w:after="283"/>
              <w:rPr/>
            </w:pPr>
            <w:r>
              <w:rPr>
                <w:rFonts w:ascii="serif" w:hAnsi="serif"/>
                <w:u w:val="single"/>
              </w:rPr>
              <w:t>Joint and Survivor Annuity</w:t>
            </w:r>
            <w:r>
              <w:rPr>
                <w:rFonts w:ascii="serif" w:hAnsi="serif"/>
              </w:rPr>
              <w:t>. If a participant has a spouse (as defined in section 2.7 below) on his supplemental retirement benefit commencement date, payment of his supplemental retirement benefits shall be in the form of a joint and 50 percent survivor annuity unless the participant has theretofore elected pursuant to the preceding provisions of this section 2.4 to have his benefits provided in a single lump sum. Such joint and 50 percent survivor annuity shall consist of reduced monthly benefit continuing during the participants lifetime, and if such spouse is living at the time of the participants death, payment of 50 percent of such monthly benefit shall be made to such spouse until such spouses death occurs. The amount of the participants and such spouses benefits under this subsection shall be calculated so</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jc w:val="center"/>
        <w:rPr>
          <w:rFonts w:ascii="serif" w:hAnsi="serif"/>
        </w:rPr>
      </w:pPr>
      <w:r>
        <w:rPr>
          <w:rFonts w:ascii="serif" w:hAnsi="serif"/>
        </w:rPr>
        <w:t>3</w:t>
      </w:r>
    </w:p>
    <w:p>
      <w:pPr>
        <w:pStyle w:val="HorizontalLine"/>
        <w:pBdr>
          <w:bottom w:val="single" w:sz="24" w:space="0" w:color="808080"/>
        </w:pBdr>
        <w:rPr/>
      </w:pPr>
      <w:r>
        <w:rPr/>
      </w:r>
      <w:r>
        <w:br w:type="page"/>
      </w:r>
    </w:p>
    <w:p>
      <w:pPr>
        <w:pStyle w:val="TextBody"/>
        <w:rPr/>
      </w:pPr>
      <w:bookmarkStart w:id="52" w:name="page_41"/>
      <w:bookmarkEnd w:id="52"/>
      <w:r>
        <w:rPr/>
        <w:t xml:space="preserve">  </w:t>
      </w:r>
    </w:p>
    <w:tbl>
      <w:tblPr>
        <w:tblW w:w="10205" w:type="dxa"/>
        <w:jc w:val="left"/>
        <w:tblInd w:w="0" w:type="dxa"/>
        <w:tblCellMar>
          <w:top w:w="0" w:type="dxa"/>
          <w:left w:w="0" w:type="dxa"/>
          <w:bottom w:w="0" w:type="dxa"/>
          <w:right w:w="0" w:type="dxa"/>
        </w:tblCellMar>
      </w:tblPr>
      <w:tblGrid>
        <w:gridCol w:w="480"/>
        <w:gridCol w:w="9725"/>
      </w:tblGrid>
      <w:tr>
        <w:trPr/>
        <w:tc>
          <w:tcPr>
            <w:tcW w:w="480" w:type="dxa"/>
            <w:tcBorders/>
            <w:shd w:fill="auto" w:val="clear"/>
          </w:tcPr>
          <w:p>
            <w:pPr>
              <w:pStyle w:val="TableContents"/>
              <w:spacing w:before="0" w:after="283"/>
              <w:rPr/>
            </w:pPr>
            <w:r>
              <w:rPr/>
              <w:t xml:space="preserve">        </w:t>
            </w:r>
          </w:p>
        </w:tc>
        <w:tc>
          <w:tcPr>
            <w:tcW w:w="9725" w:type="dxa"/>
            <w:tcBorders/>
            <w:shd w:fill="auto" w:val="clear"/>
            <w:vAlign w:val="center"/>
          </w:tcPr>
          <w:p>
            <w:pPr>
              <w:pStyle w:val="TableContents"/>
              <w:spacing w:before="0" w:after="283"/>
              <w:rPr>
                <w:rFonts w:ascii="serif" w:hAnsi="serif"/>
              </w:rPr>
            </w:pPr>
            <w:r>
              <w:rPr>
                <w:rFonts w:ascii="serif" w:hAnsi="serif"/>
              </w:rPr>
              <w:t>that it is the actuarial equivalent of the supplemental retirement benefits to which the participant would otherwise be entitled under the plan. If such spouse predeceases the participant, or if the participant and such spouse cease to be married after the participants supplemental retirement benefits commencement date, there shall be no adjustment to the participants monthly payments and no supplemental retirement benefits shall be payable to any person after the participants death.</w:t>
            </w:r>
          </w:p>
        </w:tc>
      </w:tr>
    </w:tbl>
    <w:p>
      <w:pPr>
        <w:pStyle w:val="TextBody"/>
        <w:rPr/>
      </w:pPr>
      <w:r>
        <w:rPr>
          <w:rFonts w:ascii="serif" w:hAnsi="serif"/>
        </w:rPr>
        <w:t>2.5</w:t>
      </w:r>
      <w:r>
        <w:rPr/>
        <w:t xml:space="preserve"> </w:t>
      </w:r>
      <w:r>
        <w:rPr>
          <w:rFonts w:ascii="serif" w:hAnsi="serif"/>
          <w:u w:val="single"/>
        </w:rPr>
        <w:t>Actuarial Equivalent</w:t>
      </w:r>
      <w:r>
        <w:rPr>
          <w:rFonts w:ascii="serif" w:hAnsi="serif"/>
        </w:rPr>
        <w:t xml:space="preserve">. A benefit shall be actuarially equivalent to another benefit if the actuarial reserve required to provide such benefit is equal to the actuarial reserve required to provide such other benefit, computed on the basis of the same actuarial assumptions, interest rates, tables, methods and procedures, including reduction factors for commencement of payments prior to attainment of age 65 years, that are used for purposes of the retirement plan as in effect on the applicable date that a benefit payment amount is determined. </w:t>
      </w:r>
    </w:p>
    <w:p>
      <w:pPr>
        <w:pStyle w:val="TextBody"/>
        <w:rPr/>
      </w:pPr>
      <w:r>
        <w:rPr>
          <w:rFonts w:ascii="serif" w:hAnsi="serif"/>
        </w:rPr>
        <w:t>2.6</w:t>
      </w:r>
      <w:r>
        <w:rPr/>
        <w:t xml:space="preserve"> </w:t>
      </w:r>
      <w:r>
        <w:rPr>
          <w:rFonts w:ascii="serif" w:hAnsi="serif"/>
          <w:u w:val="single"/>
        </w:rPr>
        <w:t>Pre-Retirement Surviving Spouse Benefit</w:t>
      </w:r>
      <w:r>
        <w:rPr>
          <w:rFonts w:ascii="serif" w:hAnsi="serif"/>
        </w:rPr>
        <w:t xml:space="preserve">. If a participant dies prior to his supplemental retirement benefit commencement date, no supplemental retirement benefits under the plan shall be paid or payable with respect to the participant; provided, however, that if the participant has a spouse (as defined in section 2.7 below) at the time of his death, such spouse shall be entitled to receive a monthly benefit for such spouses lifetime equal to 50 percent of the amount of monthly benefit that would have been payable to the participant in the form of a joint and 50 percent survivor annuity if he had terminated employment as of the date of his death with entitlement to supplemental retirement benefits under the plan and the committee (as defined in section 3.1 below) had permitted his supplemental retirement benefits commencement date to occur on the first day of the calendar month coincident with or next following the date of his death, taking into account actuarial reduction for commencement prior to the participants attainment of age 65 years. The first payment to the spouse shall be made as of the first day of the calendar month coincident with or next following the date of participants death and the final payment shall be made as of the first day of the calendar month during which the spouses death occurs. If, prior to the participants death, the participant had elected pursuant to section 2.4 above to receive his supplemental retirement benefits in a single lump sum, in lieu of the monthly payments described above, such spouse shall be entitled to receive a single lump sum equal to 50 percent of the lump sum value of the participants supplemental retirement benefits as of the date of his death, taking into account actuarial factors for payment prior to the participants attainment of age 65 years. Such lump sum payment shall be made to such spouse as soon as practicable following the participants death. </w:t>
      </w:r>
    </w:p>
    <w:p>
      <w:pPr>
        <w:pStyle w:val="TextBody"/>
        <w:rPr/>
      </w:pPr>
      <w:r>
        <w:rPr>
          <w:rFonts w:ascii="serif" w:hAnsi="serif"/>
        </w:rPr>
        <w:t>2.7</w:t>
      </w:r>
      <w:r>
        <w:rPr/>
        <w:t xml:space="preserve"> </w:t>
      </w:r>
      <w:r>
        <w:rPr>
          <w:rFonts w:ascii="serif" w:hAnsi="serif"/>
          <w:u w:val="single"/>
        </w:rPr>
        <w:t>Spouse</w:t>
      </w:r>
      <w:r>
        <w:rPr>
          <w:rFonts w:ascii="serif" w:hAnsi="serif"/>
        </w:rPr>
        <w:t>. For purposes of the plan, a person will be considered the spouse of a participant as of any date if and only if such person and the participant have been married in a religious or civil ceremony recognized under the laws of the state where the marriage was contracted and the marriage remains legally effective. Any person which is not, or who has ceased to be, a participants spouse on the participants supplemental retirement benefit commencement date (or, in the event of the participants death prior to his supplemental retirement benefits commencement date, the date of his death) shall not be considered the participants spouse for purposes of the plan.</w:t>
      </w:r>
    </w:p>
    <w:p>
      <w:pPr>
        <w:pStyle w:val="TextBody"/>
        <w:rPr/>
      </w:pPr>
      <w:r>
        <w:rPr>
          <w:rFonts w:ascii="serif" w:hAnsi="serif"/>
        </w:rPr>
        <w:t>2.8</w:t>
      </w:r>
      <w:r>
        <w:rPr/>
        <w:t xml:space="preserve"> </w:t>
      </w:r>
      <w:r>
        <w:rPr>
          <w:rFonts w:ascii="serif" w:hAnsi="serif"/>
          <w:u w:val="single"/>
        </w:rPr>
        <w:t>Forfeiture Early Termination of Employment Period</w:t>
      </w:r>
      <w:r>
        <w:rPr>
          <w:rFonts w:ascii="serif" w:hAnsi="serif"/>
        </w:rPr>
        <w:t xml:space="preserve">. If the participants Employment Period ends early pursuant to paragraph 5 of his Employment Agreement on account of a Termination for Cause or a Termination by Executive with Advance Notice (as such terms are defined, respectively, in his Employment Agreement), or if after the participants Employment </w:t>
      </w:r>
    </w:p>
    <w:p>
      <w:pPr>
        <w:pStyle w:val="TextBody"/>
        <w:jc w:val="center"/>
        <w:rPr>
          <w:rFonts w:ascii="serif" w:hAnsi="serif"/>
        </w:rPr>
      </w:pPr>
      <w:r>
        <w:rPr>
          <w:rFonts w:ascii="serif" w:hAnsi="serif"/>
        </w:rPr>
        <w:t>4</w:t>
      </w:r>
    </w:p>
    <w:p>
      <w:pPr>
        <w:pStyle w:val="HorizontalLine"/>
        <w:pBdr>
          <w:bottom w:val="single" w:sz="24" w:space="0" w:color="808080"/>
        </w:pBdr>
        <w:rPr/>
      </w:pPr>
      <w:r>
        <w:rPr/>
      </w:r>
      <w:r>
        <w:br w:type="page"/>
      </w:r>
    </w:p>
    <w:p>
      <w:pPr>
        <w:pStyle w:val="TextBody"/>
        <w:rPr>
          <w:rFonts w:ascii="serif" w:hAnsi="serif"/>
        </w:rPr>
      </w:pPr>
      <w:bookmarkStart w:id="53" w:name="page_5"/>
      <w:bookmarkEnd w:id="53"/>
      <w:r>
        <w:rPr>
          <w:rFonts w:ascii="serif" w:hAnsi="serif"/>
        </w:rPr>
        <w:t>Period ends (whether or not early and regardless of the reason) the participant breaches any of his agreements in paragraph 7, 9, or 10 of his Employment Agreement, the participant shall forfeit all of his supplemental retirement benefits, if any, under the plan, no benefit under the plan shall thereafter be payable to or with response to the participant or his spouse, and any benefit under the plan theretofore paid to or with respect to the participant or his spouse must be repaid to the company by the participant or his spouse promptly upon demand. If the participants Employment Period ends early pursuant to paragraph 5 of his Employment Agreement on account of a Termination without Cause or a Termination by Executive for Good Reason (as such terms are defined, respectively, in his Employment Agreement), the participants supplemental retirement benefits under the plan shall be the supplemental retirement benefits the participant would have been entitled to under the plan had his Employment Period remained in effect until the earlier of the date on which (without any extension thereof) such Employment Period was then scheduled to end pursuant to his Employment Agreement or the date of his death and had the participants salary in effect as of the last day of his Employment Period (or, if greater, his Executives Reference Salary (as such term is defined in his Employment Agreement)) continued until the earlier of such dates and been paid at the times such salary would have been paid, and had the participant received no further annual cash bonus.</w:t>
      </w:r>
    </w:p>
    <w:p>
      <w:pPr>
        <w:pStyle w:val="TextBody"/>
        <w:rPr/>
      </w:pPr>
      <w:r>
        <w:rPr>
          <w:rFonts w:ascii="serif" w:hAnsi="serif"/>
        </w:rPr>
        <w:t>2.9</w:t>
      </w:r>
      <w:r>
        <w:rPr/>
        <w:t xml:space="preserve"> </w:t>
      </w:r>
      <w:r>
        <w:rPr>
          <w:rFonts w:ascii="serif" w:hAnsi="serif"/>
          <w:u w:val="single"/>
        </w:rPr>
        <w:t>Funding</w:t>
      </w:r>
      <w:r>
        <w:rPr>
          <w:rFonts w:ascii="serif" w:hAnsi="serif"/>
        </w:rPr>
        <w:t>. The plan is intended to be non-qualified for purposes of the Code and unfunded for purposes of the Code and ERISA. Benefits payable under the plan to a participant and/or his spouse, as the case may be, shall be paid directly by the company. The company shall not be required to segregate on its books or otherwise any amount to be used for payment of supplemental retirement benefits under the plan. Each participant and spouse is solely an unsecured creditor of the company with respect to any benefit payable with respect to a participant hereunder.</w:t>
      </w:r>
    </w:p>
    <w:p>
      <w:pPr>
        <w:pStyle w:val="TextBody"/>
        <w:jc w:val="center"/>
        <w:rPr/>
      </w:pPr>
      <w:r>
        <w:rPr>
          <w:rFonts w:ascii="serif" w:hAnsi="serif"/>
          <w:u w:val="single"/>
        </w:rPr>
        <w:t>SECTION 3</w:t>
      </w:r>
      <w:r>
        <w:rPr/>
        <w:t xml:space="preserve"> </w:t>
      </w:r>
    </w:p>
    <w:p>
      <w:pPr>
        <w:pStyle w:val="TextBody"/>
        <w:jc w:val="center"/>
        <w:rPr>
          <w:rFonts w:ascii="serif" w:hAnsi="serif"/>
          <w:u w:val="single"/>
        </w:rPr>
      </w:pPr>
      <w:r>
        <w:rPr>
          <w:rFonts w:ascii="serif" w:hAnsi="serif"/>
          <w:u w:val="single"/>
        </w:rPr>
        <w:t>General Provisions</w:t>
      </w:r>
    </w:p>
    <w:p>
      <w:pPr>
        <w:pStyle w:val="TextBody"/>
        <w:rPr/>
      </w:pPr>
      <w:r>
        <w:rPr>
          <w:rFonts w:ascii="serif" w:hAnsi="serif"/>
        </w:rPr>
        <w:t>3.1</w:t>
      </w:r>
      <w:r>
        <w:rPr/>
        <w:t xml:space="preserve"> </w:t>
      </w:r>
      <w:r>
        <w:rPr>
          <w:rFonts w:ascii="serif" w:hAnsi="serif"/>
          <w:u w:val="single"/>
        </w:rPr>
        <w:t>Committee</w:t>
      </w:r>
      <w:r>
        <w:rPr>
          <w:rFonts w:ascii="serif" w:hAnsi="serif"/>
        </w:rPr>
        <w:t xml:space="preserve">. The plan shall be administered by the plan administrative committee of the retirement plan (the committee). The committee shall have, to the extent appropriate, the same powers, rights, duties and obligations with respect to the plan as it has with respect to the retirement plan. Each determination provided for in the plan shall be made by the committee under such procedure as may from time to time be prescribed by the committee and shall be made in the absolute discretion of the committee. Any determination so made shall be conclusive. </w:t>
      </w:r>
    </w:p>
    <w:p>
      <w:pPr>
        <w:pStyle w:val="TextBody"/>
        <w:rPr/>
      </w:pPr>
      <w:r>
        <w:rPr>
          <w:rFonts w:ascii="serif" w:hAnsi="serif"/>
        </w:rPr>
        <w:t>3.2</w:t>
      </w:r>
      <w:r>
        <w:rPr/>
        <w:t xml:space="preserve"> </w:t>
      </w:r>
      <w:r>
        <w:rPr>
          <w:rFonts w:ascii="serif" w:hAnsi="serif"/>
          <w:u w:val="single"/>
        </w:rPr>
        <w:t>Employment Rights</w:t>
      </w:r>
      <w:r>
        <w:rPr>
          <w:rFonts w:ascii="serif" w:hAnsi="serif"/>
        </w:rPr>
        <w:t>. Neither the establishment of, nor participation in, the plan shall be construed to give any participant the right to be retained in the service of the Pittway Companies or to any benefits not specifically provided by the plan.</w:t>
      </w:r>
    </w:p>
    <w:p>
      <w:pPr>
        <w:pStyle w:val="TextBody"/>
        <w:rPr/>
      </w:pPr>
      <w:r>
        <w:rPr>
          <w:rFonts w:ascii="serif" w:hAnsi="serif"/>
        </w:rPr>
        <w:t>3.3</w:t>
      </w:r>
      <w:r>
        <w:rPr/>
        <w:t xml:space="preserve"> </w:t>
      </w:r>
      <w:r>
        <w:rPr>
          <w:rFonts w:ascii="serif" w:hAnsi="serif"/>
          <w:u w:val="single"/>
        </w:rPr>
        <w:t>Taxes and Withholding</w:t>
      </w:r>
      <w:r>
        <w:rPr>
          <w:rFonts w:ascii="serif" w:hAnsi="serif"/>
        </w:rPr>
        <w:t xml:space="preserve">. Each participant (or his spouse, as applicable) shall be responsible for any taxes imposed on him (or his spouse) (taxes) by reason of the establishment of, or his participation in, the plan, including, without limitation, any Federal, state and/or local income or employment taxes imposed on benefits or potential benefits under the plan (or on the value thereof) in advance of the participants receipt of such benefits or potential benefits. The company or a subsidiary of the company may deduct any taxes from payroll or </w:t>
      </w:r>
    </w:p>
    <w:p>
      <w:pPr>
        <w:pStyle w:val="TextBody"/>
        <w:jc w:val="center"/>
        <w:rPr>
          <w:rFonts w:ascii="serif" w:hAnsi="serif"/>
        </w:rPr>
      </w:pPr>
      <w:r>
        <w:rPr>
          <w:rFonts w:ascii="serif" w:hAnsi="serif"/>
        </w:rPr>
        <w:t>5</w:t>
      </w:r>
    </w:p>
    <w:p>
      <w:pPr>
        <w:pStyle w:val="HorizontalLine"/>
        <w:pBdr>
          <w:bottom w:val="single" w:sz="24" w:space="0" w:color="808080"/>
        </w:pBdr>
        <w:rPr/>
      </w:pPr>
      <w:r>
        <w:rPr/>
      </w:r>
      <w:r>
        <w:br w:type="page"/>
      </w:r>
    </w:p>
    <w:p>
      <w:pPr>
        <w:pStyle w:val="TextBody"/>
        <w:rPr>
          <w:rFonts w:ascii="serif" w:hAnsi="serif"/>
        </w:rPr>
      </w:pPr>
      <w:bookmarkStart w:id="54" w:name="page_6"/>
      <w:bookmarkEnd w:id="54"/>
      <w:r>
        <w:rPr>
          <w:rFonts w:ascii="serif" w:hAnsi="serif"/>
        </w:rPr>
        <w:t>other payments due the participant or his spouse. The committee shall deduct from all payments under the plan any taxes required to be withheld, including, without limitation, any Federal, state and or/local income or employment taxes. In the event that such deductions and/or withholdings are not sufficient to pay the taxes, the participant (or his spouse) shall promptly remit the deficit to the company upon its request.</w:t>
      </w:r>
    </w:p>
    <w:p>
      <w:pPr>
        <w:pStyle w:val="TextBody"/>
        <w:rPr/>
      </w:pPr>
      <w:r>
        <w:rPr>
          <w:rFonts w:ascii="serif" w:hAnsi="serif"/>
        </w:rPr>
        <w:t>3.4</w:t>
      </w:r>
      <w:r>
        <w:rPr/>
        <w:t xml:space="preserve"> </w:t>
      </w:r>
      <w:r>
        <w:rPr>
          <w:rFonts w:ascii="serif" w:hAnsi="serif"/>
          <w:u w:val="single"/>
        </w:rPr>
        <w:t>Interests Not Transferable</w:t>
      </w:r>
      <w:r>
        <w:rPr>
          <w:rFonts w:ascii="serif" w:hAnsi="serif"/>
        </w:rPr>
        <w:t xml:space="preserve">. Except as to withholding of any tax under the laws of the United States or any state, the interests of participants and their spouses under the plan are not subject to the claims of their creditors and may not be voluntarily or involuntarily transferred, assigned, alienated or encumbered. No participant shall have any right to any benefit payments hereunder prior to his termination of employment with the Pittway Companies. </w:t>
      </w:r>
    </w:p>
    <w:p>
      <w:pPr>
        <w:pStyle w:val="TextBody"/>
        <w:rPr/>
      </w:pPr>
      <w:r>
        <w:rPr>
          <w:rFonts w:ascii="serif" w:hAnsi="serif"/>
        </w:rPr>
        <w:t>3.5</w:t>
      </w:r>
      <w:r>
        <w:rPr/>
        <w:t xml:space="preserve"> </w:t>
      </w:r>
      <w:r>
        <w:rPr>
          <w:rFonts w:ascii="serif" w:hAnsi="serif"/>
          <w:u w:val="single"/>
        </w:rPr>
        <w:t>Payment with Respect to Incapacitated Participants or Beneficiaries</w:t>
      </w:r>
      <w:r>
        <w:rPr>
          <w:rFonts w:ascii="serif" w:hAnsi="serif"/>
        </w:rPr>
        <w:t>. If any person entitled to benefits under the plan is under a legal disability or in the committees opinion is incapacitated in any way so as to be unable to manage his financial affairs, the committee may direct the payment of such benefit to such persons legal representative or to a relative or friend of such person for such persons benefit, or the committee may direct the application of such benefits for the benefit of such person in any manner which the committee may select that is consistent with the plan. Any payments made in accordance with the foregoing provisions of this section shall be full and complete discharge of any liability for such payments.</w:t>
      </w:r>
    </w:p>
    <w:p>
      <w:pPr>
        <w:pStyle w:val="TextBody"/>
        <w:rPr/>
      </w:pPr>
      <w:r>
        <w:rPr>
          <w:rFonts w:ascii="serif" w:hAnsi="serif"/>
        </w:rPr>
        <w:t>3.6</w:t>
      </w:r>
      <w:r>
        <w:rPr/>
        <w:t xml:space="preserve"> </w:t>
      </w:r>
      <w:r>
        <w:rPr>
          <w:rFonts w:ascii="serif" w:hAnsi="serif"/>
          <w:u w:val="single"/>
        </w:rPr>
        <w:t>Limitation of Liability</w:t>
      </w:r>
      <w:r>
        <w:rPr>
          <w:rFonts w:ascii="serif" w:hAnsi="serif"/>
        </w:rPr>
        <w:t xml:space="preserve">. To the extent permitted by law, no person (including the company, any subsidiary of the company, the Board of Directors of the company (the Board), the board of directors of any subsidiary of the company, the committee, any present or former member of the Board or of the board of directors of any subsidiary of the company or of the committee, and any present or former officer of the company or of any subsidiary of the company) shall be personally liable for any act done or omitted to be done in good faith in the administration of the plan. </w:t>
      </w:r>
    </w:p>
    <w:p>
      <w:pPr>
        <w:pStyle w:val="TextBody"/>
        <w:rPr/>
      </w:pPr>
      <w:r>
        <w:rPr>
          <w:rFonts w:ascii="serif" w:hAnsi="serif"/>
        </w:rPr>
        <w:t>3.7</w:t>
      </w:r>
      <w:r>
        <w:rPr/>
        <w:t xml:space="preserve"> </w:t>
      </w:r>
      <w:r>
        <w:rPr>
          <w:rFonts w:ascii="serif" w:hAnsi="serif"/>
          <w:u w:val="single"/>
        </w:rPr>
        <w:t>Controlling Law</w:t>
      </w:r>
      <w:r>
        <w:rPr>
          <w:rFonts w:ascii="serif" w:hAnsi="serif"/>
        </w:rPr>
        <w:t>. The plan shall be construed in accordance with the provisions of ERISA and other Federal laws, to the extent such provisions are applicable to the plan. To the extent not inconsistent therewith, the plan shall be construed in accordance with the laws of the State of Illinois.</w:t>
      </w:r>
    </w:p>
    <w:p>
      <w:pPr>
        <w:pStyle w:val="TextBody"/>
        <w:rPr/>
      </w:pPr>
      <w:r>
        <w:rPr>
          <w:rFonts w:ascii="serif" w:hAnsi="serif"/>
        </w:rPr>
        <w:t>3.8</w:t>
      </w:r>
      <w:r>
        <w:rPr/>
        <w:t xml:space="preserve"> </w:t>
      </w:r>
      <w:r>
        <w:rPr>
          <w:rFonts w:ascii="serif" w:hAnsi="serif"/>
          <w:u w:val="single"/>
        </w:rPr>
        <w:t>Gender and Number</w:t>
      </w:r>
      <w:r>
        <w:rPr>
          <w:rFonts w:ascii="serif" w:hAnsi="serif"/>
        </w:rPr>
        <w:t xml:space="preserve">. Where the context admits, words in the masculine gender shall include the feminine and neuter genders the plural shall include the singular and the singular shall include the plural. </w:t>
      </w:r>
    </w:p>
    <w:p>
      <w:pPr>
        <w:pStyle w:val="TextBody"/>
        <w:rPr/>
      </w:pPr>
      <w:r>
        <w:rPr>
          <w:rFonts w:ascii="serif" w:hAnsi="serif"/>
        </w:rPr>
        <w:t>3.9</w:t>
      </w:r>
      <w:r>
        <w:rPr/>
        <w:t xml:space="preserve"> </w:t>
      </w:r>
      <w:r>
        <w:rPr>
          <w:rFonts w:ascii="serif" w:hAnsi="serif"/>
          <w:u w:val="single"/>
        </w:rPr>
        <w:t>Action by the Company</w:t>
      </w:r>
      <w:r>
        <w:rPr>
          <w:rFonts w:ascii="serif" w:hAnsi="serif"/>
        </w:rPr>
        <w:t xml:space="preserve">. Any action required of or permitted by the company under the plan, including action by the company to amend the plan, shall be by resolution of the Board or by a duly authorized committee of the Board or by a person or persons authorized by resolution of the Board or such committee. The procedure for amending the plan is that the plan shall be amended by the companys taking appropriate corporate action to effectuate any amendment considered by it to be advisable to be made. Appropriate corporate action includes action by resolution of the Board, by a committee authorized by the Board, or by a person or persons authorized by the Board or such committee, as provided above. </w:t>
      </w:r>
    </w:p>
    <w:p>
      <w:pPr>
        <w:pStyle w:val="TextBody"/>
        <w:jc w:val="center"/>
        <w:rPr>
          <w:rFonts w:ascii="serif" w:hAnsi="serif"/>
        </w:rPr>
      </w:pPr>
      <w:r>
        <w:rPr>
          <w:rFonts w:ascii="serif" w:hAnsi="serif"/>
        </w:rPr>
        <w:t>6</w:t>
      </w:r>
    </w:p>
    <w:p>
      <w:pPr>
        <w:pStyle w:val="HorizontalLine"/>
        <w:pBdr>
          <w:bottom w:val="single" w:sz="24" w:space="0" w:color="808080"/>
        </w:pBdr>
        <w:rPr/>
      </w:pPr>
      <w:r>
        <w:rPr/>
      </w:r>
      <w:r>
        <w:br w:type="page"/>
      </w:r>
    </w:p>
    <w:p>
      <w:pPr>
        <w:pStyle w:val="TextBody"/>
        <w:rPr/>
      </w:pPr>
      <w:bookmarkStart w:id="55" w:name="page_7"/>
      <w:bookmarkEnd w:id="55"/>
      <w:r>
        <w:rPr>
          <w:rFonts w:ascii="serif" w:hAnsi="serif"/>
        </w:rPr>
        <w:t>3.10</w:t>
      </w:r>
      <w:r>
        <w:rPr/>
        <w:t xml:space="preserve"> </w:t>
      </w:r>
      <w:r>
        <w:rPr>
          <w:rFonts w:ascii="serif" w:hAnsi="serif"/>
          <w:u w:val="single"/>
        </w:rPr>
        <w:t>Successor to the Company</w:t>
      </w:r>
      <w:r>
        <w:rPr>
          <w:rFonts w:ascii="serif" w:hAnsi="serif"/>
        </w:rPr>
        <w:t>. The term company as used in the plan shall include any successor to the company by reason of merger, consolidation, the purchase of all or substantially all of the companys assets or otherwise.</w:t>
      </w:r>
    </w:p>
    <w:p>
      <w:pPr>
        <w:pStyle w:val="TextBody"/>
        <w:rPr/>
      </w:pPr>
      <w:r>
        <w:rPr>
          <w:rFonts w:ascii="serif" w:hAnsi="serif"/>
        </w:rPr>
        <w:t>3.11</w:t>
      </w:r>
      <w:r>
        <w:rPr/>
        <w:t xml:space="preserve"> </w:t>
      </w:r>
      <w:r>
        <w:rPr>
          <w:rFonts w:ascii="serif" w:hAnsi="serif"/>
          <w:u w:val="single"/>
        </w:rPr>
        <w:t>Miscellaneous</w:t>
      </w:r>
      <w:r>
        <w:rPr>
          <w:rFonts w:ascii="serif" w:hAnsi="serif"/>
        </w:rPr>
        <w:t>. The plan shall be binding upon and inure to the benefit of the parties, their legal representatives, successors and assigns, and all persons entitled to benefits hereunder. Any notice given in connection with the plan shall be in writing and shall be delivered in person or by registered mail, return receipt requested. Any notice given by registered mail shall be deemed to have been given upon the date of delivery indicated on the registered mail return receipt, if correctly addressed.</w:t>
      </w:r>
    </w:p>
    <w:p>
      <w:pPr>
        <w:pStyle w:val="TextBody"/>
        <w:jc w:val="center"/>
        <w:rPr/>
      </w:pPr>
      <w:r>
        <w:rPr>
          <w:rFonts w:ascii="serif" w:hAnsi="serif"/>
          <w:u w:val="single"/>
        </w:rPr>
        <w:t>SECTION 4</w:t>
      </w:r>
      <w:r>
        <w:rPr/>
        <w:t xml:space="preserve"> </w:t>
      </w:r>
    </w:p>
    <w:p>
      <w:pPr>
        <w:pStyle w:val="TextBody"/>
        <w:jc w:val="center"/>
        <w:rPr/>
      </w:pPr>
      <w:r>
        <w:rPr>
          <w:rFonts w:ascii="serif" w:hAnsi="serif"/>
          <w:u w:val="single"/>
        </w:rPr>
        <w:t>Amendment and Termination</w:t>
      </w:r>
      <w:r>
        <w:rPr/>
        <w:t xml:space="preserve"> </w:t>
      </w:r>
    </w:p>
    <w:p>
      <w:pPr>
        <w:pStyle w:val="TextBody"/>
        <w:rPr>
          <w:rFonts w:ascii="serif" w:hAnsi="serif"/>
        </w:rPr>
      </w:pPr>
      <w:r>
        <w:rPr>
          <w:rFonts w:ascii="serif" w:hAnsi="serif"/>
        </w:rPr>
        <w:t xml:space="preserve">While the company expects to continue the plan, it must necessarily reserve, and hereby does reserve, the right, either in general or as to one or more particular particpants, to amend the plan from time to time or to terminate the plan at any time; provided (i) that no amendment of the plan with respect to a participant that reduces or eliminates any benefits such participant has accrued as of the effective date of such amendment shall be effective unless such participant consents to such amendment; and (ii) no amendment of the plan with respect to a participant whose Employment Period under his Employment Agreement has not yet ended that adversely affects such participant, or termination of the plan with respect to such a participant, by the company on any date shall be effective prior to the date on which (without any extension thereof) such participants Employment Period is then scheduled to end pursuant to his Employment agreement unless the participant consents to such amendment or termination. </w:t>
      </w:r>
    </w:p>
    <w:p>
      <w:pPr>
        <w:pStyle w:val="TextBody"/>
        <w:jc w:val="center"/>
        <w:rPr>
          <w:rFonts w:ascii="serif" w:hAnsi="serif"/>
        </w:rPr>
      </w:pPr>
      <w:r>
        <w:rPr>
          <w:rFonts w:ascii="serif" w:hAnsi="serif"/>
        </w:rPr>
        <w:t>7</w:t>
      </w:r>
    </w:p>
    <w:p>
      <w:pPr>
        <w:pStyle w:val="HorizontalLine"/>
        <w:pBdr>
          <w:bottom w:val="single" w:sz="24" w:space="0" w:color="808080"/>
        </w:pBdr>
        <w:rPr/>
      </w:pPr>
      <w:r>
        <w:rPr/>
      </w:r>
      <w:r>
        <w:br w:type="page"/>
      </w:r>
    </w:p>
    <w:p>
      <w:pPr>
        <w:pStyle w:val="TextBody"/>
        <w:jc w:val="right"/>
        <w:rPr>
          <w:rFonts w:ascii="serif" w:hAnsi="serif"/>
          <w:u w:val="single"/>
        </w:rPr>
      </w:pPr>
      <w:bookmarkStart w:id="56" w:name="page_13"/>
      <w:bookmarkStart w:id="57" w:name="c44492_ex10-26.htm"/>
      <w:bookmarkStart w:id="58" w:name="ksc44492_ex1026"/>
      <w:bookmarkEnd w:id="56"/>
      <w:bookmarkEnd w:id="57"/>
      <w:bookmarkEnd w:id="58"/>
      <w:r>
        <w:rPr>
          <w:rFonts w:ascii="serif" w:hAnsi="serif"/>
          <w:u w:val="single"/>
        </w:rPr>
        <w:t>Exhibit 10.26</w:t>
      </w:r>
    </w:p>
    <w:p>
      <w:pPr>
        <w:pStyle w:val="TextBody"/>
        <w:jc w:val="center"/>
        <w:rPr/>
      </w:pPr>
      <w:r>
        <w:rPr/>
        <w:t>     </w:t>
      </w:r>
      <w:r>
        <w:rPr>
          <w:rFonts w:ascii="serif" w:hAnsi="serif"/>
          <w:b/>
        </w:rPr>
        <w:t xml:space="preserve">AMENDMENT TO THE </w:t>
        <w:br/>
        <w:t xml:space="preserve">2006 STOCK INCENTIVE PLAN OF </w:t>
        <w:br/>
        <w:t xml:space="preserve">HONEYWELL INTERNATIONAL INC. AND ITS AFFILIATES </w:t>
      </w:r>
    </w:p>
    <w:p>
      <w:pPr>
        <w:pStyle w:val="TextBody"/>
        <w:jc w:val="left"/>
        <w:rPr/>
      </w:pPr>
      <w:r>
        <w:rPr/>
        <w:t>     </w:t>
      </w:r>
      <w:r>
        <w:rPr>
          <w:rFonts w:ascii="serif" w:hAnsi="serif"/>
        </w:rPr>
        <w:t xml:space="preserve">The 2006 Stock Incentive Plan of Honeywell International Inc. and its Affiliates (the Plan), is hereby amended effective December 8, 2006, by replacing Section 5.3 of the Plan in its entirety with the following paragraph: </w:t>
      </w:r>
    </w:p>
    <w:p>
      <w:pPr>
        <w:pStyle w:val="TextBody"/>
        <w:rPr/>
      </w:pPr>
      <w:r>
        <w:rPr>
          <w:rFonts w:ascii="serif" w:hAnsi="serif"/>
        </w:rPr>
        <w:t></w:t>
      </w:r>
      <w:r>
        <w:rPr>
          <w:rFonts w:ascii="serif" w:hAnsi="serif"/>
          <w:b/>
        </w:rPr>
        <w:t xml:space="preserve">5.3 </w:t>
      </w:r>
      <w:r>
        <w:rPr>
          <w:rFonts w:ascii="serif" w:hAnsi="serif"/>
          <w:b/>
          <w:u w:val="single"/>
        </w:rPr>
        <w:t>Adjustment Upon Certain Changes</w:t>
      </w:r>
    </w:p>
    <w:p>
      <w:pPr>
        <w:pStyle w:val="TextBody"/>
        <w:rPr/>
      </w:pPr>
      <w:r>
        <w:rPr/>
        <w:t>     </w:t>
      </w:r>
      <w:r>
        <w:rPr>
          <w:rFonts w:ascii="serif" w:hAnsi="serif"/>
        </w:rPr>
        <w:t xml:space="preserve">(a) </w:t>
      </w:r>
      <w:r>
        <w:rPr>
          <w:rFonts w:ascii="serif" w:hAnsi="serif"/>
          <w:u w:val="single"/>
        </w:rPr>
        <w:t>Shares Available for Grants</w:t>
      </w:r>
      <w:r>
        <w:rPr>
          <w:rFonts w:ascii="serif" w:hAnsi="serif"/>
        </w:rPr>
        <w:t xml:space="preserve">. 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and the maximum aggregate number of shares of Common Stock with respect to which the Committee may grant Awards to any individual Employee in any year shall be appropriately adjusted by the Committee. In the event of any change in the number of shares of Common Stock outstanding by reason of any other similar event or transaction, the Committee may, to the extent deemed appropriate by the Committee, make such adjustments in the number and class of shares of Common Stock with respect to which Awards may be granted. </w:t>
      </w:r>
    </w:p>
    <w:p>
      <w:pPr>
        <w:pStyle w:val="TextBody"/>
        <w:rPr/>
      </w:pPr>
      <w:r>
        <w:rPr/>
        <w:t>     </w:t>
      </w:r>
      <w:r>
        <w:rPr>
          <w:rFonts w:ascii="serif" w:hAnsi="serif"/>
        </w:rPr>
        <w:t xml:space="preserve">(b) </w:t>
      </w:r>
      <w:r>
        <w:rPr>
          <w:rFonts w:ascii="serif" w:hAnsi="serif"/>
          <w:u w:val="single"/>
        </w:rPr>
        <w:t>Increase or Decrease in Issued Shares Without Consideration</w:t>
      </w:r>
      <w:r>
        <w:rPr>
          <w:rFonts w:ascii="serif" w:hAnsi="serif"/>
        </w:rPr>
        <w:t xml:space="preserve">. Subject to any required action by the shareowners of the Company, 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equitably adjust the number of shares of Common Stock subject to each outstanding Award and the exercise price per share of Common Stock of each such Award. </w:t>
      </w:r>
    </w:p>
    <w:p>
      <w:pPr>
        <w:pStyle w:val="TextBody"/>
        <w:rPr/>
      </w:pPr>
      <w:r>
        <w:rPr/>
        <w:t>     </w:t>
      </w:r>
      <w:r>
        <w:rPr>
          <w:rFonts w:ascii="serif" w:hAnsi="serif"/>
        </w:rPr>
        <w:t xml:space="preserve">(c) </w:t>
      </w:r>
      <w:r>
        <w:rPr>
          <w:rFonts w:ascii="serif" w:hAnsi="serif"/>
          <w:u w:val="single"/>
        </w:rPr>
        <w:t>Certain Mergers</w:t>
      </w:r>
      <w:r>
        <w:rPr>
          <w:rFonts w:ascii="serif" w:hAnsi="serif"/>
        </w:rPr>
        <w:t xml:space="preserve">. Subject to any required action by the shareowners of the Company, in the event that the Company shall be the surviving corporation in any merger, consolidation or similar transaction as a result of which the holders of shares of Common Stock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of Common Stock subject to such Award would have received in such merger or consolidation. </w:t>
      </w:r>
    </w:p>
    <w:p>
      <w:pPr>
        <w:pStyle w:val="HorizontalLine"/>
        <w:pBdr>
          <w:bottom w:val="single" w:sz="24" w:space="0" w:color="808080"/>
        </w:pBdr>
        <w:rPr/>
      </w:pPr>
      <w:r>
        <w:rPr/>
      </w:r>
      <w:r>
        <w:br w:type="page"/>
      </w:r>
    </w:p>
    <w:p>
      <w:pPr>
        <w:pStyle w:val="TextBody"/>
        <w:rPr/>
      </w:pPr>
      <w:bookmarkStart w:id="59" w:name="page_22"/>
      <w:bookmarkEnd w:id="59"/>
      <w:r>
        <w:rPr/>
        <w:t>     </w:t>
      </w:r>
      <w:r>
        <w:rPr>
          <w:rFonts w:ascii="serif" w:hAnsi="serif"/>
        </w:rPr>
        <w:t xml:space="preserve">(d) </w:t>
      </w:r>
      <w:r>
        <w:rPr>
          <w:rFonts w:ascii="serif" w:hAnsi="serif"/>
          <w:u w:val="single"/>
        </w:rPr>
        <w:t>Certain Other Transactions</w:t>
      </w:r>
      <w:r>
        <w:rPr>
          <w:rFonts w:ascii="serif" w:hAnsi="serif"/>
        </w:rPr>
        <w:t xml:space="preserve">. In the event of (i) a dissolution or liquidation of the Company, (ii) a sale of all or substantially all of the Companys assets (on a consolidated basis), (iii) a merger, consolidation or similar transaction involving the Company in which the Company is not the surviving corporation or (iv) a merger, consolidation or similar transaction involving the Company in which the Company is the surviving corporation but the holders of shares of Common Stock receive securities of another corporation and/or other property, including cash, the Committee shall, in its sole discretion, have the power to: </w:t>
      </w:r>
    </w:p>
    <w:p>
      <w:pPr>
        <w:pStyle w:val="TextBody"/>
        <w:rPr/>
      </w:pPr>
      <w:r>
        <w:rPr/>
        <w:t>     </w:t>
      </w:r>
      <w:r>
        <w:rPr>
          <w:rFonts w:ascii="serif" w:hAnsi="serif"/>
        </w:rPr>
        <w:t xml:space="preserve">(i) cancel, effective immediately prior to the occurrence of such event, each Award (whether or not then exercisable),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Stock Option or Stock Appreciation Right such value shall be equal to the excess of (A) the value, as determined by the Committee in its reasonable discretion, of the property (including cash) received by the holder of a share of Common Stock as a result of such event over (B) the exercise price of such Stock Option or Stock Appreciation Right; or </w:t>
      </w:r>
    </w:p>
    <w:p>
      <w:pPr>
        <w:pStyle w:val="TextBody"/>
        <w:rPr/>
      </w:pPr>
      <w:r>
        <w:rPr/>
        <w:t>     </w:t>
      </w:r>
      <w:r>
        <w:rPr>
          <w:rFonts w:ascii="serif" w:hAnsi="serif"/>
        </w:rPr>
        <w:t xml:space="preserve">(ii) provide for the exchange of each Award (whether or not then exercisable or vested) for an Award with respect to, as appropriate, some or all of the property which a holder of the number of shares of Common Stock subject to such Award would have received in such transaction and, incident thereto, make an equitable adjustment as determined by the Committee in its reasonable discretion in the exercise price of the Award, or the number of shares or amount of property subject to the Award or, if appropriate, provide for a cash payment to the Participant to whom such Award was granted in partial consideration for the exchange of the Award. </w:t>
      </w:r>
    </w:p>
    <w:p>
      <w:pPr>
        <w:pStyle w:val="TextBody"/>
        <w:rPr/>
      </w:pPr>
      <w:r>
        <w:rPr/>
        <w:t>     </w:t>
      </w:r>
      <w:r>
        <w:rPr>
          <w:rFonts w:ascii="serif" w:hAnsi="serif"/>
        </w:rPr>
        <w:t xml:space="preserve">(e) </w:t>
      </w:r>
      <w:r>
        <w:rPr>
          <w:rFonts w:ascii="serif" w:hAnsi="serif"/>
          <w:u w:val="single"/>
        </w:rPr>
        <w:t>Other Changes</w:t>
      </w:r>
      <w:r>
        <w:rPr>
          <w:rFonts w:ascii="serif" w:hAnsi="serif"/>
        </w:rPr>
        <w:t xml:space="preserve">. In the event of any change in the capitalization of the Company or corporate change other than those specifically referred to in subsections (b), (c) or (d), the Committee shall make equitable adjustments in the number and class of shares subject to Awards outstanding on the date on which such change occurs and in such other terms of such Awards. </w:t>
      </w:r>
    </w:p>
    <w:p>
      <w:pPr>
        <w:pStyle w:val="TextBody"/>
        <w:rPr/>
      </w:pPr>
      <w:r>
        <w:rPr/>
        <w:t>     </w:t>
      </w:r>
      <w:r>
        <w:rPr>
          <w:rFonts w:ascii="serif" w:hAnsi="serif"/>
        </w:rPr>
        <w:t xml:space="preserve">(f) </w:t>
      </w:r>
      <w:r>
        <w:rPr>
          <w:rFonts w:ascii="serif" w:hAnsi="serif"/>
          <w:u w:val="single"/>
        </w:rPr>
        <w:t>Performance Awards</w:t>
      </w:r>
      <w:r>
        <w:rPr>
          <w:rFonts w:ascii="serif" w:hAnsi="serif"/>
        </w:rPr>
        <w:t xml:space="preserve">. In the event of any transaction or event described in this Section 5.3, including without limitation any corporate change referred to in subsection (e) hereof, the Committee shall have the power to make equitable adjustments in any Performance Measure and in other terms of any Performance Award, provided that such adjustment is consistent with the requirements of Section 162(m) of the Code and the regulations thereunder. </w:t>
      </w:r>
    </w:p>
    <w:p>
      <w:pPr>
        <w:pStyle w:val="HorizontalLine"/>
        <w:pBdr>
          <w:bottom w:val="single" w:sz="24" w:space="0" w:color="808080"/>
        </w:pBdr>
        <w:rPr/>
      </w:pPr>
      <w:r>
        <w:rPr/>
      </w:r>
      <w:r>
        <w:br w:type="page"/>
      </w:r>
    </w:p>
    <w:p>
      <w:pPr>
        <w:pStyle w:val="TextBody"/>
        <w:rPr/>
      </w:pPr>
      <w:bookmarkStart w:id="60" w:name="page_32"/>
      <w:bookmarkEnd w:id="60"/>
      <w:r>
        <w:rPr/>
        <w:t>     </w:t>
      </w:r>
      <w:r>
        <w:rPr>
          <w:rFonts w:ascii="serif" w:hAnsi="serif"/>
        </w:rPr>
        <w:t xml:space="preserve">(g) </w:t>
      </w:r>
      <w:r>
        <w:rPr>
          <w:rFonts w:ascii="serif" w:hAnsi="serif"/>
          <w:u w:val="single"/>
        </w:rPr>
        <w:t>No Other Rights</w:t>
      </w:r>
      <w:r>
        <w:rPr>
          <w:rFonts w:ascii="serif" w:hAnsi="serif"/>
        </w:rPr>
        <w:t xml:space="preserve">. Except as expressly provided in the Plan, no Employee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 </w:t>
      </w:r>
    </w:p>
    <w:p>
      <w:pPr>
        <w:pStyle w:val="HorizontalLine"/>
        <w:pBdr>
          <w:bottom w:val="single" w:sz="24" w:space="0" w:color="808080"/>
        </w:pBdr>
        <w:rPr/>
      </w:pPr>
      <w:r>
        <w:rPr/>
      </w:r>
      <w:r>
        <w:br w:type="page"/>
      </w:r>
    </w:p>
    <w:p>
      <w:pPr>
        <w:pStyle w:val="TextBody"/>
        <w:jc w:val="right"/>
        <w:rPr/>
      </w:pPr>
      <w:bookmarkStart w:id="61" w:name="page_14"/>
      <w:bookmarkStart w:id="62" w:name="c44492_ex10-27.htm"/>
      <w:bookmarkStart w:id="63" w:name="ksc44492_ex1027"/>
      <w:bookmarkEnd w:id="61"/>
      <w:bookmarkEnd w:id="62"/>
      <w:bookmarkEnd w:id="63"/>
      <w:r>
        <w:rPr>
          <w:rFonts w:ascii="serif" w:hAnsi="serif"/>
          <w:u w:val="single"/>
        </w:rPr>
        <w:t>Exhibit 10.27</w:t>
      </w:r>
      <w:r>
        <w:rPr/>
        <w:t xml:space="preserve"> </w:t>
      </w:r>
    </w:p>
    <w:p>
      <w:pPr>
        <w:pStyle w:val="TextBody"/>
        <w:jc w:val="right"/>
        <w:rPr>
          <w:rFonts w:ascii="serif" w:hAnsi="serif"/>
        </w:rPr>
      </w:pPr>
      <w:r>
        <w:rPr>
          <w:rFonts w:ascii="serif" w:hAnsi="serif"/>
        </w:rPr>
        <w:t>US</w:t>
      </w:r>
    </w:p>
    <w:p>
      <w:pPr>
        <w:pStyle w:val="TextBody"/>
        <w:jc w:val="right"/>
        <w:rPr>
          <w:rFonts w:ascii="serif" w:hAnsi="serif"/>
          <w:sz w:val="20"/>
        </w:rPr>
      </w:pPr>
      <w:r>
        <w:rPr>
          <w:rFonts w:ascii="serif" w:hAnsi="serif"/>
          <w:sz w:val="20"/>
        </w:rPr>
        <w:t>EID Number: _________</w:t>
      </w:r>
    </w:p>
    <w:p>
      <w:pPr>
        <w:pStyle w:val="TextBody"/>
        <w:jc w:val="center"/>
        <w:rPr/>
      </w:pPr>
      <w:r>
        <w:rPr/>
        <w:t>     </w:t>
      </w:r>
      <w:r>
        <w:rPr>
          <w:rFonts w:ascii="serif" w:hAnsi="serif"/>
          <w:b/>
        </w:rPr>
        <w:t>2006 Stock Incentive Plan</w:t>
        <w:br/>
        <w:t>of Honeywell International Inc. and its Affiliates</w:t>
      </w:r>
    </w:p>
    <w:tbl>
      <w:tblPr>
        <w:tblW w:w="5000" w:type="pct"/>
        <w:jc w:val="center"/>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center"/>
              <w:rPr/>
            </w:pPr>
            <w:r>
              <w:rPr>
                <w:rFonts w:ascii="serif" w:hAnsi="serif"/>
                <w:b/>
              </w:rPr>
              <w:t>O</w:t>
            </w:r>
            <w:r>
              <w:rPr>
                <w:rFonts w:ascii="serif" w:hAnsi="serif"/>
                <w:b/>
                <w:sz w:val="20"/>
              </w:rPr>
              <w:t xml:space="preserve">PTION </w:t>
            </w:r>
            <w:r>
              <w:rPr>
                <w:rFonts w:ascii="serif" w:hAnsi="serif"/>
                <w:b/>
              </w:rPr>
              <w:t>A</w:t>
            </w:r>
            <w:r>
              <w:rPr>
                <w:rFonts w:ascii="serif" w:hAnsi="serif"/>
                <w:b/>
                <w:sz w:val="20"/>
              </w:rPr>
              <w:t xml:space="preserve">WARD </w:t>
            </w:r>
            <w:r>
              <w:rPr>
                <w:rFonts w:ascii="serif" w:hAnsi="serif"/>
                <w:b/>
              </w:rPr>
              <w:t>A</w:t>
            </w:r>
            <w:r>
              <w:rPr>
                <w:rFonts w:ascii="serif" w:hAnsi="serif"/>
                <w:b/>
                <w:sz w:val="20"/>
              </w:rPr>
              <w:t>GREEMENT</w:t>
            </w:r>
          </w:p>
        </w:tc>
      </w:tr>
    </w:tbl>
    <w:p>
      <w:pPr>
        <w:pStyle w:val="TextBody"/>
        <w:rPr/>
      </w:pPr>
      <w:r>
        <w:rPr/>
        <w:t>     </w:t>
      </w:r>
      <w:r>
        <w:rPr>
          <w:rFonts w:ascii="serif" w:hAnsi="serif"/>
        </w:rPr>
        <w:t>AWARD AGREEMENT made in Morris Township, New Jersey, as of the [DAY]</w:t>
      </w:r>
      <w:r>
        <w:rPr/>
        <w:t xml:space="preserve"> </w:t>
      </w:r>
      <w:r>
        <w:rPr>
          <w:rFonts w:ascii="serif" w:hAnsi="serif"/>
        </w:rPr>
        <w:t xml:space="preserve">day of [MONTH, YEAR] between Honeywell International Inc. (the Company) and [EMPLOYEE NAME] (the Employee). </w:t>
      </w:r>
    </w:p>
    <w:tbl>
      <w:tblPr>
        <w:tblW w:w="10205" w:type="dxa"/>
        <w:jc w:val="left"/>
        <w:tblInd w:w="0" w:type="dxa"/>
        <w:tblCellMar>
          <w:top w:w="0" w:type="dxa"/>
          <w:left w:w="0" w:type="dxa"/>
          <w:bottom w:w="0" w:type="dxa"/>
          <w:right w:w="0" w:type="dxa"/>
        </w:tblCellMar>
      </w:tblPr>
      <w:tblGrid>
        <w:gridCol w:w="635"/>
        <w:gridCol w:w="9570"/>
      </w:tblGrid>
      <w:tr>
        <w:trPr/>
        <w:tc>
          <w:tcPr>
            <w:tcW w:w="635" w:type="dxa"/>
            <w:tcBorders/>
            <w:shd w:fill="auto" w:val="clear"/>
          </w:tcPr>
          <w:p>
            <w:pPr>
              <w:pStyle w:val="TableContents"/>
              <w:spacing w:before="0" w:after="283"/>
              <w:rPr/>
            </w:pPr>
            <w:r>
              <w:rPr>
                <w:rFonts w:ascii="serif" w:hAnsi="serif"/>
                <w:b/>
              </w:rPr>
              <w:t>1.</w:t>
            </w:r>
            <w:r>
              <w:rPr/>
              <w:t xml:space="preserve">      </w:t>
            </w:r>
          </w:p>
        </w:tc>
        <w:tc>
          <w:tcPr>
            <w:tcW w:w="9570" w:type="dxa"/>
            <w:tcBorders/>
            <w:shd w:fill="auto" w:val="clear"/>
            <w:vAlign w:val="center"/>
          </w:tcPr>
          <w:p>
            <w:pPr>
              <w:pStyle w:val="TableContents"/>
              <w:spacing w:before="0" w:after="283"/>
              <w:rPr/>
            </w:pPr>
            <w:r>
              <w:rPr>
                <w:rFonts w:ascii="serif" w:hAnsi="serif"/>
                <w:b/>
              </w:rPr>
              <w:t xml:space="preserve">Grant of Option. </w:t>
            </w:r>
            <w:r>
              <w:rPr>
                <w:rFonts w:ascii="serif" w:hAnsi="serif"/>
              </w:rPr>
              <w:t>The Company has granted you an Option to purchase [NUMBER] Shares of Common Stock, subject to the provisions of this Agreement and the 2006 Stock Incentive Plan for Employees of Honeywell International Inc. and its Affiliates (the Plan). This Option is a nonqualified Option.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2.</w:t>
            </w:r>
            <w:r>
              <w:rPr/>
              <w:t xml:space="preserve">      </w:t>
            </w:r>
          </w:p>
        </w:tc>
        <w:tc>
          <w:tcPr>
            <w:tcW w:w="9570" w:type="dxa"/>
            <w:tcBorders/>
            <w:shd w:fill="auto" w:val="clear"/>
            <w:vAlign w:val="center"/>
          </w:tcPr>
          <w:p>
            <w:pPr>
              <w:pStyle w:val="TableContents"/>
              <w:spacing w:before="0" w:after="283"/>
              <w:rPr/>
            </w:pPr>
            <w:r>
              <w:rPr>
                <w:rFonts w:ascii="serif" w:hAnsi="serif"/>
                <w:b/>
              </w:rPr>
              <w:t xml:space="preserve">Exercise Price. </w:t>
            </w:r>
            <w:r>
              <w:rPr>
                <w:rFonts w:ascii="serif" w:hAnsi="serif"/>
              </w:rPr>
              <w:t>The purchase price of the Shares covered by the Option will be [DOLLAR AMOUNT] per Share.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3.</w:t>
            </w:r>
            <w:r>
              <w:rPr/>
              <w:t xml:space="preserve">      </w:t>
            </w:r>
          </w:p>
        </w:tc>
        <w:tc>
          <w:tcPr>
            <w:tcW w:w="9570" w:type="dxa"/>
            <w:tcBorders/>
            <w:shd w:fill="auto" w:val="clear"/>
            <w:vAlign w:val="center"/>
          </w:tcPr>
          <w:p>
            <w:pPr>
              <w:pStyle w:val="TableContents"/>
              <w:spacing w:before="0" w:after="283"/>
              <w:rPr/>
            </w:pPr>
            <w:r>
              <w:rPr>
                <w:rFonts w:ascii="serif" w:hAnsi="serif"/>
                <w:b/>
              </w:rPr>
              <w:t xml:space="preserve">Vesting. </w:t>
            </w:r>
            <w:r>
              <w:rPr>
                <w:rFonts w:ascii="serif" w:hAnsi="serif"/>
              </w:rPr>
              <w:t>Except in the event of your death or Disability or a Change in Control, the Option will become exercisable in cumulative installments as follows: [VESTING PROVISIONS CONSISTENT WITH THE PLAN].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4.</w:t>
            </w:r>
            <w:r>
              <w:rPr/>
              <w:t xml:space="preserve">      </w:t>
            </w:r>
          </w:p>
        </w:tc>
        <w:tc>
          <w:tcPr>
            <w:tcW w:w="9570" w:type="dxa"/>
            <w:tcBorders/>
            <w:shd w:fill="auto" w:val="clear"/>
            <w:vAlign w:val="center"/>
          </w:tcPr>
          <w:p>
            <w:pPr>
              <w:pStyle w:val="TableContents"/>
              <w:spacing w:before="0" w:after="283"/>
              <w:rPr/>
            </w:pPr>
            <w:r>
              <w:rPr>
                <w:rFonts w:ascii="serif" w:hAnsi="serif"/>
                <w:b/>
              </w:rPr>
              <w:t xml:space="preserve">Term of Option. </w:t>
            </w:r>
            <w:r>
              <w:rPr>
                <w:rFonts w:ascii="serif" w:hAnsi="serif"/>
              </w:rPr>
              <w:t>The Option must be exercised prior to the close of the New York Stock Exchange (NYSE) on [EXPIRATION DATE], subject to earlier termination or cancellation as provided below. If the NYSE is not open for business on the expiration date specified, the Option will expire at the close of the NYSE on the business day immediately preceding [EXPIRATION DATE].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5.</w:t>
            </w:r>
            <w:r>
              <w:rPr/>
              <w:t xml:space="preserve">      </w:t>
            </w:r>
          </w:p>
        </w:tc>
        <w:tc>
          <w:tcPr>
            <w:tcW w:w="9570" w:type="dxa"/>
            <w:tcBorders/>
            <w:shd w:fill="auto" w:val="clear"/>
            <w:vAlign w:val="center"/>
          </w:tcPr>
          <w:p>
            <w:pPr>
              <w:pStyle w:val="TableContents"/>
              <w:spacing w:before="0" w:after="283"/>
              <w:rPr/>
            </w:pPr>
            <w:r>
              <w:rPr>
                <w:rFonts w:ascii="serif" w:hAnsi="serif"/>
                <w:b/>
              </w:rPr>
              <w:t xml:space="preserve">Payment of Exercise Price. </w:t>
            </w:r>
            <w:r>
              <w:rPr>
                <w:rFonts w:ascii="serif" w:hAnsi="serif"/>
              </w:rPr>
              <w:t>You may pay the Exercise Price by cash, certified check, bank draft, wire transfer, postal or 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6.</w:t>
            </w:r>
            <w:r>
              <w:rPr/>
              <w:t xml:space="preserve">      </w:t>
            </w:r>
          </w:p>
        </w:tc>
        <w:tc>
          <w:tcPr>
            <w:tcW w:w="9570" w:type="dxa"/>
            <w:tcBorders/>
            <w:shd w:fill="auto" w:val="clear"/>
            <w:vAlign w:val="center"/>
          </w:tcPr>
          <w:p>
            <w:pPr>
              <w:pStyle w:val="TableContents"/>
              <w:spacing w:before="0" w:after="283"/>
              <w:rPr/>
            </w:pPr>
            <w:r>
              <w:rPr>
                <w:rFonts w:ascii="serif" w:hAnsi="serif"/>
                <w:b/>
              </w:rPr>
              <w:t xml:space="preserve">Exercise of Option. </w:t>
            </w:r>
            <w:r>
              <w:rPr>
                <w:rFonts w:ascii="serif" w:hAnsi="serif"/>
              </w:rPr>
              <w:t xml:space="preserve">Subject to the terms and conditions of this Agreement, the Option may be exercised by contacting the Honeywell Stock Option Service Center, managed by Smith Barney, by telephone at 1-888-723-3391 or 1-212-615-7876, or on the internet at </w:t>
            </w:r>
            <w:r>
              <w:rPr>
                <w:rFonts w:ascii="serif" w:hAnsi="serif"/>
                <w:u w:val="single"/>
              </w:rPr>
              <w:t>www.benefitaccess.com</w:t>
            </w:r>
            <w:r>
              <w:rPr>
                <w:rFonts w:ascii="serif" w:hAnsi="serif"/>
              </w:rPr>
              <w:t>.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TextBody"/>
        <w:rPr/>
      </w:pPr>
      <w:r>
        <w:rPr/>
        <w:t> </w:t>
      </w:r>
    </w:p>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64" w:name="page_23"/>
      <w:bookmarkStart w:id="65" w:name="page_23"/>
      <w:bookmarkEnd w:id="65"/>
    </w:p>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right"/>
              <w:rPr>
                <w:rFonts w:ascii="serif" w:hAnsi="serif"/>
              </w:rPr>
            </w:pPr>
            <w:r>
              <w:rPr>
                <w:rFonts w:ascii="serif" w:hAnsi="serif"/>
              </w:rPr>
              <w:t>US</w:t>
            </w:r>
          </w:p>
        </w:tc>
      </w:tr>
      <w:tr>
        <w:trPr/>
        <w:tc>
          <w:tcPr>
            <w:tcW w:w="1020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635"/>
        <w:gridCol w:w="9570"/>
      </w:tblGrid>
      <w:tr>
        <w:trPr/>
        <w:tc>
          <w:tcPr>
            <w:tcW w:w="635" w:type="dxa"/>
            <w:tcBorders/>
            <w:shd w:fill="auto" w:val="clear"/>
          </w:tcPr>
          <w:p>
            <w:pPr>
              <w:pStyle w:val="TableContents"/>
              <w:spacing w:before="0" w:after="283"/>
              <w:rPr/>
            </w:pPr>
            <w:r>
              <w:rPr>
                <w:rFonts w:ascii="serif" w:hAnsi="serif"/>
                <w:b/>
              </w:rPr>
              <w:t>7.</w:t>
            </w:r>
            <w:r>
              <w:rPr/>
              <w:t xml:space="preserve">      </w:t>
            </w:r>
          </w:p>
        </w:tc>
        <w:tc>
          <w:tcPr>
            <w:tcW w:w="9570" w:type="dxa"/>
            <w:tcBorders/>
            <w:shd w:fill="auto" w:val="clear"/>
            <w:vAlign w:val="center"/>
          </w:tcPr>
          <w:p>
            <w:pPr>
              <w:pStyle w:val="TableContents"/>
              <w:spacing w:before="0" w:after="283"/>
              <w:rPr/>
            </w:pPr>
            <w:r>
              <w:rPr>
                <w:rFonts w:ascii="serif" w:hAnsi="serif"/>
                <w:b/>
              </w:rPr>
              <w:t xml:space="preserve">Termination, Retirement, Disability or Death. </w:t>
            </w:r>
            <w:r>
              <w:rPr>
                <w:rFonts w:ascii="serif" w:hAnsi="serif"/>
              </w:rPr>
              <w:t>The Option will vest and remain exercisable as follows:</w:t>
            </w:r>
            <w:r>
              <w:rPr/>
              <w:t xml:space="preserve"> </w:t>
            </w:r>
          </w:p>
        </w:tc>
      </w:tr>
      <w:tr>
        <w:trPr>
          <w:trHeight w:val="345" w:hRule="atLeast"/>
        </w:trPr>
        <w:tc>
          <w:tcPr>
            <w:tcW w:w="10205" w:type="dxa"/>
            <w:gridSpan w:val="2"/>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163"/>
        <w:gridCol w:w="306"/>
        <w:gridCol w:w="1837"/>
        <w:gridCol w:w="204"/>
        <w:gridCol w:w="4695"/>
      </w:tblGrid>
      <w:tr>
        <w:trPr/>
        <w:tc>
          <w:tcPr>
            <w:tcW w:w="3163" w:type="dxa"/>
            <w:tcBorders/>
            <w:shd w:fill="auto" w:val="clear"/>
            <w:vAlign w:val="bottom"/>
          </w:tcPr>
          <w:p>
            <w:pPr>
              <w:pStyle w:val="TableContents"/>
              <w:spacing w:before="0" w:after="283"/>
              <w:jc w:val="left"/>
              <w:rPr/>
            </w:pPr>
            <w:r>
              <w:rPr>
                <w:rFonts w:ascii="serif" w:hAnsi="serif"/>
                <w:b/>
              </w:rPr>
              <w:t>Event</w:t>
            </w:r>
            <w:r>
              <w:rPr/>
              <w:t xml:space="preserve">  </w:t>
            </w:r>
          </w:p>
        </w:tc>
        <w:tc>
          <w:tcPr>
            <w:tcW w:w="306" w:type="dxa"/>
            <w:tcBorders/>
            <w:shd w:fill="auto" w:val="clear"/>
            <w:vAlign w:val="bottom"/>
          </w:tcPr>
          <w:p>
            <w:pPr>
              <w:pStyle w:val="TableContents"/>
              <w:spacing w:before="0" w:after="283"/>
              <w:rPr/>
            </w:pPr>
            <w:r>
              <w:rPr/>
              <w:t xml:space="preserve">  </w:t>
            </w:r>
          </w:p>
        </w:tc>
        <w:tc>
          <w:tcPr>
            <w:tcW w:w="1837" w:type="dxa"/>
            <w:tcBorders/>
            <w:shd w:fill="auto" w:val="clear"/>
            <w:vAlign w:val="bottom"/>
          </w:tcPr>
          <w:p>
            <w:pPr>
              <w:pStyle w:val="TableContents"/>
              <w:spacing w:before="0" w:after="283"/>
              <w:jc w:val="left"/>
              <w:rPr/>
            </w:pPr>
            <w:r>
              <w:rPr>
                <w:rFonts w:ascii="serif" w:hAnsi="serif"/>
                <w:b/>
              </w:rPr>
              <w:t>Vesting</w:t>
            </w:r>
            <w:r>
              <w:rPr/>
              <w:t xml:space="preserve">  </w:t>
            </w:r>
          </w:p>
        </w:tc>
        <w:tc>
          <w:tcPr>
            <w:tcW w:w="204" w:type="dxa"/>
            <w:tcBorders/>
            <w:shd w:fill="auto" w:val="clear"/>
            <w:vAlign w:val="bottom"/>
          </w:tcPr>
          <w:p>
            <w:pPr>
              <w:pStyle w:val="TableContents"/>
              <w:spacing w:before="0" w:after="283"/>
              <w:rPr/>
            </w:pPr>
            <w:r>
              <w:rPr/>
              <w:t xml:space="preserve">  </w:t>
            </w:r>
          </w:p>
        </w:tc>
        <w:tc>
          <w:tcPr>
            <w:tcW w:w="4695" w:type="dxa"/>
            <w:tcBorders/>
            <w:shd w:fill="auto" w:val="clear"/>
            <w:vAlign w:val="bottom"/>
          </w:tcPr>
          <w:p>
            <w:pPr>
              <w:pStyle w:val="TableContents"/>
              <w:spacing w:before="0" w:after="283"/>
              <w:jc w:val="left"/>
              <w:rPr/>
            </w:pPr>
            <w:r>
              <w:rPr>
                <w:rFonts w:ascii="serif" w:hAnsi="serif"/>
                <w:b/>
              </w:rPr>
              <w:t>Exercise</w:t>
            </w:r>
            <w:r>
              <w:rPr/>
              <w:t xml:space="preserve">  </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rFonts w:ascii="serif" w:hAnsi="serif"/>
              </w:rPr>
            </w:pPr>
            <w:r>
              <w:rPr>
                <w:rFonts w:ascii="serif" w:hAnsi="serif"/>
              </w:rPr>
              <w:t>Death</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Immediate vesting as of</w:t>
            </w:r>
            <w:r>
              <w:rPr/>
              <w:t xml:space="preserve">  </w:t>
            </w:r>
            <w:r>
              <w:rPr>
                <w:rFonts w:ascii="serif" w:hAnsi="serif"/>
              </w:rPr>
              <w:t>death.</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Expires earlier of (i)</w:t>
            </w:r>
            <w:r>
              <w:rPr/>
              <w:t xml:space="preserve">  </w:t>
            </w:r>
            <w:r>
              <w:rPr>
                <w:rFonts w:ascii="serif" w:hAnsi="serif"/>
              </w:rPr>
              <w:t>original expiration date, or</w:t>
            </w:r>
            <w:r>
              <w:rPr/>
              <w:t xml:space="preserve">  </w:t>
            </w:r>
            <w:r>
              <w:rPr>
                <w:rFonts w:ascii="serif" w:hAnsi="serif"/>
              </w:rPr>
              <w:t>(ii) 3 years after death.</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rFonts w:ascii="serif" w:hAnsi="serif"/>
              </w:rPr>
            </w:pPr>
            <w:r>
              <w:rPr>
                <w:rFonts w:ascii="serif" w:hAnsi="serif"/>
              </w:rPr>
              <w:t>Disability</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Immediate vesting as of</w:t>
            </w:r>
            <w:r>
              <w:rPr/>
              <w:t xml:space="preserve">  </w:t>
            </w:r>
            <w:r>
              <w:rPr>
                <w:rFonts w:ascii="serif" w:hAnsi="serif"/>
              </w:rPr>
              <w:t>incurrence of Disability.</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Expires earlier of (i)</w:t>
            </w:r>
            <w:r>
              <w:rPr/>
              <w:t xml:space="preserve">  </w:t>
            </w:r>
            <w:r>
              <w:rPr>
                <w:rFonts w:ascii="serif" w:hAnsi="serif"/>
              </w:rPr>
              <w:t>original expiration date, or</w:t>
            </w:r>
            <w:r>
              <w:rPr/>
              <w:t xml:space="preserve">  </w:t>
            </w:r>
            <w:r>
              <w:rPr>
                <w:rFonts w:ascii="serif" w:hAnsi="serif"/>
              </w:rPr>
              <w:t>(ii) 3 years after Disability.</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pPr>
            <w:r>
              <w:rPr>
                <w:rFonts w:ascii="serif" w:hAnsi="serif"/>
              </w:rPr>
              <w:t>Full Retirement</w:t>
            </w:r>
            <w:r>
              <w:rPr/>
              <w:t xml:space="preserve">  </w:t>
            </w:r>
            <w:r>
              <w:rPr>
                <w:rFonts w:ascii="serif" w:hAnsi="serif"/>
              </w:rPr>
              <w:t>(Voluntary Termination of</w:t>
            </w:r>
            <w:r>
              <w:rPr/>
              <w:t xml:space="preserve">  </w:t>
            </w:r>
            <w:r>
              <w:rPr>
                <w:rFonts w:ascii="serif" w:hAnsi="serif"/>
              </w:rPr>
              <w:t>Employment on or after age</w:t>
            </w:r>
            <w:r>
              <w:rPr/>
              <w:t xml:space="preserve">  </w:t>
            </w:r>
            <w:r>
              <w:rPr>
                <w:rFonts w:ascii="serif" w:hAnsi="serif"/>
              </w:rPr>
              <w:t>60 and 10 Years of Service)</w:t>
            </w:r>
            <w:r>
              <w:rPr/>
              <w:t xml:space="preserve"> </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Unvested Awards forfeited</w:t>
            </w:r>
            <w:r>
              <w:rPr/>
              <w:t xml:space="preserve">  </w:t>
            </w:r>
            <w:r>
              <w:rPr>
                <w:rFonts w:ascii="serif" w:hAnsi="serif"/>
              </w:rPr>
              <w:t>as of Full Retirement.</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Expires earlier of (i)</w:t>
            </w:r>
            <w:r>
              <w:rPr/>
              <w:t xml:space="preserve">  </w:t>
            </w:r>
            <w:r>
              <w:rPr>
                <w:rFonts w:ascii="serif" w:hAnsi="serif"/>
              </w:rPr>
              <w:t>original expiration date, or</w:t>
            </w:r>
            <w:r>
              <w:rPr/>
              <w:t xml:space="preserve">  </w:t>
            </w:r>
            <w:r>
              <w:rPr>
                <w:rFonts w:ascii="serif" w:hAnsi="serif"/>
              </w:rPr>
              <w:t>(ii) 3 years after retirement.</w:t>
            </w:r>
            <w:r>
              <w:rPr/>
              <w:t xml:space="preserve">  </w:t>
            </w:r>
            <w:r>
              <w:rPr>
                <w:rFonts w:ascii="serif" w:hAnsi="serif"/>
              </w:rPr>
              <w:t>If you die prior to end of</w:t>
            </w:r>
            <w:r>
              <w:rPr/>
              <w:t xml:space="preserve">  </w:t>
            </w:r>
            <w:r>
              <w:rPr>
                <w:rFonts w:ascii="serif" w:hAnsi="serif"/>
              </w:rPr>
              <w:t>this 3-year period, expires</w:t>
            </w:r>
            <w:r>
              <w:rPr/>
              <w:t xml:space="preserve">  </w:t>
            </w:r>
            <w:r>
              <w:rPr>
                <w:rFonts w:ascii="serif" w:hAnsi="serif"/>
              </w:rPr>
              <w:t>earlier of (i) original</w:t>
            </w:r>
            <w:r>
              <w:rPr/>
              <w:t xml:space="preserve">  </w:t>
            </w:r>
            <w:r>
              <w:rPr>
                <w:rFonts w:ascii="serif" w:hAnsi="serif"/>
              </w:rPr>
              <w:t>expiration date, or (ii) 1</w:t>
            </w:r>
            <w:r>
              <w:rPr/>
              <w:t xml:space="preserve">  </w:t>
            </w:r>
            <w:r>
              <w:rPr>
                <w:rFonts w:ascii="serif" w:hAnsi="serif"/>
              </w:rPr>
              <w:t>year after death.</w:t>
            </w:r>
            <w:r>
              <w:rPr/>
              <w:t xml:space="preserve"> </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pPr>
            <w:r>
              <w:rPr>
                <w:rFonts w:ascii="serif" w:hAnsi="serif"/>
              </w:rPr>
              <w:t>Early Retirement</w:t>
            </w:r>
            <w:r>
              <w:rPr/>
              <w:t xml:space="preserve">  </w:t>
            </w:r>
            <w:r>
              <w:rPr>
                <w:rFonts w:ascii="serif" w:hAnsi="serif"/>
              </w:rPr>
              <w:t>(Termination of</w:t>
            </w:r>
            <w:r>
              <w:rPr/>
              <w:t xml:space="preserve">  </w:t>
            </w:r>
            <w:r>
              <w:rPr>
                <w:rFonts w:ascii="serif" w:hAnsi="serif"/>
              </w:rPr>
              <w:t>Employment because of</w:t>
            </w:r>
            <w:r>
              <w:rPr/>
              <w:t xml:space="preserve">  </w:t>
            </w:r>
            <w:r>
              <w:rPr>
                <w:rFonts w:ascii="serif" w:hAnsi="serif"/>
              </w:rPr>
              <w:t>retirement from active</w:t>
            </w:r>
            <w:r>
              <w:rPr/>
              <w:t xml:space="preserve">  </w:t>
            </w:r>
            <w:r>
              <w:rPr>
                <w:rFonts w:ascii="serif" w:hAnsi="serif"/>
              </w:rPr>
              <w:t>employment on or after age</w:t>
            </w:r>
            <w:r>
              <w:rPr/>
              <w:t xml:space="preserve">  </w:t>
            </w:r>
            <w:r>
              <w:rPr>
                <w:rFonts w:ascii="serif" w:hAnsi="serif"/>
              </w:rPr>
              <w:t>55 and 10 Years of Service)</w:t>
            </w:r>
            <w:r>
              <w:rPr/>
              <w:t xml:space="preserve">  </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Unvested Awards forfeited</w:t>
            </w:r>
            <w:r>
              <w:rPr/>
              <w:t xml:space="preserve">  </w:t>
            </w:r>
            <w:r>
              <w:rPr>
                <w:rFonts w:ascii="serif" w:hAnsi="serif"/>
              </w:rPr>
              <w:t>as of Early Retirement.</w:t>
            </w:r>
            <w:r>
              <w:rPr/>
              <w:t xml:space="preserve">  </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Expires earlier of (i)</w:t>
            </w:r>
            <w:r>
              <w:rPr/>
              <w:t xml:space="preserve">  </w:t>
            </w:r>
            <w:r>
              <w:rPr>
                <w:rFonts w:ascii="serif" w:hAnsi="serif"/>
              </w:rPr>
              <w:t>original expiration date, or</w:t>
            </w:r>
            <w:r>
              <w:rPr/>
              <w:t xml:space="preserve">  </w:t>
            </w:r>
            <w:r>
              <w:rPr>
                <w:rFonts w:ascii="serif" w:hAnsi="serif"/>
              </w:rPr>
              <w:t>(ii) 3 years after retirement.</w:t>
            </w:r>
            <w:r>
              <w:rPr/>
              <w:t xml:space="preserve">  </w:t>
            </w:r>
            <w:r>
              <w:rPr>
                <w:rFonts w:ascii="serif" w:hAnsi="serif"/>
              </w:rPr>
              <w:t>If you die prior to end of</w:t>
            </w:r>
            <w:r>
              <w:rPr/>
              <w:t xml:space="preserve">  </w:t>
            </w:r>
            <w:r>
              <w:rPr>
                <w:rFonts w:ascii="serif" w:hAnsi="serif"/>
              </w:rPr>
              <w:t>this 3-year period, expires</w:t>
            </w:r>
            <w:r>
              <w:rPr/>
              <w:t xml:space="preserve">  </w:t>
            </w:r>
            <w:r>
              <w:rPr>
                <w:rFonts w:ascii="serif" w:hAnsi="serif"/>
              </w:rPr>
              <w:t>earlier of (i) original</w:t>
            </w:r>
            <w:r>
              <w:rPr/>
              <w:t xml:space="preserve">  </w:t>
            </w:r>
            <w:r>
              <w:rPr>
                <w:rFonts w:ascii="serif" w:hAnsi="serif"/>
              </w:rPr>
              <w:t>expiration date, or (ii) 1</w:t>
            </w:r>
            <w:r>
              <w:rPr/>
              <w:t xml:space="preserve">  </w:t>
            </w:r>
            <w:r>
              <w:rPr>
                <w:rFonts w:ascii="serif" w:hAnsi="serif"/>
              </w:rPr>
              <w:t>year after death.</w:t>
            </w:r>
            <w:r>
              <w:rPr/>
              <w:t xml:space="preserve">  </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pPr>
            <w:r>
              <w:rPr>
                <w:rFonts w:ascii="serif" w:hAnsi="serif"/>
              </w:rPr>
              <w:t>Voluntary termination</w:t>
            </w:r>
            <w:r>
              <w:rPr/>
              <w:t xml:space="preserve">  </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Unvested Awards forfeited</w:t>
            </w:r>
            <w:r>
              <w:rPr/>
              <w:t xml:space="preserve">  </w:t>
            </w:r>
            <w:r>
              <w:rPr>
                <w:rFonts w:ascii="serif" w:hAnsi="serif"/>
              </w:rPr>
              <w:t>as of Termination of</w:t>
            </w:r>
            <w:r>
              <w:rPr/>
              <w:t xml:space="preserve">  </w:t>
            </w:r>
            <w:r>
              <w:rPr>
                <w:rFonts w:ascii="serif" w:hAnsi="serif"/>
              </w:rPr>
              <w:t>Employment.</w:t>
            </w:r>
            <w:r>
              <w:rPr/>
              <w:t xml:space="preserve">  </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Expires earlier of (i)</w:t>
            </w:r>
            <w:r>
              <w:rPr/>
              <w:t xml:space="preserve">  </w:t>
            </w:r>
            <w:r>
              <w:rPr>
                <w:rFonts w:ascii="serif" w:hAnsi="serif"/>
              </w:rPr>
              <w:t>original expiration date, or</w:t>
            </w:r>
            <w:r>
              <w:rPr/>
              <w:t xml:space="preserve">  </w:t>
            </w:r>
            <w:r>
              <w:rPr>
                <w:rFonts w:ascii="serif" w:hAnsi="serif"/>
              </w:rPr>
              <w:t>(ii) 30 days after</w:t>
            </w:r>
            <w:r>
              <w:rPr/>
              <w:t xml:space="preserve">  </w:t>
            </w:r>
            <w:r>
              <w:rPr>
                <w:rFonts w:ascii="serif" w:hAnsi="serif"/>
              </w:rPr>
              <w:t>termination. If you die prior</w:t>
            </w:r>
            <w:r>
              <w:rPr/>
              <w:t xml:space="preserve">  </w:t>
            </w:r>
            <w:r>
              <w:rPr>
                <w:rFonts w:ascii="serif" w:hAnsi="serif"/>
              </w:rPr>
              <w:t>to end of this 30-day period,</w:t>
            </w:r>
            <w:r>
              <w:rPr/>
              <w:t xml:space="preserve">  </w:t>
            </w:r>
            <w:r>
              <w:rPr>
                <w:rFonts w:ascii="serif" w:hAnsi="serif"/>
              </w:rPr>
              <w:t>expires earlier of (i) original</w:t>
            </w:r>
            <w:r>
              <w:rPr/>
              <w:t xml:space="preserve">  </w:t>
            </w:r>
            <w:r>
              <w:rPr>
                <w:rFonts w:ascii="serif" w:hAnsi="serif"/>
              </w:rPr>
              <w:t>expiration date, or (ii) 1</w:t>
            </w:r>
            <w:r>
              <w:rPr/>
              <w:t xml:space="preserve">  </w:t>
            </w:r>
            <w:r>
              <w:rPr>
                <w:rFonts w:ascii="serif" w:hAnsi="serif"/>
              </w:rPr>
              <w:t>year after death.</w:t>
            </w:r>
            <w:r>
              <w:rPr/>
              <w:t xml:space="preserve">  </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pPr>
            <w:r>
              <w:rPr>
                <w:rFonts w:ascii="serif" w:hAnsi="serif"/>
              </w:rPr>
              <w:t>Involuntary termination not</w:t>
            </w:r>
            <w:r>
              <w:rPr/>
              <w:t xml:space="preserve">  </w:t>
            </w:r>
            <w:r>
              <w:rPr>
                <w:rFonts w:ascii="serif" w:hAnsi="serif"/>
              </w:rPr>
              <w:t>for Cause</w:t>
            </w:r>
            <w:r>
              <w:rPr/>
              <w:t xml:space="preserve">  </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Unvested Awards forfeited</w:t>
            </w:r>
            <w:r>
              <w:rPr/>
              <w:t xml:space="preserve">  </w:t>
            </w:r>
            <w:r>
              <w:rPr>
                <w:rFonts w:ascii="serif" w:hAnsi="serif"/>
              </w:rPr>
              <w:t>as of Termination of</w:t>
            </w:r>
            <w:r>
              <w:rPr/>
              <w:t xml:space="preserve">  </w:t>
            </w:r>
            <w:r>
              <w:rPr>
                <w:rFonts w:ascii="serif" w:hAnsi="serif"/>
              </w:rPr>
              <w:t>Employment.</w:t>
            </w:r>
            <w:r>
              <w:rPr/>
              <w:t xml:space="preserve">  </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Expires earlier of (i)</w:t>
            </w:r>
            <w:r>
              <w:rPr/>
              <w:t xml:space="preserve">  </w:t>
            </w:r>
            <w:r>
              <w:rPr>
                <w:rFonts w:ascii="serif" w:hAnsi="serif"/>
              </w:rPr>
              <w:t>original expiration date, or</w:t>
            </w:r>
            <w:r>
              <w:rPr/>
              <w:t xml:space="preserve">  </w:t>
            </w:r>
            <w:r>
              <w:rPr>
                <w:rFonts w:ascii="serif" w:hAnsi="serif"/>
              </w:rPr>
              <w:t>(ii) 1 year after termination.</w:t>
            </w:r>
            <w:r>
              <w:rPr/>
              <w:t xml:space="preserve">  </w:t>
            </w:r>
            <w:r>
              <w:rPr>
                <w:rFonts w:ascii="serif" w:hAnsi="serif"/>
              </w:rPr>
              <w:t>If you die prior to end of</w:t>
            </w:r>
            <w:r>
              <w:rPr/>
              <w:t xml:space="preserve">  </w:t>
            </w:r>
            <w:r>
              <w:rPr>
                <w:rFonts w:ascii="serif" w:hAnsi="serif"/>
              </w:rPr>
              <w:t>this 1-year period, expires</w:t>
            </w:r>
            <w:r>
              <w:rPr/>
              <w:t xml:space="preserve">  </w:t>
            </w:r>
            <w:r>
              <w:rPr>
                <w:rFonts w:ascii="serif" w:hAnsi="serif"/>
              </w:rPr>
              <w:t>earlier of (i) original</w:t>
            </w:r>
            <w:r>
              <w:rPr/>
              <w:t xml:space="preserve">  </w:t>
            </w:r>
            <w:r>
              <w:rPr>
                <w:rFonts w:ascii="serif" w:hAnsi="serif"/>
              </w:rPr>
              <w:t>expiration date, or (ii) 1</w:t>
            </w:r>
            <w:r>
              <w:rPr/>
              <w:t xml:space="preserve">  </w:t>
            </w:r>
            <w:r>
              <w:rPr>
                <w:rFonts w:ascii="serif" w:hAnsi="serif"/>
              </w:rPr>
              <w:t>year after death.</w:t>
            </w:r>
            <w:r>
              <w:rPr/>
              <w:t xml:space="preserve">  </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r>
        <w:trPr/>
        <w:tc>
          <w:tcPr>
            <w:tcW w:w="3163" w:type="dxa"/>
            <w:tcBorders/>
            <w:shd w:fill="auto" w:val="clear"/>
          </w:tcPr>
          <w:p>
            <w:pPr>
              <w:pStyle w:val="TableContents"/>
              <w:spacing w:before="0" w:after="283"/>
              <w:jc w:val="left"/>
              <w:rPr/>
            </w:pPr>
            <w:r>
              <w:rPr>
                <w:rFonts w:ascii="serif" w:hAnsi="serif"/>
              </w:rPr>
              <w:t>Involuntary termination for</w:t>
            </w:r>
            <w:r>
              <w:rPr/>
              <w:t xml:space="preserve">  </w:t>
            </w:r>
            <w:r>
              <w:rPr>
                <w:rFonts w:ascii="serif" w:hAnsi="serif"/>
              </w:rPr>
              <w:t>Cause</w:t>
            </w:r>
            <w:r>
              <w:rPr/>
              <w:t xml:space="preserve">  </w:t>
            </w:r>
          </w:p>
        </w:tc>
        <w:tc>
          <w:tcPr>
            <w:tcW w:w="306" w:type="dxa"/>
            <w:tcBorders/>
            <w:shd w:fill="auto" w:val="clear"/>
          </w:tcPr>
          <w:p>
            <w:pPr>
              <w:pStyle w:val="TableContents"/>
              <w:spacing w:before="0" w:after="283"/>
              <w:rPr/>
            </w:pPr>
            <w:r>
              <w:rPr/>
              <w:t xml:space="preserve">  </w:t>
            </w:r>
          </w:p>
        </w:tc>
        <w:tc>
          <w:tcPr>
            <w:tcW w:w="1837" w:type="dxa"/>
            <w:tcBorders/>
            <w:shd w:fill="auto" w:val="clear"/>
          </w:tcPr>
          <w:p>
            <w:pPr>
              <w:pStyle w:val="TableContents"/>
              <w:spacing w:before="0" w:after="283"/>
              <w:jc w:val="left"/>
              <w:rPr/>
            </w:pPr>
            <w:r>
              <w:rPr>
                <w:rFonts w:ascii="serif" w:hAnsi="serif"/>
              </w:rPr>
              <w:t>Unvested Awards forfeited</w:t>
            </w:r>
            <w:r>
              <w:rPr/>
              <w:t xml:space="preserve">  </w:t>
            </w:r>
            <w:r>
              <w:rPr>
                <w:rFonts w:ascii="serif" w:hAnsi="serif"/>
              </w:rPr>
              <w:t>as of Termination of</w:t>
            </w:r>
            <w:r>
              <w:rPr/>
              <w:t xml:space="preserve">  </w:t>
            </w:r>
            <w:r>
              <w:rPr>
                <w:rFonts w:ascii="serif" w:hAnsi="serif"/>
              </w:rPr>
              <w:t>Employment.</w:t>
            </w:r>
            <w:r>
              <w:rPr/>
              <w:t xml:space="preserve">  </w:t>
            </w:r>
          </w:p>
        </w:tc>
        <w:tc>
          <w:tcPr>
            <w:tcW w:w="204" w:type="dxa"/>
            <w:tcBorders/>
            <w:shd w:fill="auto" w:val="clear"/>
          </w:tcPr>
          <w:p>
            <w:pPr>
              <w:pStyle w:val="TableContents"/>
              <w:spacing w:before="0" w:after="283"/>
              <w:rPr/>
            </w:pPr>
            <w:r>
              <w:rPr/>
              <w:t xml:space="preserve">  </w:t>
            </w:r>
          </w:p>
        </w:tc>
        <w:tc>
          <w:tcPr>
            <w:tcW w:w="4695" w:type="dxa"/>
            <w:tcBorders/>
            <w:shd w:fill="auto" w:val="clear"/>
          </w:tcPr>
          <w:p>
            <w:pPr>
              <w:pStyle w:val="TableContents"/>
              <w:spacing w:before="0" w:after="283"/>
              <w:jc w:val="left"/>
              <w:rPr/>
            </w:pPr>
            <w:r>
              <w:rPr>
                <w:rFonts w:ascii="serif" w:hAnsi="serif"/>
              </w:rPr>
              <w:t>Vested Awards immediately</w:t>
            </w:r>
            <w:r>
              <w:rPr/>
              <w:t xml:space="preserve">  </w:t>
            </w:r>
            <w:r>
              <w:rPr>
                <w:rFonts w:ascii="serif" w:hAnsi="serif"/>
              </w:rPr>
              <w:t>cancelled.</w:t>
            </w:r>
            <w:r>
              <w:rPr/>
              <w:t xml:space="preserve">  </w:t>
            </w:r>
          </w:p>
        </w:tc>
      </w:tr>
      <w:tr>
        <w:trPr/>
        <w:tc>
          <w:tcPr>
            <w:tcW w:w="3163" w:type="dxa"/>
            <w:tcBorders/>
            <w:shd w:fill="auto" w:val="clear"/>
            <w:vAlign w:val="center"/>
          </w:tcPr>
          <w:p>
            <w:pPr>
              <w:pStyle w:val="HorizontalLine"/>
              <w:pBdr>
                <w:bottom w:val="single" w:sz="6" w:space="0" w:color="808080"/>
              </w:pBdr>
              <w:spacing w:before="0" w:after="283"/>
              <w:rPr/>
            </w:pPr>
            <w:r>
              <w:rPr/>
            </w:r>
          </w:p>
        </w:tc>
        <w:tc>
          <w:tcPr>
            <w:tcW w:w="306" w:type="dxa"/>
            <w:tcBorders/>
            <w:shd w:fill="auto" w:val="clear"/>
            <w:vAlign w:val="center"/>
          </w:tcPr>
          <w:p>
            <w:pPr>
              <w:pStyle w:val="HorizontalLine"/>
              <w:pBdr>
                <w:bottom w:val="single" w:sz="6" w:space="0" w:color="808080"/>
              </w:pBdr>
              <w:spacing w:before="0" w:after="283"/>
              <w:rPr/>
            </w:pPr>
            <w:r>
              <w:rPr/>
            </w:r>
          </w:p>
        </w:tc>
        <w:tc>
          <w:tcPr>
            <w:tcW w:w="1837" w:type="dxa"/>
            <w:tcBorders/>
            <w:shd w:fill="auto" w:val="clear"/>
            <w:vAlign w:val="center"/>
          </w:tcPr>
          <w:p>
            <w:pPr>
              <w:pStyle w:val="HorizontalLine"/>
              <w:pBdr>
                <w:bottom w:val="single" w:sz="6" w:space="0" w:color="808080"/>
              </w:pBdr>
              <w:spacing w:before="0" w:after="283"/>
              <w:rPr/>
            </w:pPr>
            <w:r>
              <w:rPr/>
            </w:r>
          </w:p>
        </w:tc>
        <w:tc>
          <w:tcPr>
            <w:tcW w:w="204" w:type="dxa"/>
            <w:tcBorders/>
            <w:shd w:fill="auto" w:val="clear"/>
            <w:vAlign w:val="center"/>
          </w:tcPr>
          <w:p>
            <w:pPr>
              <w:pStyle w:val="HorizontalLine"/>
              <w:pBdr>
                <w:bottom w:val="single" w:sz="6" w:space="0" w:color="808080"/>
              </w:pBdr>
              <w:spacing w:before="0" w:after="283"/>
              <w:rPr/>
            </w:pPr>
            <w:r>
              <w:rPr/>
            </w:r>
          </w:p>
        </w:tc>
        <w:tc>
          <w:tcPr>
            <w:tcW w:w="4695" w:type="dxa"/>
            <w:tcBorders/>
            <w:shd w:fill="auto" w:val="clear"/>
            <w:vAlign w:val="center"/>
          </w:tcPr>
          <w:p>
            <w:pPr>
              <w:pStyle w:val="HorizontalLine"/>
              <w:pBdr>
                <w:bottom w:val="single" w:sz="6" w:space="0" w:color="808080"/>
              </w:pBdr>
              <w:spacing w:before="0" w:after="283"/>
              <w:rPr/>
            </w:pPr>
            <w:r>
              <w:rPr/>
            </w:r>
          </w:p>
        </w:tc>
      </w:tr>
    </w:tbl>
    <w:p>
      <w:pPr>
        <w:pStyle w:val="TextBody"/>
        <w:rPr/>
      </w:pPr>
      <w:r>
        <w:rPr/>
      </w:r>
    </w:p>
    <w:p>
      <w:pPr>
        <w:pStyle w:val="TextBody"/>
        <w:jc w:val="center"/>
        <w:rPr>
          <w:rFonts w:ascii="serif" w:hAnsi="serif"/>
          <w:sz w:val="20"/>
        </w:rPr>
      </w:pPr>
      <w:r>
        <w:rPr>
          <w:rFonts w:ascii="serif" w:hAnsi="serif"/>
          <w:sz w:val="20"/>
        </w:rPr>
        <w:t>2</w:t>
      </w:r>
    </w:p>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66" w:name="page_33"/>
      <w:bookmarkStart w:id="67" w:name="page_33"/>
      <w:bookmarkEnd w:id="67"/>
    </w:p>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right"/>
              <w:rPr>
                <w:rFonts w:ascii="serif" w:hAnsi="serif"/>
              </w:rPr>
            </w:pPr>
            <w:r>
              <w:rPr>
                <w:rFonts w:ascii="serif" w:hAnsi="serif"/>
              </w:rPr>
              <w:t>US</w:t>
            </w:r>
          </w:p>
        </w:tc>
      </w:tr>
      <w:tr>
        <w:trPr/>
        <w:tc>
          <w:tcPr>
            <w:tcW w:w="10205" w:type="dxa"/>
            <w:tcBorders/>
            <w:shd w:fill="auto" w:val="clear"/>
            <w:vAlign w:val="center"/>
          </w:tcPr>
          <w:p>
            <w:pPr>
              <w:pStyle w:val="TableContents"/>
              <w:spacing w:before="0" w:after="283"/>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800"/>
        <w:gridCol w:w="710"/>
        <w:gridCol w:w="8695"/>
      </w:tblGrid>
      <w:tr>
        <w:trPr/>
        <w:tc>
          <w:tcPr>
            <w:tcW w:w="800" w:type="dxa"/>
            <w:tcBorders/>
            <w:shd w:fill="auto" w:val="clear"/>
          </w:tcPr>
          <w:p>
            <w:pPr>
              <w:pStyle w:val="TableContents"/>
              <w:spacing w:before="0" w:after="283"/>
              <w:rPr/>
            </w:pPr>
            <w:r>
              <w:rPr/>
              <w:t> </w:t>
            </w:r>
          </w:p>
        </w:tc>
        <w:tc>
          <w:tcPr>
            <w:tcW w:w="9405" w:type="dxa"/>
            <w:gridSpan w:val="2"/>
            <w:tcBorders/>
            <w:shd w:fill="auto" w:val="clear"/>
            <w:vAlign w:val="center"/>
          </w:tcPr>
          <w:p>
            <w:pPr>
              <w:pStyle w:val="TableContents"/>
              <w:spacing w:before="0" w:after="283"/>
              <w:rPr>
                <w:rFonts w:ascii="serif" w:hAnsi="serif"/>
              </w:rPr>
            </w:pPr>
            <w:r>
              <w:rPr>
                <w:rFonts w:ascii="serif" w:hAnsi="serif"/>
              </w:rPr>
              <w:t>For purposes of this Agreement, if your employment is terminated under circumstances that entitle you to severance benefits under a severance plan of the Company or an Affiliate in which you participate, Termination of Employment refers to the date immediately prior to the date severance benefits become payable under the terms of the severance plan. If your employment is terminated under any other circumstances and you are not entitled to severance benefits under a severance plan of the Company or an Affiliate, Termination of Employment refers to the last day you actively perform services for the Company and its Affiliates.</w:t>
            </w:r>
          </w:p>
        </w:tc>
      </w:tr>
      <w:tr>
        <w:trPr/>
        <w:tc>
          <w:tcPr>
            <w:tcW w:w="800" w:type="dxa"/>
            <w:tcBorders/>
            <w:shd w:fill="auto" w:val="clear"/>
          </w:tcPr>
          <w:p>
            <w:pPr>
              <w:pStyle w:val="TableContents"/>
              <w:spacing w:before="0" w:after="283"/>
              <w:rPr/>
            </w:pPr>
            <w:r>
              <w:rPr/>
              <w:t> </w:t>
            </w:r>
          </w:p>
        </w:tc>
        <w:tc>
          <w:tcPr>
            <w:tcW w:w="9405"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8.</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Change in Control. </w:t>
            </w:r>
            <w:r>
              <w:rPr>
                <w:rFonts w:ascii="serif" w:hAnsi="serif"/>
              </w:rPr>
              <w:t>In the event of a Change in Control, any portion of the Option that has not vested as of the date of Change in Control will immediately become exercisable in full.</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9.</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Withholdings. </w:t>
            </w:r>
            <w:r>
              <w:rPr>
                <w:rFonts w:ascii="serif" w:hAnsi="serif"/>
              </w:rPr>
              <w:t>The Company will have the right, prior to the issuance or delivery of any Shares in connection with the exercise of the Option, to withhold or demand from you the amount necessary to satisfy applicable tax requirements, as determined by the Committee.</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10.</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Transfer of Option. </w:t>
            </w:r>
            <w:r>
              <w:rPr>
                <w:rFonts w:ascii="serif" w:hAnsi="serif"/>
              </w:rPr>
              <w:t>You may not transfer the Option or any interest in the Option except by will or the laws of descent and distribution or except as permitted by the Committee and as specified in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11.</w:t>
            </w:r>
            <w:r>
              <w:rPr/>
              <w:t xml:space="preserve">      </w:t>
            </w:r>
          </w:p>
        </w:tc>
        <w:tc>
          <w:tcPr>
            <w:tcW w:w="9405" w:type="dxa"/>
            <w:gridSpan w:val="2"/>
            <w:tcBorders/>
            <w:shd w:fill="auto" w:val="clear"/>
            <w:vAlign w:val="center"/>
          </w:tcPr>
          <w:p>
            <w:pPr>
              <w:pStyle w:val="TableContents"/>
              <w:spacing w:before="0" w:after="283"/>
              <w:rPr/>
            </w:pPr>
            <w:r>
              <w:rPr>
                <w:rFonts w:ascii="serif" w:hAnsi="serif"/>
                <w:b/>
              </w:rPr>
              <w:t>Forfeiture of Award.</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(a)</w:t>
            </w:r>
            <w:r>
              <w:rPr/>
              <w:t xml:space="preserve">      </w:t>
            </w:r>
          </w:p>
        </w:tc>
        <w:tc>
          <w:tcPr>
            <w:tcW w:w="8695" w:type="dxa"/>
            <w:tcBorders/>
            <w:shd w:fill="auto" w:val="clear"/>
            <w:vAlign w:val="center"/>
          </w:tcPr>
          <w:p>
            <w:pPr>
              <w:pStyle w:val="TableContents"/>
              <w:spacing w:before="0" w:after="283"/>
              <w:rPr/>
            </w:pPr>
            <w:r>
              <w:rPr>
                <w:rFonts w:ascii="serif" w:hAnsi="serif"/>
              </w:rPr>
              <w:t>By accepting the Award, you expressly agree and acknowledge that the forfeiture provisions of subparagraph (b) will apply if, from the date of the grant of the Option until the date that is twenty-four (24) months after your Termination of Employment for any reason, you enter into an employment or consultation agreement or arrangement (including any arrangement for service as an agent, partner, stockholder, consultant, officer or director) with any entity or person engaged in a business in which the Company or any Affiliate is engaged if the business is competitive (in the sole judgment of the Committee) with the Company or an Affiliate and the Committee has not approved the agreement or arrangement in writing.</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(b)</w:t>
            </w:r>
            <w:r>
              <w:rPr/>
              <w:t xml:space="preserve">      </w:t>
            </w:r>
          </w:p>
        </w:tc>
        <w:tc>
          <w:tcPr>
            <w:tcW w:w="8695" w:type="dxa"/>
            <w:tcBorders/>
            <w:shd w:fill="auto" w:val="clear"/>
            <w:vAlign w:val="center"/>
          </w:tcPr>
          <w:p>
            <w:pPr>
              <w:pStyle w:val="TableContents"/>
              <w:spacing w:before="0" w:after="283"/>
              <w:rPr/>
            </w:pPr>
            <w:r>
              <w:rPr>
                <w:rFonts w:ascii="serif" w:hAnsi="serif"/>
              </w:rPr>
              <w:t>If the Committee determines, in its sole judgment, that you have engaged in an act that violates subparagraph (a) prior to the 24-month anniversary of your Termination of Employment, any Option that you have not exercised (whether vested or unvested) will immediately be rescinded, and you will forfeit any rights you have with respect to the Option as of the date of the Committees determination. In addition, you hereby agree and promise immediately to deliver to the Company, Shares equal in value to the amount of any profit you realized upon an exercise of the Option during the period beginning six (6) months prior to your Termination of Employment and ending on the date of the Committees determination.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12.</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Adjustments. </w:t>
            </w:r>
            <w:r>
              <w:rPr>
                <w:rFonts w:ascii="serif" w:hAnsi="serif"/>
              </w:rPr>
              <w:t>Any adjustments to the Option will be governed by Section 5.3 of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center"/>
              <w:rPr>
                <w:rFonts w:ascii="serif" w:hAnsi="serif"/>
                <w:sz w:val="20"/>
              </w:rPr>
            </w:pPr>
            <w:r>
              <w:rPr>
                <w:rFonts w:ascii="serif" w:hAnsi="serif"/>
                <w:sz w:val="20"/>
              </w:rPr>
              <w:t>3</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68" w:name="page_42"/>
      <w:bookmarkStart w:id="69" w:name="page_42"/>
      <w:bookmarkEnd w:id="69"/>
    </w:p>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right"/>
              <w:rPr>
                <w:rFonts w:ascii="serif" w:hAnsi="serif"/>
              </w:rPr>
            </w:pPr>
            <w:r>
              <w:rPr>
                <w:rFonts w:ascii="serif" w:hAnsi="serif"/>
              </w:rPr>
              <w:t>US</w:t>
            </w:r>
          </w:p>
        </w:tc>
      </w:tr>
      <w:tr>
        <w:trPr/>
        <w:tc>
          <w:tcPr>
            <w:tcW w:w="1020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800"/>
        <w:gridCol w:w="819"/>
        <w:gridCol w:w="8586"/>
      </w:tblGrid>
      <w:tr>
        <w:trPr/>
        <w:tc>
          <w:tcPr>
            <w:tcW w:w="800" w:type="dxa"/>
            <w:tcBorders/>
            <w:shd w:fill="auto" w:val="clear"/>
          </w:tcPr>
          <w:p>
            <w:pPr>
              <w:pStyle w:val="TableContents"/>
              <w:spacing w:before="0" w:after="283"/>
              <w:rPr/>
            </w:pPr>
            <w:r>
              <w:rPr>
                <w:rFonts w:ascii="serif" w:hAnsi="serif"/>
                <w:b/>
              </w:rPr>
              <w:t>13.</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Restrictions on Exercise. </w:t>
            </w:r>
            <w:r>
              <w:rPr>
                <w:rFonts w:ascii="serif" w:hAnsi="serif"/>
              </w:rPr>
              <w:t>Exercise of the Option is subject to the conditions that, to the extent required at the time of exercise, (a) the Shares covered by the Option will be duly listed, upon official notice of issuance, upon the NYSE, and (b)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14.</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Disposition of Securities. </w:t>
            </w:r>
            <w:r>
              <w:rPr>
                <w:rFonts w:ascii="serif" w:hAnsi="serif"/>
              </w:rPr>
              <w:t>By accepting the Award, you acknowledge that you have read and understand the Companys policy, and are aware of and understand your obligations under U.S. federal securities laws in respect of trading in the Companys securities, and you agree not to use the Companys cashless exercise program (or any successor program) at any time when you possess material nonpublic information with respect to the Company or when using the program would otherwise result in a violation of securities law. The Company will have the right to recover, or receive reimbursement for, any compensation or profit realize on the exercise of the Option or by the disposition of Shares received upon exercise of the Option to the extent that the Company has a right of recovery or reimbursement under applicable securities laws.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15.</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Plan Terms Govern. </w:t>
            </w:r>
            <w:r>
              <w:rPr>
                <w:rFonts w:ascii="serif" w:hAnsi="serif"/>
              </w:rPr>
              <w:t>The exercise of the Option, the disposition of any Shares received upon exercise of the Option, and 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16.</w:t>
            </w:r>
            <w:r>
              <w:rPr/>
              <w:t xml:space="preserve">      </w:t>
            </w:r>
          </w:p>
        </w:tc>
        <w:tc>
          <w:tcPr>
            <w:tcW w:w="9405" w:type="dxa"/>
            <w:gridSpan w:val="2"/>
            <w:tcBorders/>
            <w:shd w:fill="auto" w:val="clear"/>
            <w:vAlign w:val="center"/>
          </w:tcPr>
          <w:p>
            <w:pPr>
              <w:pStyle w:val="TableContents"/>
              <w:spacing w:before="0" w:after="283"/>
              <w:rPr/>
            </w:pPr>
            <w:r>
              <w:rPr>
                <w:rFonts w:ascii="serif" w:hAnsi="serif"/>
                <w:b/>
              </w:rPr>
              <w:t>Personal Data.</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819" w:type="dxa"/>
            <w:tcBorders/>
            <w:shd w:fill="auto" w:val="clear"/>
          </w:tcPr>
          <w:p>
            <w:pPr>
              <w:pStyle w:val="TableContents"/>
              <w:spacing w:before="0" w:after="283"/>
              <w:rPr/>
            </w:pPr>
            <w:r>
              <w:rPr>
                <w:rFonts w:ascii="serif" w:hAnsi="serif"/>
                <w:b/>
              </w:rPr>
              <w:t>(a)</w:t>
            </w:r>
            <w:r>
              <w:rPr/>
              <w:t xml:space="preserve">      </w:t>
            </w:r>
          </w:p>
        </w:tc>
        <w:tc>
          <w:tcPr>
            <w:tcW w:w="8586" w:type="dxa"/>
            <w:tcBorders/>
            <w:shd w:fill="auto" w:val="clear"/>
            <w:vAlign w:val="center"/>
          </w:tcPr>
          <w:p>
            <w:pPr>
              <w:pStyle w:val="TableContents"/>
              <w:spacing w:before="0" w:after="283"/>
              <w:rPr/>
            </w:pPr>
            <w:r>
              <w:rPr>
                <w:rFonts w:ascii="serif" w:hAnsi="serif"/>
              </w:rPr>
              <w:t>By entering into this Agreement, and as a condition of the grant of the Option, you expressly consent to the collection, use, and transfer of personal data as described in this Section to the full extent permitted by and in full compliance with applicable law.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819" w:type="dxa"/>
            <w:tcBorders/>
            <w:shd w:fill="auto" w:val="clear"/>
          </w:tcPr>
          <w:p>
            <w:pPr>
              <w:pStyle w:val="TableContents"/>
              <w:spacing w:before="0" w:after="283"/>
              <w:rPr/>
            </w:pPr>
            <w:r>
              <w:rPr>
                <w:rFonts w:ascii="serif" w:hAnsi="serif"/>
                <w:b/>
              </w:rPr>
              <w:t>(b)</w:t>
            </w:r>
            <w:r>
              <w:rPr/>
              <w:t xml:space="preserve">      </w:t>
            </w:r>
          </w:p>
        </w:tc>
        <w:tc>
          <w:tcPr>
            <w:tcW w:w="8586" w:type="dxa"/>
            <w:tcBorders/>
            <w:shd w:fill="auto" w:val="clear"/>
            <w:vAlign w:val="center"/>
          </w:tcPr>
          <w:p>
            <w:pPr>
              <w:pStyle w:val="TableContents"/>
              <w:spacing w:before="0" w:after="283"/>
              <w:rPr/>
            </w:pPr>
            <w:r>
              <w:rPr>
                <w:rFonts w:ascii="serif" w:hAnsi="serif"/>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819" w:type="dxa"/>
            <w:tcBorders/>
            <w:shd w:fill="auto" w:val="clear"/>
          </w:tcPr>
          <w:p>
            <w:pPr>
              <w:pStyle w:val="TableContents"/>
              <w:spacing w:before="0" w:after="283"/>
              <w:rPr/>
            </w:pPr>
            <w:r>
              <w:rPr>
                <w:rFonts w:ascii="serif" w:hAnsi="serif"/>
                <w:b/>
              </w:rPr>
              <w:t>(c)</w:t>
            </w:r>
            <w:r>
              <w:rPr/>
              <w:t xml:space="preserve">      </w:t>
            </w:r>
          </w:p>
        </w:tc>
        <w:tc>
          <w:tcPr>
            <w:tcW w:w="8586" w:type="dxa"/>
            <w:tcBorders/>
            <w:shd w:fill="auto" w:val="clear"/>
            <w:vAlign w:val="center"/>
          </w:tcPr>
          <w:p>
            <w:pPr>
              <w:pStyle w:val="TableContents"/>
              <w:spacing w:before="0" w:after="283"/>
              <w:rPr/>
            </w:pPr>
            <w:r>
              <w:rPr>
                <w:rFonts w:ascii="serif" w:hAnsi="serif"/>
              </w:rPr>
              <w:t>You further understand that part or all of your Data may be also held by the Company or its Affiliates, pursuant to a transfer made in the past with your consent, in respect</w:t>
            </w:r>
            <w:r>
              <w:rPr/>
              <w:t xml:space="preserve"> </w:t>
            </w:r>
          </w:p>
        </w:tc>
      </w:tr>
      <w:tr>
        <w:trPr/>
        <w:tc>
          <w:tcPr>
            <w:tcW w:w="10205" w:type="dxa"/>
            <w:gridSpan w:val="3"/>
            <w:tcBorders/>
            <w:shd w:fill="auto" w:val="clear"/>
            <w:vAlign w:val="center"/>
          </w:tcPr>
          <w:p>
            <w:pPr>
              <w:pStyle w:val="TableContents"/>
              <w:spacing w:before="0" w:after="283"/>
              <w:rPr/>
            </w:pPr>
            <w:r>
              <w:rPr/>
              <w:t>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center"/>
              <w:rPr>
                <w:rFonts w:ascii="serif" w:hAnsi="serif"/>
                <w:sz w:val="20"/>
              </w:rPr>
            </w:pPr>
            <w:r>
              <w:rPr>
                <w:rFonts w:ascii="serif" w:hAnsi="serif"/>
                <w:sz w:val="20"/>
              </w:rPr>
              <w:t>4</w:t>
            </w:r>
          </w:p>
        </w:tc>
      </w:tr>
      <w:tr>
        <w:trPr/>
        <w:tc>
          <w:tcPr>
            <w:tcW w:w="10205" w:type="dxa"/>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70" w:name="page_51"/>
      <w:bookmarkStart w:id="71" w:name="page_51"/>
      <w:bookmarkEnd w:id="71"/>
    </w:p>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jc w:val="right"/>
              <w:rPr>
                <w:rFonts w:ascii="serif" w:hAnsi="serif"/>
              </w:rPr>
            </w:pPr>
            <w:r>
              <w:rPr>
                <w:rFonts w:ascii="serif" w:hAnsi="serif"/>
              </w:rPr>
              <w:t>US</w:t>
            </w:r>
          </w:p>
        </w:tc>
      </w:tr>
      <w:tr>
        <w:trPr/>
        <w:tc>
          <w:tcPr>
            <w:tcW w:w="10205" w:type="dxa"/>
            <w:tcBorders/>
            <w:shd w:fill="auto" w:val="clear"/>
            <w:vAlign w:val="center"/>
          </w:tcPr>
          <w:p>
            <w:pPr>
              <w:pStyle w:val="TableContents"/>
              <w:spacing w:before="0" w:after="283"/>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800"/>
        <w:gridCol w:w="710"/>
        <w:gridCol w:w="8695"/>
      </w:tblGrid>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pPr>
            <w:r>
              <w:rPr/>
              <w:t> </w:t>
            </w:r>
          </w:p>
        </w:tc>
        <w:tc>
          <w:tcPr>
            <w:tcW w:w="8695" w:type="dxa"/>
            <w:tcBorders/>
            <w:shd w:fill="auto" w:val="clear"/>
            <w:vAlign w:val="center"/>
          </w:tcPr>
          <w:p>
            <w:pPr>
              <w:pStyle w:val="TableContents"/>
              <w:spacing w:before="0" w:after="283"/>
              <w:rPr>
                <w:rFonts w:ascii="serif" w:hAnsi="serif"/>
              </w:rPr>
            </w:pPr>
            <w:r>
              <w:rPr>
                <w:rFonts w:ascii="serif" w:hAnsi="serif"/>
              </w:rPr>
              <w:t>of any previous grant of options or awards, which was made for the same purposes of managing and administering of previous award/incentive plans, or for other purposes.</w:t>
            </w:r>
          </w:p>
        </w:tc>
      </w:tr>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pPr>
            <w:r>
              <w:rPr/>
              <w:t> </w:t>
            </w:r>
          </w:p>
        </w:tc>
        <w:tc>
          <w:tcPr>
            <w:tcW w:w="8695" w:type="dxa"/>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rFonts w:ascii="serif" w:hAnsi="serif"/>
                <w:b/>
              </w:rPr>
            </w:pPr>
            <w:r>
              <w:rPr>
                <w:rFonts w:ascii="serif" w:hAnsi="serif"/>
                <w:b/>
              </w:rPr>
              <w:t>(d)</w:t>
            </w:r>
          </w:p>
        </w:tc>
        <w:tc>
          <w:tcPr>
            <w:tcW w:w="8695" w:type="dxa"/>
            <w:tcBorders/>
            <w:shd w:fill="auto" w:val="clear"/>
            <w:vAlign w:val="center"/>
          </w:tcPr>
          <w:p>
            <w:pPr>
              <w:pStyle w:val="TableContents"/>
              <w:spacing w:before="0" w:after="283"/>
              <w:rPr>
                <w:rFonts w:ascii="serif" w:hAnsi="serif"/>
              </w:rPr>
            </w:pPr>
            <w:r>
              <w:rPr>
                <w:rFonts w:ascii="serif" w:hAnsi="serif"/>
              </w:rPr>
              <w:t>You further understand that your local employer will transfer Data to the Company or its Affiliates among themselves as necessary for the purposes of implementation, administration, and management of the your participation in the Plan, and that the Company or its Affiliates may transfer data among themselves, and/or each, in turn, further transfer Data to any third parties assisting the Company in the implementation, administration, and management of the Plan (Data Recipients).</w:t>
            </w:r>
          </w:p>
        </w:tc>
      </w:tr>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pPr>
            <w:r>
              <w:rPr/>
              <w:t> </w:t>
            </w:r>
          </w:p>
        </w:tc>
        <w:tc>
          <w:tcPr>
            <w:tcW w:w="8695" w:type="dxa"/>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b/>
              </w:rPr>
              <w:t>(e)</w:t>
            </w:r>
            <w:r>
              <w:rPr/>
              <w:t> </w:t>
            </w:r>
          </w:p>
        </w:tc>
        <w:tc>
          <w:tcPr>
            <w:tcW w:w="8695" w:type="dxa"/>
            <w:tcBorders/>
            <w:shd w:fill="auto" w:val="clear"/>
            <w:vAlign w:val="center"/>
          </w:tcPr>
          <w:p>
            <w:pPr>
              <w:pStyle w:val="TableContents"/>
              <w:spacing w:before="0" w:after="283"/>
              <w:rPr>
                <w:rFonts w:ascii="serif" w:hAnsi="serif"/>
              </w:rPr>
            </w:pPr>
            <w:r>
              <w:rPr>
                <w:rFonts w:ascii="serif" w:hAnsi="serif"/>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tc>
      </w:tr>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pPr>
            <w:r>
              <w:rPr/>
              <w:t> </w:t>
            </w:r>
          </w:p>
        </w:tc>
        <w:tc>
          <w:tcPr>
            <w:tcW w:w="8695" w:type="dxa"/>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b/>
              </w:rPr>
              <w:t>(f)</w:t>
            </w:r>
            <w:r>
              <w:rPr/>
              <w:t> </w:t>
            </w:r>
          </w:p>
        </w:tc>
        <w:tc>
          <w:tcPr>
            <w:tcW w:w="8695" w:type="dxa"/>
            <w:tcBorders/>
            <w:shd w:fill="auto" w:val="clear"/>
            <w:vAlign w:val="center"/>
          </w:tcPr>
          <w:p>
            <w:pPr>
              <w:pStyle w:val="TableContents"/>
              <w:spacing w:before="0" w:after="283"/>
              <w:rPr>
                <w:rFonts w:ascii="serif" w:hAnsi="serif"/>
              </w:rPr>
            </w:pPr>
            <w:r>
              <w:rPr>
                <w:rFonts w:ascii="serif" w:hAnsi="serif"/>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tc>
      </w:tr>
      <w:tr>
        <w:trPr/>
        <w:tc>
          <w:tcPr>
            <w:tcW w:w="800" w:type="dxa"/>
            <w:tcBorders/>
            <w:shd w:fill="auto" w:val="clear"/>
          </w:tcPr>
          <w:p>
            <w:pPr>
              <w:pStyle w:val="TableContents"/>
              <w:spacing w:before="0" w:after="283"/>
              <w:rPr/>
            </w:pPr>
            <w:r>
              <w:rPr/>
              <w:t> </w:t>
            </w:r>
          </w:p>
        </w:tc>
        <w:tc>
          <w:tcPr>
            <w:tcW w:w="9405" w:type="dxa"/>
            <w:gridSpan w:val="2"/>
            <w:tcBorders/>
            <w:shd w:fill="auto" w:val="clea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17.</w:t>
            </w:r>
            <w:r>
              <w:rPr/>
              <w:t xml:space="preserve">      </w:t>
            </w:r>
          </w:p>
        </w:tc>
        <w:tc>
          <w:tcPr>
            <w:tcW w:w="9405" w:type="dxa"/>
            <w:gridSpan w:val="2"/>
            <w:tcBorders/>
            <w:shd w:fill="auto" w:val="clear"/>
          </w:tcPr>
          <w:p>
            <w:pPr>
              <w:pStyle w:val="TableContents"/>
              <w:spacing w:before="0" w:after="283"/>
              <w:rPr/>
            </w:pPr>
            <w:r>
              <w:rPr>
                <w:rFonts w:ascii="serif" w:hAnsi="serif"/>
                <w:b/>
              </w:rPr>
              <w:t xml:space="preserve">Discretionary Nature and Acceptance of Award. </w:t>
            </w:r>
            <w:r>
              <w:rPr>
                <w:rFonts w:ascii="serif" w:hAnsi="serif"/>
              </w:rPr>
              <w:t>By accepting this Award, you agree to be bound by the terms of this Agreement and acknowledge that: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(a)</w:t>
            </w:r>
            <w:r>
              <w:rPr/>
              <w:t xml:space="preserve">      </w:t>
            </w:r>
          </w:p>
        </w:tc>
        <w:tc>
          <w:tcPr>
            <w:tcW w:w="8695" w:type="dxa"/>
            <w:tcBorders/>
            <w:shd w:fill="auto" w:val="clear"/>
            <w:vAlign w:val="center"/>
          </w:tcPr>
          <w:p>
            <w:pPr>
              <w:pStyle w:val="TableContents"/>
              <w:spacing w:before="0" w:after="283"/>
              <w:rPr/>
            </w:pPr>
            <w:r>
              <w:rPr>
                <w:rFonts w:ascii="serif" w:hAnsi="serif"/>
              </w:rPr>
              <w:t>The Company (and not your local employer) is granting your Option. Furthermore, this Agreement is not derived from any preexisting labor relationship between you and the Company, but rather from a mercantile relationship.</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(b)</w:t>
            </w:r>
            <w:r>
              <w:rPr/>
              <w:t xml:space="preserve">      </w:t>
            </w:r>
          </w:p>
        </w:tc>
        <w:tc>
          <w:tcPr>
            <w:tcW w:w="8695" w:type="dxa"/>
            <w:tcBorders/>
            <w:shd w:fill="auto" w:val="clear"/>
            <w:vAlign w:val="center"/>
          </w:tcPr>
          <w:p>
            <w:pPr>
              <w:pStyle w:val="TableContents"/>
              <w:spacing w:before="0" w:after="283"/>
              <w:rPr/>
            </w:pPr>
            <w:r>
              <w:rPr>
                <w:rFonts w:ascii="serif" w:hAnsi="serif"/>
              </w:rPr>
              <w:t>The Company may administer the Plan from outside your country of residence and United States law will govern all options granted under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(c)</w:t>
            </w:r>
            <w:r>
              <w:rPr/>
              <w:t xml:space="preserve">      </w:t>
            </w:r>
          </w:p>
        </w:tc>
        <w:tc>
          <w:tcPr>
            <w:tcW w:w="8695" w:type="dxa"/>
            <w:tcBorders/>
            <w:shd w:fill="auto" w:val="clear"/>
            <w:vAlign w:val="center"/>
          </w:tcPr>
          <w:p>
            <w:pPr>
              <w:pStyle w:val="TableContents"/>
              <w:spacing w:before="0" w:after="283"/>
              <w:rPr/>
            </w:pPr>
            <w:r>
              <w:rPr>
                <w:rFonts w:ascii="serif" w:hAnsi="serif"/>
              </w:rPr>
              <w:t>Benefits and rights provided under the Plan are wholly discretionary and, although provided by the Company, do not constitute regular or periodic payments.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(d)</w:t>
            </w:r>
            <w:r>
              <w:rPr/>
              <w:t xml:space="preserve">      </w:t>
            </w:r>
          </w:p>
        </w:tc>
        <w:tc>
          <w:tcPr>
            <w:tcW w:w="8695" w:type="dxa"/>
            <w:tcBorders/>
            <w:shd w:fill="auto" w:val="clear"/>
            <w:vAlign w:val="center"/>
          </w:tcPr>
          <w:p>
            <w:pPr>
              <w:pStyle w:val="TableContents"/>
              <w:spacing w:before="0" w:after="283"/>
              <w:rPr/>
            </w:pPr>
            <w:r>
              <w:rPr>
                <w:rFonts w:ascii="serif" w:hAnsi="serif"/>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rPr/>
      </w:pPr>
      <w:r>
        <w:rPr/>
      </w:r>
    </w:p>
    <w:p>
      <w:pPr>
        <w:pStyle w:val="TextBody"/>
        <w:jc w:val="center"/>
        <w:rPr>
          <w:rFonts w:ascii="serif" w:hAnsi="serif"/>
          <w:sz w:val="20"/>
        </w:rPr>
      </w:pPr>
      <w:r>
        <w:rPr>
          <w:rFonts w:ascii="serif" w:hAnsi="serif"/>
          <w:sz w:val="20"/>
        </w:rPr>
        <w:t>5</w:t>
      </w:r>
    </w:p>
    <w:p>
      <w:pPr>
        <w:pStyle w:val="HorizontalLine"/>
        <w:pBdr>
          <w:bottom w:val="single" w:sz="24" w:space="0" w:color="808080"/>
        </w:pBdr>
        <w:rPr/>
      </w:pPr>
      <w:r>
        <w:rPr/>
      </w:r>
      <w:r>
        <w:br w:type="page"/>
      </w:r>
    </w:p>
    <w:p>
      <w:pPr>
        <w:pStyle w:val="TextBody"/>
        <w:jc w:val="right"/>
        <w:rPr>
          <w:rFonts w:ascii="serif" w:hAnsi="serif"/>
        </w:rPr>
      </w:pPr>
      <w:bookmarkStart w:id="72" w:name="page_61"/>
      <w:bookmarkEnd w:id="72"/>
      <w:r>
        <w:rPr>
          <w:rFonts w:ascii="serif" w:hAnsi="serif"/>
        </w:rPr>
        <w:t>US</w:t>
      </w:r>
    </w:p>
    <w:tbl>
      <w:tblPr>
        <w:tblW w:w="10205" w:type="dxa"/>
        <w:jc w:val="left"/>
        <w:tblInd w:w="0" w:type="dxa"/>
        <w:tblCellMar>
          <w:top w:w="0" w:type="dxa"/>
          <w:left w:w="0" w:type="dxa"/>
          <w:bottom w:w="0" w:type="dxa"/>
          <w:right w:w="0" w:type="dxa"/>
        </w:tblCellMar>
      </w:tblPr>
      <w:tblGrid>
        <w:gridCol w:w="800"/>
        <w:gridCol w:w="518"/>
        <w:gridCol w:w="8887"/>
      </w:tblGrid>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pPr>
            <w:r>
              <w:rPr/>
              <w:t> </w:t>
            </w:r>
          </w:p>
        </w:tc>
        <w:tc>
          <w:tcPr>
            <w:tcW w:w="8887" w:type="dxa"/>
            <w:tcBorders/>
            <w:shd w:fill="auto" w:val="clear"/>
            <w:vAlign w:val="center"/>
          </w:tcPr>
          <w:p>
            <w:pPr>
              <w:pStyle w:val="TableContents"/>
              <w:spacing w:before="0" w:after="283"/>
              <w:rPr>
                <w:rFonts w:ascii="serif" w:hAnsi="serif"/>
              </w:rPr>
            </w:pPr>
            <w:r>
              <w:rPr>
                <w:rFonts w:ascii="serif" w:hAnsi="serif"/>
              </w:rPr>
              <w:t>such rights under the Plan or your ceasing to have any rights under, or ceasing to be entitled to any rights under, the Plan as a result of such termination.</w:t>
            </w:r>
          </w:p>
        </w:tc>
      </w:tr>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pPr>
            <w:r>
              <w:rPr/>
              <w:t> </w:t>
            </w:r>
          </w:p>
        </w:tc>
        <w:tc>
          <w:tcPr>
            <w:tcW w:w="8887" w:type="dxa"/>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rFonts w:ascii="serif" w:hAnsi="serif"/>
              </w:rPr>
            </w:pPr>
            <w:r>
              <w:rPr>
                <w:rFonts w:ascii="serif" w:hAnsi="serif"/>
              </w:rPr>
              <w:t>(e)</w:t>
            </w:r>
          </w:p>
        </w:tc>
        <w:tc>
          <w:tcPr>
            <w:tcW w:w="8887" w:type="dxa"/>
            <w:tcBorders/>
            <w:shd w:fill="auto" w:val="clear"/>
            <w:vAlign w:val="center"/>
          </w:tcPr>
          <w:p>
            <w:pPr>
              <w:pStyle w:val="TableContents"/>
              <w:spacing w:before="0" w:after="283"/>
              <w:rPr>
                <w:rFonts w:ascii="serif" w:hAnsi="serif"/>
              </w:rPr>
            </w:pPr>
            <w:r>
              <w:rPr>
                <w:rFonts w:ascii="serif" w:hAnsi="serif"/>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tc>
      </w:tr>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pPr>
            <w:r>
              <w:rPr/>
              <w:t> </w:t>
            </w:r>
          </w:p>
        </w:tc>
        <w:tc>
          <w:tcPr>
            <w:tcW w:w="8887" w:type="dxa"/>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pPr>
            <w:r>
              <w:rPr>
                <w:rFonts w:ascii="serif" w:hAnsi="serif"/>
              </w:rPr>
              <w:t>(f)</w:t>
            </w:r>
            <w:r>
              <w:rPr/>
              <w:t> </w:t>
            </w:r>
          </w:p>
        </w:tc>
        <w:tc>
          <w:tcPr>
            <w:tcW w:w="8887" w:type="dxa"/>
            <w:tcBorders/>
            <w:shd w:fill="auto" w:val="clear"/>
            <w:vAlign w:val="center"/>
          </w:tcPr>
          <w:p>
            <w:pPr>
              <w:pStyle w:val="TableContents"/>
              <w:spacing w:before="0" w:after="283"/>
              <w:rPr>
                <w:rFonts w:ascii="serif" w:hAnsi="serif"/>
              </w:rPr>
            </w:pPr>
            <w:r>
              <w:rPr>
                <w:rFonts w:ascii="serif" w:hAnsi="serif"/>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tc>
      </w:tr>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pPr>
            <w:r>
              <w:rPr/>
              <w:t> </w:t>
            </w:r>
          </w:p>
        </w:tc>
        <w:tc>
          <w:tcPr>
            <w:tcW w:w="8887" w:type="dxa"/>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518" w:type="dxa"/>
            <w:tcBorders/>
            <w:shd w:fill="auto" w:val="clear"/>
          </w:tcPr>
          <w:p>
            <w:pPr>
              <w:pStyle w:val="TableContents"/>
              <w:spacing w:before="0" w:after="283"/>
              <w:rPr/>
            </w:pPr>
            <w:r>
              <w:rPr>
                <w:rFonts w:ascii="serif" w:hAnsi="serif"/>
              </w:rPr>
              <w:t>(g)</w:t>
            </w:r>
            <w:r>
              <w:rPr/>
              <w:t xml:space="preserve">  </w:t>
            </w:r>
          </w:p>
        </w:tc>
        <w:tc>
          <w:tcPr>
            <w:tcW w:w="8887" w:type="dxa"/>
            <w:tcBorders/>
            <w:shd w:fill="auto" w:val="clear"/>
            <w:vAlign w:val="center"/>
          </w:tcPr>
          <w:p>
            <w:pPr>
              <w:pStyle w:val="TableContents"/>
              <w:spacing w:before="0" w:after="283"/>
              <w:rPr>
                <w:rFonts w:ascii="serif" w:hAnsi="serif"/>
              </w:rPr>
            </w:pPr>
            <w:r>
              <w:rPr>
                <w:rFonts w:ascii="serif" w:hAnsi="serif"/>
              </w:rPr>
              <w:t>Participation in the Plan will not be deemed to constitute, and will not be deemed by you to constitute, an employment or labor relationship of any kind with the Company.</w:t>
            </w:r>
          </w:p>
        </w:tc>
      </w:tr>
      <w:tr>
        <w:trPr/>
        <w:tc>
          <w:tcPr>
            <w:tcW w:w="800" w:type="dxa"/>
            <w:tcBorders/>
            <w:shd w:fill="auto" w:val="clear"/>
          </w:tcPr>
          <w:p>
            <w:pPr>
              <w:pStyle w:val="TableContents"/>
              <w:spacing w:before="0" w:after="283"/>
              <w:rPr/>
            </w:pPr>
            <w:r>
              <w:rPr/>
              <w:t> </w:t>
            </w:r>
          </w:p>
        </w:tc>
        <w:tc>
          <w:tcPr>
            <w:tcW w:w="9405" w:type="dxa"/>
            <w:gridSpan w:val="2"/>
            <w:tcBorders/>
            <w:shd w:fill="auto" w:val="clea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18.</w:t>
            </w:r>
            <w:r>
              <w:rPr/>
              <w:t xml:space="preserve">      </w:t>
            </w:r>
          </w:p>
        </w:tc>
        <w:tc>
          <w:tcPr>
            <w:tcW w:w="9405" w:type="dxa"/>
            <w:gridSpan w:val="2"/>
            <w:tcBorders/>
            <w:shd w:fill="auto" w:val="clear"/>
          </w:tcPr>
          <w:p>
            <w:pPr>
              <w:pStyle w:val="TableContents"/>
              <w:spacing w:before="0" w:after="283"/>
              <w:rPr/>
            </w:pPr>
            <w:r>
              <w:rPr>
                <w:rFonts w:ascii="serif" w:hAnsi="serif"/>
                <w:b/>
              </w:rPr>
              <w:t xml:space="preserve">Limitations. </w:t>
            </w:r>
            <w:r>
              <w:rPr>
                <w:rFonts w:ascii="serif" w:hAnsi="serif"/>
              </w:rPr>
              <w:t>Nothing in this Agreement or the Plan gives you any right to continue in the employ of the Company or any of 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19.</w:t>
            </w:r>
            <w:r>
              <w:rPr/>
              <w:t xml:space="preserve">      </w:t>
            </w:r>
          </w:p>
        </w:tc>
        <w:tc>
          <w:tcPr>
            <w:tcW w:w="9405" w:type="dxa"/>
            <w:gridSpan w:val="2"/>
            <w:tcBorders/>
            <w:shd w:fill="auto" w:val="clear"/>
          </w:tcPr>
          <w:p>
            <w:pPr>
              <w:pStyle w:val="TableContents"/>
              <w:spacing w:before="0" w:after="283"/>
              <w:rPr/>
            </w:pPr>
            <w:r>
              <w:rPr>
                <w:rFonts w:ascii="serif" w:hAnsi="serif"/>
                <w:b/>
              </w:rPr>
              <w:t xml:space="preserve">Incorporation of Other Agreements. </w:t>
            </w:r>
            <w:r>
              <w:rPr>
                <w:rFonts w:ascii="serif" w:hAnsi="serif"/>
              </w:rPr>
              <w:t>This Agreement and the Plan constitute the entire understanding between you and the Company regarding the Option. This Agreement supersedes any prior agreements, commitments or negotiations concerning the Option.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20.</w:t>
            </w:r>
            <w:r>
              <w:rPr/>
              <w:t xml:space="preserve">      </w:t>
            </w:r>
          </w:p>
        </w:tc>
        <w:tc>
          <w:tcPr>
            <w:tcW w:w="9405" w:type="dxa"/>
            <w:gridSpan w:val="2"/>
            <w:tcBorders/>
            <w:shd w:fill="auto" w:val="clear"/>
          </w:tcPr>
          <w:p>
            <w:pPr>
              <w:pStyle w:val="TableContents"/>
              <w:spacing w:before="0" w:after="283"/>
              <w:rPr/>
            </w:pPr>
            <w:r>
              <w:rPr>
                <w:rFonts w:ascii="serif" w:hAnsi="serif"/>
                <w:b/>
              </w:rPr>
              <w:t xml:space="preserve">Severability. </w:t>
            </w:r>
            <w:r>
              <w:rPr>
                <w:rFonts w:ascii="serif" w:hAnsi="serif"/>
              </w:rPr>
              <w:t>The invalidity or unenforceability of any provision of this Agreement will not affect the validity or 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9405" w:type="dxa"/>
            <w:gridSpan w:val="2"/>
            <w:tcBorders/>
            <w:shd w:fill="auto" w:val="clear"/>
          </w:tcPr>
          <w:p>
            <w:pPr>
              <w:pStyle w:val="TableContents"/>
              <w:spacing w:before="0" w:after="283"/>
              <w:rPr/>
            </w:pPr>
            <w:r>
              <w:rPr>
                <w:rFonts w:ascii="serif" w:hAnsi="serif"/>
              </w:rPr>
              <w:t>IN WITNESS WHEREOF, the Company has caused this Agreement to be duly executed by the facsimile signature of its Chairman of the Board and Chief Executive Officer as of the day and year first above written. By consenting to this Agreement, you agree to the following: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rPr/>
      </w:pPr>
      <w:r>
        <w:rPr/>
      </w:r>
    </w:p>
    <w:p>
      <w:pPr>
        <w:pStyle w:val="TextBody"/>
        <w:jc w:val="center"/>
        <w:rPr>
          <w:rFonts w:ascii="serif" w:hAnsi="serif"/>
          <w:sz w:val="20"/>
        </w:rPr>
      </w:pPr>
      <w:r>
        <w:rPr>
          <w:rFonts w:ascii="serif" w:hAnsi="serif"/>
          <w:sz w:val="20"/>
        </w:rPr>
        <w:t>6</w:t>
      </w:r>
    </w:p>
    <w:p>
      <w:pPr>
        <w:pStyle w:val="HorizontalLine"/>
        <w:pBdr>
          <w:bottom w:val="single" w:sz="24" w:space="0" w:color="808080"/>
        </w:pBdr>
        <w:rPr/>
      </w:pPr>
      <w:r>
        <w:rPr/>
      </w:r>
      <w:r>
        <w:br w:type="page"/>
      </w:r>
    </w:p>
    <w:p>
      <w:pPr>
        <w:pStyle w:val="TextBody"/>
        <w:jc w:val="right"/>
        <w:rPr>
          <w:rFonts w:ascii="serif" w:hAnsi="serif"/>
        </w:rPr>
      </w:pPr>
      <w:bookmarkStart w:id="73" w:name="page_71"/>
      <w:bookmarkEnd w:id="73"/>
      <w:r>
        <w:rPr>
          <w:rFonts w:ascii="serif" w:hAnsi="serif"/>
        </w:rPr>
        <w:t>US</w:t>
      </w:r>
    </w:p>
    <w:p>
      <w:pPr>
        <w:pStyle w:val="TextBody"/>
        <w:rPr>
          <w:rFonts w:ascii="serif" w:hAnsi="serif"/>
        </w:rPr>
      </w:pPr>
      <w:r>
        <w:rPr>
          <w:rFonts w:ascii="serif" w:hAnsi="serif"/>
        </w:rPr>
        <w:t xml:space="preserve">Option are replaced and superseded. You will be deemed to consent to the application of the terms and conditions set forth in this Agreement and the Plan unless you contact Honeywell International Inc., Executive Compensation/AB-1D, 101 Columbia Road, Morristown, NJ 07962 in writing within thirty (30) days of the date of this Agreement. </w:t>
      </w:r>
    </w:p>
    <w:tbl>
      <w:tblPr>
        <w:tblW w:w="5000" w:type="pct"/>
        <w:jc w:val="left"/>
        <w:tblInd w:w="0" w:type="dxa"/>
        <w:tblCellMar>
          <w:top w:w="0" w:type="dxa"/>
          <w:left w:w="0" w:type="dxa"/>
          <w:bottom w:w="0" w:type="dxa"/>
          <w:right w:w="0" w:type="dxa"/>
        </w:tblCellMar>
      </w:tblPr>
      <w:tblGrid>
        <w:gridCol w:w="4435"/>
        <w:gridCol w:w="379"/>
        <w:gridCol w:w="5391"/>
      </w:tblGrid>
      <w:tr>
        <w:trPr/>
        <w:tc>
          <w:tcPr>
            <w:tcW w:w="4435" w:type="dxa"/>
            <w:tcBorders/>
            <w:shd w:fill="auto" w:val="clear"/>
            <w:vAlign w:val="bottom"/>
          </w:tcPr>
          <w:p>
            <w:pPr>
              <w:pStyle w:val="TableContents"/>
              <w:spacing w:before="0" w:after="283"/>
              <w:jc w:val="center"/>
              <w:rPr/>
            </w:pPr>
            <w:r>
              <w:rPr/>
              <w:t xml:space="preserve">  </w:t>
            </w:r>
          </w:p>
        </w:tc>
        <w:tc>
          <w:tcPr>
            <w:tcW w:w="5770" w:type="dxa"/>
            <w:gridSpan w:val="2"/>
            <w:tcBorders/>
            <w:shd w:fill="auto" w:val="clear"/>
            <w:vAlign w:val="bottom"/>
          </w:tcPr>
          <w:p>
            <w:pPr>
              <w:pStyle w:val="TableContents"/>
              <w:spacing w:before="0" w:after="0"/>
              <w:jc w:val="left"/>
              <w:rPr>
                <w:rFonts w:ascii="serif" w:hAnsi="serif"/>
              </w:rPr>
            </w:pPr>
            <w:r>
              <w:rPr>
                <w:rFonts w:ascii="serif" w:hAnsi="serif"/>
              </w:rPr>
              <w:t>Honeywell International Inc.</w:t>
            </w:r>
          </w:p>
        </w:tc>
      </w:tr>
      <w:tr>
        <w:trPr/>
        <w:tc>
          <w:tcPr>
            <w:tcW w:w="10205" w:type="dxa"/>
            <w:gridSpan w:val="3"/>
            <w:tcBorders/>
            <w:shd w:fill="auto" w:val="clear"/>
            <w:vAlign w:val="center"/>
          </w:tcPr>
          <w:p>
            <w:pPr>
              <w:pStyle w:val="TableContents"/>
              <w:spacing w:before="0" w:after="283"/>
              <w:rPr/>
            </w:pPr>
            <w:r>
              <w:rPr/>
              <w:t xml:space="preserve">  </w:t>
            </w:r>
          </w:p>
        </w:tc>
      </w:tr>
      <w:tr>
        <w:trPr/>
        <w:tc>
          <w:tcPr>
            <w:tcW w:w="10205" w:type="dxa"/>
            <w:gridSpan w:val="3"/>
            <w:tcBorders/>
            <w:shd w:fill="auto" w:val="clear"/>
            <w:vAlign w:val="center"/>
          </w:tcPr>
          <w:p>
            <w:pPr>
              <w:pStyle w:val="TableContents"/>
              <w:spacing w:before="0" w:after="283"/>
              <w:rPr/>
            </w:pPr>
            <w:r>
              <w:rPr/>
              <w:t xml:space="preserve">  </w:t>
            </w:r>
          </w:p>
        </w:tc>
      </w:tr>
      <w:tr>
        <w:trPr/>
        <w:tc>
          <w:tcPr>
            <w:tcW w:w="10205" w:type="dxa"/>
            <w:gridSpan w:val="3"/>
            <w:tcBorders/>
            <w:shd w:fill="auto" w:val="clear"/>
            <w:vAlign w:val="center"/>
          </w:tcPr>
          <w:p>
            <w:pPr>
              <w:pStyle w:val="TableContents"/>
              <w:spacing w:before="0" w:after="283"/>
              <w:rPr/>
            </w:pPr>
            <w:r>
              <w:rPr/>
              <w:t xml:space="preserve">  </w:t>
            </w:r>
          </w:p>
        </w:tc>
      </w:tr>
      <w:tr>
        <w:trPr/>
        <w:tc>
          <w:tcPr>
            <w:tcW w:w="10205" w:type="dxa"/>
            <w:gridSpan w:val="3"/>
            <w:tcBorders/>
            <w:shd w:fill="auto" w:val="clear"/>
            <w:vAlign w:val="center"/>
          </w:tcPr>
          <w:p>
            <w:pPr>
              <w:pStyle w:val="TableContents"/>
              <w:spacing w:before="0" w:after="283"/>
              <w:rPr/>
            </w:pPr>
            <w:r>
              <w:rPr/>
              <w:t xml:space="preserve">  </w:t>
            </w:r>
          </w:p>
        </w:tc>
      </w:tr>
      <w:tr>
        <w:trPr/>
        <w:tc>
          <w:tcPr>
            <w:tcW w:w="4435" w:type="dxa"/>
            <w:tcBorders/>
            <w:shd w:fill="auto" w:val="clear"/>
            <w:vAlign w:val="bottom"/>
          </w:tcPr>
          <w:p>
            <w:pPr>
              <w:pStyle w:val="TableContents"/>
              <w:spacing w:before="0" w:after="283"/>
              <w:jc w:val="right"/>
              <w:rPr/>
            </w:pPr>
            <w:r>
              <w:rPr/>
              <w:t> </w:t>
            </w:r>
          </w:p>
        </w:tc>
        <w:tc>
          <w:tcPr>
            <w:tcW w:w="5770" w:type="dxa"/>
            <w:gridSpan w:val="2"/>
            <w:tcBorders/>
            <w:shd w:fill="auto" w:val="clear"/>
            <w:vAlign w:val="bottom"/>
          </w:tcPr>
          <w:p>
            <w:pPr>
              <w:pStyle w:val="TableContents"/>
              <w:spacing w:before="0" w:after="283"/>
              <w:rPr/>
            </w:pPr>
            <w:r>
              <w:rPr>
                <w:rFonts w:ascii="serif" w:hAnsi="serif"/>
                <w:u w:val="single"/>
              </w:rPr>
              <w:t>/s/ David M. Cote</w:t>
            </w:r>
            <w:r>
              <w:rPr/>
              <w:t xml:space="preserve"> </w:t>
            </w:r>
          </w:p>
        </w:tc>
      </w:tr>
      <w:tr>
        <w:trPr/>
        <w:tc>
          <w:tcPr>
            <w:tcW w:w="4435" w:type="dxa"/>
            <w:tcBorders/>
            <w:shd w:fill="auto" w:val="clear"/>
            <w:vAlign w:val="bottom"/>
          </w:tcPr>
          <w:p>
            <w:pPr>
              <w:pStyle w:val="TableContents"/>
              <w:spacing w:before="0" w:after="283"/>
              <w:jc w:val="right"/>
              <w:rPr/>
            </w:pPr>
            <w:r>
              <w:rPr/>
              <w:t> </w:t>
            </w:r>
          </w:p>
        </w:tc>
        <w:tc>
          <w:tcPr>
            <w:tcW w:w="379" w:type="dxa"/>
            <w:tcBorders/>
            <w:shd w:fill="auto" w:val="clear"/>
            <w:vAlign w:val="bottom"/>
          </w:tcPr>
          <w:p>
            <w:pPr>
              <w:pStyle w:val="TableContents"/>
              <w:spacing w:before="0" w:after="283"/>
              <w:rPr/>
            </w:pPr>
            <w:r>
              <w:rPr>
                <w:rFonts w:ascii="serif" w:hAnsi="serif"/>
              </w:rPr>
              <w:t>By:</w:t>
            </w:r>
            <w:r>
              <w:rPr/>
              <w:t xml:space="preserve">  </w:t>
            </w:r>
          </w:p>
        </w:tc>
        <w:tc>
          <w:tcPr>
            <w:tcW w:w="5391" w:type="dxa"/>
            <w:tcBorders/>
            <w:shd w:fill="auto" w:val="clear"/>
            <w:vAlign w:val="bottom"/>
          </w:tcPr>
          <w:p>
            <w:pPr>
              <w:pStyle w:val="TableContents"/>
              <w:spacing w:before="0" w:after="283"/>
              <w:jc w:val="left"/>
              <w:rPr/>
            </w:pPr>
            <w:r>
              <w:rPr>
                <w:rFonts w:ascii="serif" w:hAnsi="serif"/>
              </w:rPr>
              <w:t>David M. Cote</w:t>
            </w:r>
            <w:r>
              <w:rPr/>
              <w:t xml:space="preserve">  </w:t>
            </w:r>
          </w:p>
        </w:tc>
      </w:tr>
      <w:tr>
        <w:trPr/>
        <w:tc>
          <w:tcPr>
            <w:tcW w:w="4435" w:type="dxa"/>
            <w:tcBorders/>
            <w:shd w:fill="auto" w:val="clear"/>
            <w:vAlign w:val="bottom"/>
          </w:tcPr>
          <w:p>
            <w:pPr>
              <w:pStyle w:val="TableContents"/>
              <w:spacing w:before="0" w:after="283"/>
              <w:jc w:val="left"/>
              <w:rPr/>
            </w:pPr>
            <w:r>
              <w:rPr/>
              <w:t xml:space="preserve">  </w:t>
            </w:r>
          </w:p>
        </w:tc>
        <w:tc>
          <w:tcPr>
            <w:tcW w:w="379" w:type="dxa"/>
            <w:tcBorders/>
            <w:shd w:fill="auto" w:val="clear"/>
            <w:vAlign w:val="bottom"/>
          </w:tcPr>
          <w:p>
            <w:pPr>
              <w:pStyle w:val="TableContents"/>
              <w:spacing w:before="0" w:after="283"/>
              <w:rPr/>
            </w:pPr>
            <w:r>
              <w:rPr/>
              <w:t xml:space="preserve">  </w:t>
            </w:r>
          </w:p>
        </w:tc>
        <w:tc>
          <w:tcPr>
            <w:tcW w:w="5391" w:type="dxa"/>
            <w:tcBorders/>
            <w:shd w:fill="auto" w:val="clear"/>
            <w:vAlign w:val="bottom"/>
          </w:tcPr>
          <w:p>
            <w:pPr>
              <w:pStyle w:val="TableContents"/>
              <w:spacing w:before="0" w:after="283"/>
              <w:jc w:val="left"/>
              <w:rPr/>
            </w:pPr>
            <w:r>
              <w:rPr>
                <w:rFonts w:ascii="serif" w:hAnsi="serif"/>
              </w:rPr>
              <w:t>Chairman of the Board and</w:t>
            </w:r>
            <w:r>
              <w:rPr/>
              <w:t xml:space="preserve">  </w:t>
            </w:r>
          </w:p>
        </w:tc>
      </w:tr>
      <w:tr>
        <w:trPr/>
        <w:tc>
          <w:tcPr>
            <w:tcW w:w="4435" w:type="dxa"/>
            <w:tcBorders/>
            <w:shd w:fill="auto" w:val="clear"/>
            <w:vAlign w:val="bottom"/>
          </w:tcPr>
          <w:p>
            <w:pPr>
              <w:pStyle w:val="TableContents"/>
              <w:spacing w:before="0" w:after="283"/>
              <w:jc w:val="left"/>
              <w:rPr/>
            </w:pPr>
            <w:r>
              <w:rPr/>
              <w:t xml:space="preserve">  </w:t>
            </w:r>
          </w:p>
        </w:tc>
        <w:tc>
          <w:tcPr>
            <w:tcW w:w="379" w:type="dxa"/>
            <w:tcBorders/>
            <w:shd w:fill="auto" w:val="clear"/>
            <w:vAlign w:val="bottom"/>
          </w:tcPr>
          <w:p>
            <w:pPr>
              <w:pStyle w:val="TableContents"/>
              <w:spacing w:before="0" w:after="283"/>
              <w:rPr/>
            </w:pPr>
            <w:r>
              <w:rPr/>
              <w:t xml:space="preserve">  </w:t>
            </w:r>
          </w:p>
        </w:tc>
        <w:tc>
          <w:tcPr>
            <w:tcW w:w="5391" w:type="dxa"/>
            <w:tcBorders/>
            <w:shd w:fill="auto" w:val="clear"/>
            <w:vAlign w:val="bottom"/>
          </w:tcPr>
          <w:p>
            <w:pPr>
              <w:pStyle w:val="TableContents"/>
              <w:spacing w:before="0" w:after="283"/>
              <w:jc w:val="left"/>
              <w:rPr/>
            </w:pPr>
            <w:r>
              <w:rPr>
                <w:rFonts w:ascii="serif" w:hAnsi="serif"/>
              </w:rPr>
              <w:t>Chief Executive Officer</w:t>
            </w:r>
            <w:r>
              <w:rPr/>
              <w:t xml:space="preserve">  </w:t>
            </w:r>
          </w:p>
        </w:tc>
      </w:tr>
    </w:tbl>
    <w:p>
      <w:pPr>
        <w:pStyle w:val="TextBody"/>
        <w:rPr/>
      </w:pPr>
      <w:r>
        <w:rPr/>
      </w:r>
    </w:p>
    <w:p>
      <w:pPr>
        <w:pStyle w:val="TextBody"/>
        <w:jc w:val="center"/>
        <w:rPr>
          <w:rFonts w:ascii="serif" w:hAnsi="serif"/>
          <w:sz w:val="20"/>
        </w:rPr>
      </w:pPr>
      <w:r>
        <w:rPr>
          <w:rFonts w:ascii="serif" w:hAnsi="serif"/>
          <w:sz w:val="20"/>
        </w:rPr>
        <w:t>7</w:t>
      </w:r>
    </w:p>
    <w:p>
      <w:pPr>
        <w:pStyle w:val="HorizontalLine"/>
        <w:pBdr>
          <w:bottom w:val="single" w:sz="24" w:space="0" w:color="808080"/>
        </w:pBdr>
        <w:rPr/>
      </w:pPr>
      <w:r>
        <w:rPr/>
      </w:r>
      <w:r>
        <w:br w:type="page"/>
      </w:r>
    </w:p>
    <w:p>
      <w:pPr>
        <w:pStyle w:val="TextBody"/>
        <w:jc w:val="right"/>
        <w:rPr>
          <w:rFonts w:ascii="serif" w:hAnsi="serif"/>
          <w:u w:val="single"/>
        </w:rPr>
      </w:pPr>
      <w:bookmarkStart w:id="74" w:name="page_15"/>
      <w:bookmarkStart w:id="75" w:name="c44492_ex10-28.htm"/>
      <w:bookmarkStart w:id="76" w:name="ksc44492_ex1028"/>
      <w:bookmarkEnd w:id="74"/>
      <w:bookmarkEnd w:id="75"/>
      <w:bookmarkEnd w:id="76"/>
      <w:r>
        <w:rPr>
          <w:rFonts w:ascii="serif" w:hAnsi="serif"/>
          <w:u w:val="single"/>
        </w:rPr>
        <w:t>Exhibit 10.28</w:t>
      </w:r>
    </w:p>
    <w:p>
      <w:pPr>
        <w:pStyle w:val="TextBody"/>
        <w:jc w:val="center"/>
        <w:rPr/>
      </w:pPr>
      <w:r>
        <w:rPr/>
        <w:t>     </w:t>
      </w:r>
      <w:r>
        <w:rPr>
          <w:rFonts w:ascii="serif" w:hAnsi="serif"/>
          <w:b/>
        </w:rPr>
        <w:t>2006 Stock Incentive Plan</w:t>
        <w:br/>
        <w:t>of Honeywell International Inc. and Its Affiliates</w:t>
      </w:r>
    </w:p>
    <w:p>
      <w:pPr>
        <w:pStyle w:val="TextBody"/>
        <w:jc w:val="center"/>
        <w:rPr/>
      </w:pPr>
      <w:r>
        <w:rPr>
          <w:rFonts w:ascii="serif" w:hAnsi="serif"/>
          <w:b/>
        </w:rPr>
        <w:t>R</w:t>
      </w:r>
      <w:r>
        <w:rPr>
          <w:rFonts w:ascii="serif" w:hAnsi="serif"/>
          <w:b/>
          <w:sz w:val="20"/>
        </w:rPr>
        <w:t xml:space="preserve">ESTRICTED </w:t>
      </w:r>
      <w:r>
        <w:rPr>
          <w:rFonts w:ascii="serif" w:hAnsi="serif"/>
          <w:b/>
        </w:rPr>
        <w:t>U</w:t>
      </w:r>
      <w:r>
        <w:rPr>
          <w:rFonts w:ascii="serif" w:hAnsi="serif"/>
          <w:b/>
          <w:sz w:val="20"/>
        </w:rPr>
        <w:t xml:space="preserve">NIT </w:t>
      </w:r>
      <w:r>
        <w:rPr>
          <w:rFonts w:ascii="serif" w:hAnsi="serif"/>
          <w:b/>
        </w:rPr>
        <w:t>A</w:t>
      </w:r>
      <w:r>
        <w:rPr>
          <w:rFonts w:ascii="serif" w:hAnsi="serif"/>
          <w:b/>
          <w:sz w:val="20"/>
        </w:rPr>
        <w:t>GREEMENT</w:t>
      </w:r>
    </w:p>
    <w:p>
      <w:pPr>
        <w:pStyle w:val="TextBody"/>
        <w:rPr/>
      </w:pPr>
      <w:r>
        <w:rPr/>
        <w:t>     </w:t>
      </w:r>
      <w:r>
        <w:rPr>
          <w:rFonts w:ascii="serif" w:hAnsi="serif"/>
        </w:rPr>
        <w:t>RESTRICTED UNIT AGREEMENT made in Morris Township, New Jersey, as of the [DAY]</w:t>
      </w:r>
      <w:r>
        <w:rPr/>
        <w:t xml:space="preserve"> </w:t>
      </w:r>
      <w:r>
        <w:rPr>
          <w:rFonts w:ascii="serif" w:hAnsi="serif"/>
        </w:rPr>
        <w:t xml:space="preserve">day of [MONTH, YEAR] (the Date of Grant), between Honeywell International Inc. (the Company) and [EMPLOYEE NAME] (the Employee). </w:t>
      </w:r>
    </w:p>
    <w:tbl>
      <w:tblPr>
        <w:tblW w:w="10205" w:type="dxa"/>
        <w:jc w:val="left"/>
        <w:tblInd w:w="0" w:type="dxa"/>
        <w:tblCellMar>
          <w:top w:w="0" w:type="dxa"/>
          <w:left w:w="0" w:type="dxa"/>
          <w:bottom w:w="0" w:type="dxa"/>
          <w:right w:w="0" w:type="dxa"/>
        </w:tblCellMar>
      </w:tblPr>
      <w:tblGrid>
        <w:gridCol w:w="635"/>
        <w:gridCol w:w="9570"/>
      </w:tblGrid>
      <w:tr>
        <w:trPr/>
        <w:tc>
          <w:tcPr>
            <w:tcW w:w="635" w:type="dxa"/>
            <w:tcBorders/>
            <w:shd w:fill="auto" w:val="clear"/>
          </w:tcPr>
          <w:p>
            <w:pPr>
              <w:pStyle w:val="TableContents"/>
              <w:spacing w:before="0" w:after="283"/>
              <w:rPr/>
            </w:pPr>
            <w:r>
              <w:rPr>
                <w:rFonts w:ascii="serif" w:hAnsi="serif"/>
                <w:b/>
              </w:rPr>
              <w:t>1.</w:t>
            </w:r>
            <w:r>
              <w:rPr/>
              <w:t xml:space="preserve">      </w:t>
            </w:r>
          </w:p>
        </w:tc>
        <w:tc>
          <w:tcPr>
            <w:tcW w:w="9570" w:type="dxa"/>
            <w:tcBorders/>
            <w:shd w:fill="auto" w:val="clear"/>
            <w:vAlign w:val="center"/>
          </w:tcPr>
          <w:p>
            <w:pPr>
              <w:pStyle w:val="TableContents"/>
              <w:spacing w:before="0" w:after="283"/>
              <w:rPr/>
            </w:pPr>
            <w:r>
              <w:rPr>
                <w:rFonts w:ascii="serif" w:hAnsi="serif"/>
                <w:b/>
              </w:rPr>
              <w:t xml:space="preserve">Grant of Award. </w:t>
            </w:r>
            <w:r>
              <w:rPr>
                <w:rFonts w:ascii="serif" w:hAnsi="serif"/>
              </w:rPr>
              <w:t>The Company has granted you [NUMBER] Restricted Units, subject to the provisions of this Agreement and the 2006 Stock Incentive Plan for Employees of Honeywell International Inc. and its Affiliates (the Plan). The Company will hold the Restricted Units in a bookkeeping account on your behalf until they become payable or are forfeited or cancelled.</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2.</w:t>
            </w:r>
            <w:r>
              <w:rPr/>
              <w:t xml:space="preserve">      </w:t>
            </w:r>
          </w:p>
        </w:tc>
        <w:tc>
          <w:tcPr>
            <w:tcW w:w="9570" w:type="dxa"/>
            <w:tcBorders/>
            <w:shd w:fill="auto" w:val="clear"/>
            <w:vAlign w:val="center"/>
          </w:tcPr>
          <w:p>
            <w:pPr>
              <w:pStyle w:val="TableContents"/>
              <w:spacing w:before="0" w:after="283"/>
              <w:rPr/>
            </w:pPr>
            <w:r>
              <w:rPr>
                <w:rFonts w:ascii="serif" w:hAnsi="serif"/>
                <w:b/>
              </w:rPr>
              <w:t xml:space="preserve">Payment Amount. </w:t>
            </w:r>
            <w:r>
              <w:rPr>
                <w:rFonts w:ascii="serif" w:hAnsi="serif"/>
              </w:rPr>
              <w:t>Each Restricted Unit represents one (1) Share of Common Stock.</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3.</w:t>
            </w:r>
            <w:r>
              <w:rPr/>
              <w:t xml:space="preserve">      </w:t>
            </w:r>
          </w:p>
        </w:tc>
        <w:tc>
          <w:tcPr>
            <w:tcW w:w="9570" w:type="dxa"/>
            <w:tcBorders/>
            <w:shd w:fill="auto" w:val="clear"/>
            <w:vAlign w:val="center"/>
          </w:tcPr>
          <w:p>
            <w:pPr>
              <w:pStyle w:val="TableContents"/>
              <w:spacing w:before="0" w:after="283"/>
              <w:rPr/>
            </w:pPr>
            <w:r>
              <w:rPr>
                <w:rFonts w:ascii="serif" w:hAnsi="serif"/>
                <w:b/>
              </w:rPr>
              <w:t xml:space="preserve">Vesting. </w:t>
            </w:r>
            <w:r>
              <w:rPr>
                <w:rFonts w:ascii="serif" w:hAnsi="serif"/>
              </w:rPr>
              <w:t>Except in the event of your Full Retirement, death, Disability, or a Change in Control, or as otherwise provided in this Agreement, the restrictions on the Restricted Units will lapse on [VESTING PROVISIONS CONSISTENT WITH THE PLAN]. Your vested right will be calculated on the earliest of (a) [VESTING DATE(S)], (b) your Termination of Employment, or (c) the occurrence of a Change in Control. No partial credit will be given for partial years of employment.</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4.</w:t>
            </w:r>
            <w:r>
              <w:rPr/>
              <w:t xml:space="preserve">      </w:t>
            </w:r>
          </w:p>
        </w:tc>
        <w:tc>
          <w:tcPr>
            <w:tcW w:w="9570" w:type="dxa"/>
            <w:tcBorders/>
            <w:shd w:fill="auto" w:val="clear"/>
            <w:vAlign w:val="center"/>
          </w:tcPr>
          <w:p>
            <w:pPr>
              <w:pStyle w:val="TableContents"/>
              <w:spacing w:before="0" w:after="283"/>
              <w:rPr/>
            </w:pPr>
            <w:r>
              <w:rPr>
                <w:rFonts w:ascii="serif" w:hAnsi="serif"/>
                <w:b/>
              </w:rPr>
              <w:t xml:space="preserve">Form and Timing of Payment. </w:t>
            </w:r>
            <w:r>
              <w:rPr>
                <w:rFonts w:ascii="serif" w:hAnsi="serif"/>
              </w:rPr>
              <w:t>Vested Restricted Units will be redeemed solely for Shares. [FOLLOWING INCLUDED AT COMMITTEES DISCRETION: Except as otherwise determined by the Management Development and Compensation Committee (the Committee), in its sole discretion, Dividend Equivalents will always be paid in cash.] Payment on Restricted Units [and Dividend Equivalents (and earnings thereon)] will be made as soon as practicable following the lapse of the restrictions on the Restricted Units but in no event later than two and one-half (2-1/2) months following the end of the calendar year in which the restrictions lapse. [FOLLOWING INCLUDED AT COMMITTEES DISCRETION: You cannot defer payment of the Restricted Units or Dividend Equivalents (or earnings thereon).]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5.</w:t>
            </w:r>
            <w:r>
              <w:rPr/>
              <w:t xml:space="preserve">      </w:t>
            </w:r>
          </w:p>
        </w:tc>
        <w:tc>
          <w:tcPr>
            <w:tcW w:w="9570" w:type="dxa"/>
            <w:tcBorders/>
            <w:shd w:fill="auto" w:val="clear"/>
            <w:vAlign w:val="center"/>
          </w:tcPr>
          <w:p>
            <w:pPr>
              <w:pStyle w:val="TableContents"/>
              <w:spacing w:before="0" w:after="283"/>
              <w:rPr/>
            </w:pPr>
            <w:r>
              <w:rPr>
                <w:rFonts w:ascii="serif" w:hAnsi="serif"/>
              </w:rPr>
              <w:t xml:space="preserve">[FOLLOWING INCLUDED AT COMMITTEES DISCRETION: </w:t>
            </w:r>
            <w:r>
              <w:rPr>
                <w:rFonts w:ascii="serif" w:hAnsi="serif"/>
                <w:b/>
              </w:rPr>
              <w:t>Dividend</w:t>
            </w:r>
            <w:r>
              <w:rPr/>
              <w:t xml:space="preserve"> </w:t>
            </w:r>
            <w:r>
              <w:rPr>
                <w:rFonts w:ascii="serif" w:hAnsi="serif"/>
                <w:b/>
              </w:rPr>
              <w:t xml:space="preserve">Equivalents. </w:t>
            </w:r>
            <w:r>
              <w:rPr>
                <w:rFonts w:ascii="serif" w:hAnsi="serif"/>
              </w:rPr>
              <w:t>Except as otherwise determined by the Committee, in its sole discretion, you will accrue Dividend Equivalents in an amount equal to the value of any cash or</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pPr>
            <w:r>
              <w:rPr/>
              <w:t> </w:t>
            </w:r>
          </w:p>
        </w:tc>
        <w:tc>
          <w:tcPr>
            <w:tcW w:w="9570" w:type="dxa"/>
            <w:tcBorders/>
            <w:shd w:fill="auto" w:val="clear"/>
            <w:vAlign w:val="center"/>
          </w:tcPr>
          <w:p>
            <w:pPr>
              <w:pStyle w:val="TableContents"/>
              <w:spacing w:before="0" w:after="283"/>
              <w:rPr/>
            </w:pPr>
            <w:r>
              <w:rPr/>
              <w:t> </w:t>
            </w:r>
          </w:p>
        </w:tc>
      </w:tr>
      <w:tr>
        <w:trPr/>
        <w:tc>
          <w:tcPr>
            <w:tcW w:w="10205" w:type="dxa"/>
            <w:gridSpan w:val="2"/>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77" w:name="page_24"/>
      <w:bookmarkStart w:id="78" w:name="page_24"/>
      <w:bookmarkEnd w:id="78"/>
    </w:p>
    <w:tbl>
      <w:tblPr>
        <w:tblW w:w="10205" w:type="dxa"/>
        <w:jc w:val="left"/>
        <w:tblInd w:w="0" w:type="dxa"/>
        <w:tblCellMar>
          <w:top w:w="0" w:type="dxa"/>
          <w:left w:w="0" w:type="dxa"/>
          <w:bottom w:w="0" w:type="dxa"/>
          <w:right w:w="0" w:type="dxa"/>
        </w:tblCellMar>
      </w:tblPr>
      <w:tblGrid>
        <w:gridCol w:w="635"/>
        <w:gridCol w:w="9570"/>
      </w:tblGrid>
      <w:tr>
        <w:trPr/>
        <w:tc>
          <w:tcPr>
            <w:tcW w:w="635" w:type="dxa"/>
            <w:tcBorders/>
            <w:shd w:fill="auto" w:val="clear"/>
            <w:vAlign w:val="center"/>
          </w:tcPr>
          <w:p>
            <w:pPr>
              <w:pStyle w:val="TableContents"/>
              <w:spacing w:before="0" w:after="283"/>
              <w:rPr/>
            </w:pPr>
            <w:r>
              <w:rPr/>
              <w:t> </w:t>
            </w:r>
          </w:p>
        </w:tc>
        <w:tc>
          <w:tcPr>
            <w:tcW w:w="9570" w:type="dxa"/>
            <w:tcBorders/>
            <w:shd w:fill="auto" w:val="clear"/>
            <w:vAlign w:val="center"/>
          </w:tcPr>
          <w:p>
            <w:pPr>
              <w:pStyle w:val="TableContents"/>
              <w:spacing w:before="0" w:after="283"/>
              <w:rPr/>
            </w:pPr>
            <w:r>
              <w:rPr>
                <w:rFonts w:ascii="serif" w:hAnsi="serif"/>
              </w:rPr>
              <w:t>stock dividends paid by the Company upon one Share of Common Stock for each Restricted Unit credited to your bookkeeping account. Accrued Dividend Equivalents will be subject to the same forfeiture and transferability restrictions that apply to the Restricted Units to which they relate. The Company will hold a accrued Dividend Equivalents (and earnings thereon) in a bookkeeping account on your behalf until they become payable or are forfeited. Accrued Dividend Equivalents will earn, for the relevant year, the same rate of interest credited to deferrals under the Salary and Incentive Award Deferral Plan for Selected Employees of Honeywell International Inc. and its Affiliates. For 2007, the rate is 5.8% and is subject to change annually.]</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6.</w:t>
            </w:r>
            <w:r>
              <w:rPr/>
              <w:t xml:space="preserve">      </w:t>
            </w:r>
          </w:p>
        </w:tc>
        <w:tc>
          <w:tcPr>
            <w:tcW w:w="9570" w:type="dxa"/>
            <w:tcBorders/>
            <w:shd w:fill="auto" w:val="clear"/>
            <w:vAlign w:val="center"/>
          </w:tcPr>
          <w:p>
            <w:pPr>
              <w:pStyle w:val="TableContents"/>
              <w:spacing w:before="0" w:after="283"/>
              <w:rPr/>
            </w:pPr>
            <w:r>
              <w:rPr>
                <w:rFonts w:ascii="serif" w:hAnsi="serif"/>
              </w:rPr>
              <w:t xml:space="preserve">[FOLLOWING INCLUDED AT COMMITTEES DISCRETION: </w:t>
            </w:r>
            <w:r>
              <w:rPr>
                <w:rFonts w:ascii="serif" w:hAnsi="serif"/>
                <w:b/>
              </w:rPr>
              <w:t xml:space="preserve">Deferral of Payment. </w:t>
            </w:r>
            <w:r>
              <w:rPr>
                <w:rFonts w:ascii="serif" w:hAnsi="serif"/>
              </w:rPr>
              <w:t>If you would like to defer payment on the Restricted Units, you may make a request to the Committee in writing in the form and at the time designated by the Committee. You must submit a suggested payment schedule with the request for deferral. The Committee may, in its sole discretion, determine whether to permit deferral of payment in the manner requested. If the Committee does not accept your proposed payment schedule, then payment will be made as provided in Section 4. You cannot defer payment of Dividend Equivalents (or earnings thereon).]</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7.</w:t>
            </w:r>
            <w:r>
              <w:rPr/>
              <w:t xml:space="preserve">      </w:t>
            </w:r>
          </w:p>
        </w:tc>
        <w:tc>
          <w:tcPr>
            <w:tcW w:w="9570" w:type="dxa"/>
            <w:tcBorders/>
            <w:shd w:fill="auto" w:val="clear"/>
            <w:vAlign w:val="center"/>
          </w:tcPr>
          <w:p>
            <w:pPr>
              <w:pStyle w:val="TableContents"/>
              <w:spacing w:before="0" w:after="283"/>
              <w:rPr/>
            </w:pPr>
            <w:r>
              <w:rPr>
                <w:rFonts w:ascii="serif" w:hAnsi="serif"/>
                <w:b/>
              </w:rPr>
              <w:t xml:space="preserve">Termination of Employment. </w:t>
            </w:r>
            <w:r>
              <w:rPr>
                <w:rFonts w:ascii="serif" w:hAnsi="serif"/>
              </w:rPr>
              <w:t>Any Restricted Units [or accrued Dividend Equivalents (and earnings thereon)] that have not vested as of your Termination of Employment, other than by reason of your Full Retirement, death or Disability, or a Change in Control, will immediately be forfeited, and your rights with respect to these Restricted Units [and accrued Dividend Equivalents (and earnings thereon)] will end. For purposes of this Agreement, if your employment is terminated under circumstances that entitle you to severance benefits under a severance plan of the Company or an Affiliate in which you participate, Termination of Employment refers to the date immediately prior to the date severance benefits become payable under the terms of the severance plan. If your employment is terminated under any other circumstances and you are not entitled to severance benefits under a severance plan of the Company or an Affiliate, Termination of Employment refers to the last day you actively perform services for the Company and its Affiliates.</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tcPr>
          <w:p>
            <w:pPr>
              <w:pStyle w:val="TableContents"/>
              <w:spacing w:before="0" w:after="283"/>
              <w:rPr/>
            </w:pPr>
            <w:r>
              <w:rPr>
                <w:rFonts w:ascii="serif" w:hAnsi="serif"/>
                <w:b/>
              </w:rPr>
              <w:t>8.</w:t>
            </w:r>
            <w:r>
              <w:rPr/>
              <w:t xml:space="preserve">      </w:t>
            </w:r>
          </w:p>
        </w:tc>
        <w:tc>
          <w:tcPr>
            <w:tcW w:w="9570" w:type="dxa"/>
            <w:tcBorders/>
            <w:shd w:fill="auto" w:val="clear"/>
            <w:vAlign w:val="center"/>
          </w:tcPr>
          <w:p>
            <w:pPr>
              <w:pStyle w:val="TableContents"/>
              <w:spacing w:before="0" w:after="283"/>
              <w:rPr/>
            </w:pPr>
            <w:r>
              <w:rPr>
                <w:rFonts w:ascii="serif" w:hAnsi="serif"/>
                <w:b/>
              </w:rPr>
              <w:t xml:space="preserve">Retirement, Death or Disability. </w:t>
            </w:r>
            <w:r>
              <w:rPr>
                <w:rFonts w:ascii="serif" w:hAnsi="serif"/>
              </w:rPr>
              <w:t>If your Termination of Employment occurs because of your death or Disability, any remaining restrictions on Restricted Units [and accrued Dividend Equivalents (and earnings thereon)] will lapse, and payment will be made in accordance with Section 4. If you are deceased, the Company will make a payment to your estate only after the Committee has determined that the payee is the duly appointed executor or administrator of your estate.</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pPr>
            <w:r>
              <w:rPr/>
              <w:t> </w:t>
            </w:r>
          </w:p>
        </w:tc>
        <w:tc>
          <w:tcPr>
            <w:tcW w:w="9570" w:type="dxa"/>
            <w:tcBorders/>
            <w:shd w:fill="auto" w:val="clear"/>
            <w:vAlign w:val="center"/>
          </w:tcPr>
          <w:p>
            <w:pPr>
              <w:pStyle w:val="TableContents"/>
              <w:spacing w:before="0" w:after="283"/>
              <w:rPr/>
            </w:pPr>
            <w:r>
              <w:rPr>
                <w:rFonts w:ascii="serif" w:hAnsi="serif"/>
              </w:rPr>
              <w:t>If your Termination of Employment occurs solely because of your Full Retirement, you will receive (a) [plus (b)], where (a) [and (b)] equal[s] the following:</w:t>
            </w:r>
            <w:r>
              <w:rPr/>
              <w:t xml:space="preserve"> </w:t>
            </w:r>
          </w:p>
        </w:tc>
      </w:tr>
      <w:tr>
        <w:trPr/>
        <w:tc>
          <w:tcPr>
            <w:tcW w:w="10205" w:type="dxa"/>
            <w:gridSpan w:val="2"/>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pPr>
            <w:r>
              <w:rPr/>
              <w:t> </w:t>
            </w:r>
          </w:p>
        </w:tc>
        <w:tc>
          <w:tcPr>
            <w:tcW w:w="9570" w:type="dxa"/>
            <w:tcBorders/>
            <w:shd w:fill="auto" w:val="clear"/>
            <w:vAlign w:val="center"/>
          </w:tcPr>
          <w:p>
            <w:pPr>
              <w:pStyle w:val="TableContents"/>
              <w:spacing w:before="0" w:after="283"/>
              <w:rPr/>
            </w:pPr>
            <w:r>
              <w:rPr>
                <w:rFonts w:ascii="serif" w:hAnsi="serif"/>
              </w:rPr>
              <w:t>(a) a pro-rata payment of Restricted Units equal to (i) times (ii), where:</w:t>
            </w:r>
            <w:r>
              <w:rPr/>
              <w:t xml:space="preserve"> </w:t>
            </w:r>
          </w:p>
        </w:tc>
      </w:tr>
      <w:tr>
        <w:trPr/>
        <w:tc>
          <w:tcPr>
            <w:tcW w:w="10205" w:type="dxa"/>
            <w:gridSpan w:val="2"/>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79" w:name="page_34"/>
      <w:bookmarkStart w:id="80" w:name="page_34"/>
      <w:bookmarkEnd w:id="80"/>
    </w:p>
    <w:tbl>
      <w:tblPr>
        <w:tblW w:w="10205" w:type="dxa"/>
        <w:jc w:val="left"/>
        <w:tblInd w:w="0" w:type="dxa"/>
        <w:tblCellMar>
          <w:top w:w="0" w:type="dxa"/>
          <w:left w:w="0" w:type="dxa"/>
          <w:bottom w:w="0" w:type="dxa"/>
          <w:right w:w="0" w:type="dxa"/>
        </w:tblCellMar>
      </w:tblPr>
      <w:tblGrid>
        <w:gridCol w:w="800"/>
        <w:gridCol w:w="844"/>
        <w:gridCol w:w="415"/>
        <w:gridCol w:w="8146"/>
      </w:tblGrid>
      <w:tr>
        <w:trPr/>
        <w:tc>
          <w:tcPr>
            <w:tcW w:w="800" w:type="dxa"/>
            <w:tcBorders/>
            <w:shd w:fill="auto" w:val="clear"/>
          </w:tcPr>
          <w:p>
            <w:pPr>
              <w:pStyle w:val="TableContents"/>
              <w:spacing w:before="0" w:after="283"/>
              <w:rPr/>
            </w:pPr>
            <w:r>
              <w:rPr/>
              <w:t> </w:t>
            </w:r>
          </w:p>
        </w:tc>
        <w:tc>
          <w:tcPr>
            <w:tcW w:w="844" w:type="dxa"/>
            <w:tcBorders/>
            <w:shd w:fill="auto" w:val="clear"/>
            <w:vAlign w:val="center"/>
          </w:tcPr>
          <w:p>
            <w:pPr>
              <w:pStyle w:val="TableContents"/>
              <w:spacing w:before="0" w:after="283"/>
              <w:rPr/>
            </w:pPr>
            <w:r>
              <w:rPr/>
              <w:t> </w:t>
            </w:r>
          </w:p>
        </w:tc>
        <w:tc>
          <w:tcPr>
            <w:tcW w:w="8561"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844" w:type="dxa"/>
            <w:tcBorders/>
            <w:shd w:fill="auto" w:val="clear"/>
          </w:tcPr>
          <w:p>
            <w:pPr>
              <w:pStyle w:val="TableContents"/>
              <w:spacing w:before="0" w:after="283"/>
              <w:rPr/>
            </w:pPr>
            <w:r>
              <w:rPr/>
              <w:t> </w:t>
            </w:r>
          </w:p>
        </w:tc>
        <w:tc>
          <w:tcPr>
            <w:tcW w:w="415" w:type="dxa"/>
            <w:tcBorders/>
            <w:shd w:fill="auto" w:val="clear"/>
          </w:tcPr>
          <w:p>
            <w:pPr>
              <w:pStyle w:val="TableContents"/>
              <w:spacing w:before="0" w:after="283"/>
              <w:rPr/>
            </w:pPr>
            <w:r>
              <w:rPr>
                <w:rFonts w:ascii="serif" w:hAnsi="serif"/>
              </w:rPr>
              <w:t>i.</w:t>
            </w:r>
            <w:r>
              <w:rPr/>
              <w:t> </w:t>
            </w:r>
          </w:p>
        </w:tc>
        <w:tc>
          <w:tcPr>
            <w:tcW w:w="8146" w:type="dxa"/>
            <w:tcBorders/>
            <w:shd w:fill="auto" w:val="clear"/>
          </w:tcPr>
          <w:p>
            <w:pPr>
              <w:pStyle w:val="TableContents"/>
              <w:spacing w:before="0" w:after="283"/>
              <w:rPr>
                <w:rFonts w:ascii="serif" w:hAnsi="serif"/>
              </w:rPr>
            </w:pPr>
            <w:r>
              <w:rPr>
                <w:rFonts w:ascii="serif" w:hAnsi="serif"/>
              </w:rPr>
              <w:t>equals the number of Restricted Units set forth in Section 1 above, and</w:t>
            </w:r>
          </w:p>
        </w:tc>
      </w:tr>
      <w:tr>
        <w:trPr/>
        <w:tc>
          <w:tcPr>
            <w:tcW w:w="800" w:type="dxa"/>
            <w:tcBorders/>
            <w:shd w:fill="auto" w:val="clear"/>
          </w:tcPr>
          <w:p>
            <w:pPr>
              <w:pStyle w:val="TableContents"/>
              <w:spacing w:before="0" w:after="283"/>
              <w:rPr/>
            </w:pPr>
            <w:r>
              <w:rPr/>
              <w:t> </w:t>
            </w:r>
          </w:p>
        </w:tc>
        <w:tc>
          <w:tcPr>
            <w:tcW w:w="844" w:type="dxa"/>
            <w:tcBorders/>
            <w:shd w:fill="auto" w:val="clear"/>
            <w:vAlign w:val="center"/>
          </w:tcPr>
          <w:p>
            <w:pPr>
              <w:pStyle w:val="TableContents"/>
              <w:spacing w:before="0" w:after="283"/>
              <w:rPr/>
            </w:pPr>
            <w:r>
              <w:rPr/>
              <w:t> </w:t>
            </w:r>
          </w:p>
        </w:tc>
        <w:tc>
          <w:tcPr>
            <w:tcW w:w="8561"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844" w:type="dxa"/>
            <w:tcBorders/>
            <w:shd w:fill="auto" w:val="clear"/>
          </w:tcPr>
          <w:p>
            <w:pPr>
              <w:pStyle w:val="TableContents"/>
              <w:spacing w:before="0" w:after="283"/>
              <w:rPr/>
            </w:pPr>
            <w:r>
              <w:rPr/>
              <w:t> </w:t>
            </w:r>
          </w:p>
        </w:tc>
        <w:tc>
          <w:tcPr>
            <w:tcW w:w="415" w:type="dxa"/>
            <w:tcBorders/>
            <w:shd w:fill="auto" w:val="clear"/>
          </w:tcPr>
          <w:p>
            <w:pPr>
              <w:pStyle w:val="TableContents"/>
              <w:spacing w:before="0" w:after="283"/>
              <w:rPr>
                <w:rFonts w:ascii="serif" w:hAnsi="serif"/>
              </w:rPr>
            </w:pPr>
            <w:r>
              <w:rPr>
                <w:rFonts w:ascii="serif" w:hAnsi="serif"/>
              </w:rPr>
              <w:t>ii.</w:t>
            </w:r>
          </w:p>
        </w:tc>
        <w:tc>
          <w:tcPr>
            <w:tcW w:w="8146" w:type="dxa"/>
            <w:tcBorders/>
            <w:shd w:fill="auto" w:val="clear"/>
          </w:tcPr>
          <w:p>
            <w:pPr>
              <w:pStyle w:val="TableContents"/>
              <w:spacing w:before="0" w:after="283"/>
              <w:rPr>
                <w:rFonts w:ascii="serif" w:hAnsi="serif"/>
              </w:rPr>
            </w:pPr>
            <w:r>
              <w:rPr>
                <w:rFonts w:ascii="serif" w:hAnsi="serif"/>
              </w:rPr>
              <w:t>equals the ratio of your complete years of service as an employee of the Company or its Affiliate between the Date of Grant and your Termination of Employment, and three (3)[, and</w:t>
            </w:r>
          </w:p>
        </w:tc>
      </w:tr>
      <w:tr>
        <w:trPr/>
        <w:tc>
          <w:tcPr>
            <w:tcW w:w="800" w:type="dxa"/>
            <w:tcBorders/>
            <w:shd w:fill="auto" w:val="clear"/>
          </w:tcPr>
          <w:p>
            <w:pPr>
              <w:pStyle w:val="TableContents"/>
              <w:spacing w:before="0" w:after="283"/>
              <w:rPr/>
            </w:pPr>
            <w:r>
              <w:rPr/>
              <w:t> </w:t>
            </w:r>
          </w:p>
        </w:tc>
        <w:tc>
          <w:tcPr>
            <w:tcW w:w="844" w:type="dxa"/>
            <w:tcBorders/>
            <w:shd w:fill="auto" w:val="clear"/>
            <w:vAlign w:val="center"/>
          </w:tcPr>
          <w:p>
            <w:pPr>
              <w:pStyle w:val="TableContents"/>
              <w:spacing w:before="0" w:after="283"/>
              <w:rPr/>
            </w:pPr>
            <w:r>
              <w:rPr/>
              <w:t> </w:t>
            </w:r>
          </w:p>
        </w:tc>
        <w:tc>
          <w:tcPr>
            <w:tcW w:w="8561"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844" w:type="dxa"/>
            <w:tcBorders/>
            <w:shd w:fill="auto" w:val="clear"/>
            <w:vAlign w:val="center"/>
          </w:tcPr>
          <w:p>
            <w:pPr>
              <w:pStyle w:val="TableContents"/>
              <w:spacing w:before="0" w:after="283"/>
              <w:rPr/>
            </w:pPr>
            <w:r>
              <w:rPr>
                <w:rFonts w:ascii="serif" w:hAnsi="serif"/>
              </w:rPr>
              <w:t>(b)</w:t>
            </w:r>
            <w:r>
              <w:rPr/>
              <w:t> </w:t>
            </w:r>
          </w:p>
        </w:tc>
        <w:tc>
          <w:tcPr>
            <w:tcW w:w="8561" w:type="dxa"/>
            <w:gridSpan w:val="2"/>
            <w:tcBorders/>
            <w:shd w:fill="auto" w:val="clear"/>
            <w:vAlign w:val="center"/>
          </w:tcPr>
          <w:p>
            <w:pPr>
              <w:pStyle w:val="TableContents"/>
              <w:spacing w:before="0" w:after="283"/>
              <w:rPr>
                <w:rFonts w:ascii="serif" w:hAnsi="serif"/>
              </w:rPr>
            </w:pPr>
            <w:r>
              <w:rPr>
                <w:rFonts w:ascii="serif" w:hAnsi="serif"/>
              </w:rPr>
              <w:t>a pro-rata payment of accrued Dividend Equivalents (and the earnings thereon) equal to (i) times (ii), where:</w:t>
            </w:r>
          </w:p>
        </w:tc>
      </w:tr>
      <w:tr>
        <w:trPr/>
        <w:tc>
          <w:tcPr>
            <w:tcW w:w="800" w:type="dxa"/>
            <w:tcBorders/>
            <w:shd w:fill="auto" w:val="clear"/>
          </w:tcPr>
          <w:p>
            <w:pPr>
              <w:pStyle w:val="TableContents"/>
              <w:spacing w:before="0" w:after="283"/>
              <w:rPr/>
            </w:pPr>
            <w:r>
              <w:rPr/>
              <w:t> </w:t>
            </w:r>
          </w:p>
        </w:tc>
        <w:tc>
          <w:tcPr>
            <w:tcW w:w="844" w:type="dxa"/>
            <w:tcBorders/>
            <w:shd w:fill="auto" w:val="clear"/>
            <w:vAlign w:val="center"/>
          </w:tcPr>
          <w:p>
            <w:pPr>
              <w:pStyle w:val="TableContents"/>
              <w:spacing w:before="0" w:after="283"/>
              <w:rPr/>
            </w:pPr>
            <w:r>
              <w:rPr/>
              <w:t> </w:t>
            </w:r>
          </w:p>
        </w:tc>
        <w:tc>
          <w:tcPr>
            <w:tcW w:w="8561"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844" w:type="dxa"/>
            <w:tcBorders/>
            <w:shd w:fill="auto" w:val="clear"/>
          </w:tcPr>
          <w:p>
            <w:pPr>
              <w:pStyle w:val="TableContents"/>
              <w:spacing w:before="0" w:after="283"/>
              <w:rPr/>
            </w:pPr>
            <w:r>
              <w:rPr/>
              <w:t> </w:t>
            </w:r>
          </w:p>
        </w:tc>
        <w:tc>
          <w:tcPr>
            <w:tcW w:w="415" w:type="dxa"/>
            <w:tcBorders/>
            <w:shd w:fill="auto" w:val="clear"/>
          </w:tcPr>
          <w:p>
            <w:pPr>
              <w:pStyle w:val="TableContents"/>
              <w:spacing w:before="0" w:after="283"/>
              <w:rPr/>
            </w:pPr>
            <w:r>
              <w:rPr>
                <w:rFonts w:ascii="serif" w:hAnsi="serif"/>
              </w:rPr>
              <w:t>i.</w:t>
            </w:r>
            <w:r>
              <w:rPr/>
              <w:t> </w:t>
            </w:r>
          </w:p>
        </w:tc>
        <w:tc>
          <w:tcPr>
            <w:tcW w:w="8146" w:type="dxa"/>
            <w:tcBorders/>
            <w:shd w:fill="auto" w:val="clear"/>
          </w:tcPr>
          <w:p>
            <w:pPr>
              <w:pStyle w:val="TableContents"/>
              <w:spacing w:before="0" w:after="283"/>
              <w:rPr>
                <w:rFonts w:ascii="serif" w:hAnsi="serif"/>
              </w:rPr>
            </w:pPr>
            <w:r>
              <w:rPr>
                <w:rFonts w:ascii="serif" w:hAnsi="serif"/>
              </w:rPr>
              <w:t>equals the value of your accrued Dividend Equivalents (and the earnings thereon) as of your Termination of Employment, and</w:t>
            </w:r>
          </w:p>
        </w:tc>
      </w:tr>
      <w:tr>
        <w:trPr/>
        <w:tc>
          <w:tcPr>
            <w:tcW w:w="800" w:type="dxa"/>
            <w:tcBorders/>
            <w:shd w:fill="auto" w:val="clear"/>
          </w:tcPr>
          <w:p>
            <w:pPr>
              <w:pStyle w:val="TableContents"/>
              <w:spacing w:before="0" w:after="283"/>
              <w:rPr/>
            </w:pPr>
            <w:r>
              <w:rPr/>
              <w:t> </w:t>
            </w:r>
          </w:p>
        </w:tc>
        <w:tc>
          <w:tcPr>
            <w:tcW w:w="844" w:type="dxa"/>
            <w:tcBorders/>
            <w:shd w:fill="auto" w:val="clear"/>
            <w:vAlign w:val="center"/>
          </w:tcPr>
          <w:p>
            <w:pPr>
              <w:pStyle w:val="TableContents"/>
              <w:spacing w:before="0" w:after="283"/>
              <w:rPr/>
            </w:pPr>
            <w:r>
              <w:rPr/>
              <w:t> </w:t>
            </w:r>
          </w:p>
        </w:tc>
        <w:tc>
          <w:tcPr>
            <w:tcW w:w="8561" w:type="dxa"/>
            <w:gridSpan w:val="2"/>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844" w:type="dxa"/>
            <w:tcBorders/>
            <w:shd w:fill="auto" w:val="clear"/>
          </w:tcPr>
          <w:p>
            <w:pPr>
              <w:pStyle w:val="TableContents"/>
              <w:spacing w:before="0" w:after="283"/>
              <w:rPr/>
            </w:pPr>
            <w:r>
              <w:rPr/>
              <w:t> </w:t>
            </w:r>
          </w:p>
        </w:tc>
        <w:tc>
          <w:tcPr>
            <w:tcW w:w="415" w:type="dxa"/>
            <w:tcBorders/>
            <w:shd w:fill="auto" w:val="clear"/>
          </w:tcPr>
          <w:p>
            <w:pPr>
              <w:pStyle w:val="TableContents"/>
              <w:spacing w:before="0" w:after="283"/>
              <w:rPr/>
            </w:pPr>
            <w:r>
              <w:rPr>
                <w:rFonts w:ascii="serif" w:hAnsi="serif"/>
              </w:rPr>
              <w:t>ii.</w:t>
            </w:r>
            <w:r>
              <w:rPr/>
              <w:t> </w:t>
            </w:r>
          </w:p>
        </w:tc>
        <w:tc>
          <w:tcPr>
            <w:tcW w:w="8146" w:type="dxa"/>
            <w:tcBorders/>
            <w:shd w:fill="auto" w:val="clear"/>
          </w:tcPr>
          <w:p>
            <w:pPr>
              <w:pStyle w:val="TableContents"/>
              <w:spacing w:before="0" w:after="283"/>
              <w:rPr>
                <w:rFonts w:ascii="serif" w:hAnsi="serif"/>
              </w:rPr>
            </w:pPr>
            <w:r>
              <w:rPr>
                <w:rFonts w:ascii="serif" w:hAnsi="serif"/>
              </w:rPr>
              <w:t>equals the ratio of your complete years of service as an employee of the Company or its Affiliate between the Date of Grant and your Termination of Employment, and three (3)].</w:t>
            </w:r>
          </w:p>
        </w:tc>
      </w:tr>
      <w:tr>
        <w:trPr/>
        <w:tc>
          <w:tcPr>
            <w:tcW w:w="800" w:type="dxa"/>
            <w:tcBorders/>
            <w:shd w:fill="auto" w:val="clear"/>
          </w:tcPr>
          <w:p>
            <w:pPr>
              <w:pStyle w:val="TableContents"/>
              <w:spacing w:before="0" w:after="283"/>
              <w:rPr/>
            </w:pPr>
            <w:r>
              <w:rPr/>
              <w:t> </w:t>
            </w:r>
          </w:p>
        </w:tc>
        <w:tc>
          <w:tcPr>
            <w:tcW w:w="94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t> </w:t>
            </w:r>
          </w:p>
        </w:tc>
        <w:tc>
          <w:tcPr>
            <w:tcW w:w="9405" w:type="dxa"/>
            <w:gridSpan w:val="3"/>
            <w:tcBorders/>
            <w:shd w:fill="auto" w:val="clear"/>
            <w:vAlign w:val="center"/>
          </w:tcPr>
          <w:p>
            <w:pPr>
              <w:pStyle w:val="TableContents"/>
              <w:spacing w:before="0" w:after="283"/>
              <w:rPr>
                <w:rFonts w:ascii="serif" w:hAnsi="serif"/>
              </w:rPr>
            </w:pPr>
            <w:r>
              <w:rPr>
                <w:rFonts w:ascii="serif" w:hAnsi="serif"/>
              </w:rPr>
              <w:t>Payment will be made in accordance with Section 4.</w:t>
            </w:r>
          </w:p>
        </w:tc>
      </w:tr>
      <w:tr>
        <w:trPr/>
        <w:tc>
          <w:tcPr>
            <w:tcW w:w="800" w:type="dxa"/>
            <w:tcBorders/>
            <w:shd w:fill="auto" w:val="clear"/>
          </w:tcPr>
          <w:p>
            <w:pPr>
              <w:pStyle w:val="TableContents"/>
              <w:spacing w:before="0" w:after="283"/>
              <w:rPr/>
            </w:pPr>
            <w:r>
              <w:rPr/>
              <w:t> </w:t>
            </w:r>
          </w:p>
        </w:tc>
        <w:tc>
          <w:tcPr>
            <w:tcW w:w="94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9.</w:t>
            </w:r>
            <w:r>
              <w:rPr/>
              <w:t xml:space="preserve">      </w:t>
            </w:r>
          </w:p>
        </w:tc>
        <w:tc>
          <w:tcPr>
            <w:tcW w:w="9405" w:type="dxa"/>
            <w:gridSpan w:val="3"/>
            <w:tcBorders/>
            <w:shd w:fill="auto" w:val="clear"/>
            <w:vAlign w:val="center"/>
          </w:tcPr>
          <w:p>
            <w:pPr>
              <w:pStyle w:val="TableContents"/>
              <w:spacing w:before="0" w:after="283"/>
              <w:rPr/>
            </w:pPr>
            <w:r>
              <w:rPr>
                <w:rFonts w:ascii="serif" w:hAnsi="serif"/>
                <w:b/>
              </w:rPr>
              <w:t xml:space="preserve">Change in Control. </w:t>
            </w:r>
            <w:r>
              <w:rPr>
                <w:rFonts w:ascii="serif" w:hAnsi="serif"/>
              </w:rPr>
              <w:t>In the event of a Change in Control, any restrictions on Restricted Units that have not lapsed or terminated as of the date of Change in Control will immediately lapse. No later than 90 days after the date of Change in Control, you will receive for the Restricted Units the sum of (a) a single payment in cash equal to the product of the number of outstanding Restricted Units as of the date of the Change in Control (including any Restricted Units that vest pursuant to this Section 9) and a multiplication factor, as set forth in the Plan[, and (b) a single payment in cash equal to any accrued Dividend Equivalents (and the earnings thereon) as of the date of the Change in Control]. [If you deferred payment of any portion of your Restricted Units as described in Section 6, you may elect not to accelerate payment in the event of a Change in Control.]</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10.</w:t>
            </w:r>
            <w:r>
              <w:rPr/>
              <w:t xml:space="preserve">      </w:t>
            </w:r>
          </w:p>
        </w:tc>
        <w:tc>
          <w:tcPr>
            <w:tcW w:w="9405" w:type="dxa"/>
            <w:gridSpan w:val="3"/>
            <w:tcBorders/>
            <w:shd w:fill="auto" w:val="clear"/>
            <w:vAlign w:val="center"/>
          </w:tcPr>
          <w:p>
            <w:pPr>
              <w:pStyle w:val="TableContents"/>
              <w:spacing w:before="0" w:after="283"/>
              <w:rPr/>
            </w:pPr>
            <w:r>
              <w:rPr>
                <w:rFonts w:ascii="serif" w:hAnsi="serif"/>
                <w:b/>
              </w:rPr>
              <w:t xml:space="preserve">Withholdings. </w:t>
            </w:r>
            <w:r>
              <w:rPr>
                <w:rFonts w:ascii="serif" w:hAnsi="serif"/>
              </w:rPr>
              <w:t>The Company will have the right, prior to any issuance or delivery of Shares on Restricted Units [or of payment of accrued Dividend Equivalents (and earnings thereon)], to withhold or require from you the amount necessary to satisfy applicable tax requirements, as determined by the Committee.</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11.</w:t>
            </w:r>
            <w:r>
              <w:rPr/>
              <w:t xml:space="preserve">      </w:t>
            </w:r>
          </w:p>
        </w:tc>
        <w:tc>
          <w:tcPr>
            <w:tcW w:w="9405" w:type="dxa"/>
            <w:gridSpan w:val="3"/>
            <w:tcBorders/>
            <w:shd w:fill="auto" w:val="clear"/>
            <w:vAlign w:val="center"/>
          </w:tcPr>
          <w:p>
            <w:pPr>
              <w:pStyle w:val="TableContents"/>
              <w:spacing w:before="0" w:after="283"/>
              <w:rPr/>
            </w:pPr>
            <w:r>
              <w:rPr>
                <w:rFonts w:ascii="serif" w:hAnsi="serif"/>
                <w:b/>
              </w:rPr>
              <w:t xml:space="preserve">Transfer of Award. </w:t>
            </w:r>
            <w:r>
              <w:rPr>
                <w:rFonts w:ascii="serif" w:hAnsi="serif"/>
              </w:rPr>
              <w:t>You may not transfer the Restricted Units[, Dividend Equivalents (or earnings thereon)] or any interest in the Restricted Units [or Dividend Equivalents (or earnings thereon)] except by will or the laws of descent and distribution [FOLLOWING INCLUDED AT COMMITTEE'S DISCRETION: or except as permitted by the Committee as specified in the Plan]. Any other attempt to dispose of your interest will be null and void.</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12.</w:t>
            </w:r>
            <w:r>
              <w:rPr/>
              <w:t xml:space="preserve">      </w:t>
            </w:r>
          </w:p>
        </w:tc>
        <w:tc>
          <w:tcPr>
            <w:tcW w:w="9405" w:type="dxa"/>
            <w:gridSpan w:val="3"/>
            <w:tcBorders/>
            <w:shd w:fill="auto" w:val="clear"/>
            <w:vAlign w:val="center"/>
          </w:tcPr>
          <w:p>
            <w:pPr>
              <w:pStyle w:val="TableContents"/>
              <w:spacing w:before="0" w:after="283"/>
              <w:rPr/>
            </w:pPr>
            <w:r>
              <w:rPr>
                <w:rFonts w:ascii="serif" w:hAnsi="serif"/>
                <w:b/>
              </w:rPr>
              <w:t>Forfeiture of Awards.</w:t>
            </w:r>
            <w:r>
              <w:rPr/>
              <w:t xml:space="preserve"> </w:t>
            </w:r>
          </w:p>
        </w:tc>
      </w:tr>
      <w:tr>
        <w:trPr/>
        <w:tc>
          <w:tcPr>
            <w:tcW w:w="10205" w:type="dxa"/>
            <w:gridSpan w:val="4"/>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844" w:type="dxa"/>
            <w:tcBorders/>
            <w:shd w:fill="auto" w:val="clear"/>
          </w:tcPr>
          <w:p>
            <w:pPr>
              <w:pStyle w:val="TableContents"/>
              <w:spacing w:before="0" w:after="283"/>
              <w:rPr/>
            </w:pPr>
            <w:r>
              <w:rPr>
                <w:rFonts w:ascii="serif" w:hAnsi="serif"/>
              </w:rPr>
              <w:t>(a)</w:t>
            </w:r>
            <w:r>
              <w:rPr/>
              <w:t xml:space="preserve">      </w:t>
            </w:r>
          </w:p>
        </w:tc>
        <w:tc>
          <w:tcPr>
            <w:tcW w:w="8561" w:type="dxa"/>
            <w:gridSpan w:val="2"/>
            <w:tcBorders/>
            <w:shd w:fill="auto" w:val="clear"/>
            <w:vAlign w:val="center"/>
          </w:tcPr>
          <w:p>
            <w:pPr>
              <w:pStyle w:val="TableContents"/>
              <w:spacing w:before="0" w:after="283"/>
              <w:rPr/>
            </w:pPr>
            <w:r>
              <w:rPr>
                <w:rFonts w:ascii="serif" w:hAnsi="serif"/>
              </w:rPr>
              <w:t>By accepting the Award, you expressly agree and acknowledge that the forfeiture provisions of subparagraph (b) will apply if, from the Date of Grant of these Restricted Units until the date that is twenty-four (24) months after your Termination</w:t>
            </w:r>
            <w:r>
              <w:rPr/>
              <w:t xml:space="preserve"> </w:t>
            </w:r>
          </w:p>
        </w:tc>
      </w:tr>
      <w:tr>
        <w:trPr/>
        <w:tc>
          <w:tcPr>
            <w:tcW w:w="10205" w:type="dxa"/>
            <w:gridSpan w:val="4"/>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81" w:name="page_43"/>
      <w:bookmarkStart w:id="82" w:name="page_43"/>
      <w:bookmarkEnd w:id="82"/>
    </w:p>
    <w:tbl>
      <w:tblPr>
        <w:tblW w:w="10205" w:type="dxa"/>
        <w:jc w:val="left"/>
        <w:tblInd w:w="0" w:type="dxa"/>
        <w:tblCellMar>
          <w:top w:w="0" w:type="dxa"/>
          <w:left w:w="0" w:type="dxa"/>
          <w:bottom w:w="0" w:type="dxa"/>
          <w:right w:w="0" w:type="dxa"/>
        </w:tblCellMar>
      </w:tblPr>
      <w:tblGrid>
        <w:gridCol w:w="800"/>
        <w:gridCol w:w="710"/>
        <w:gridCol w:w="8695"/>
      </w:tblGrid>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t> </w:t>
            </w:r>
          </w:p>
        </w:tc>
        <w:tc>
          <w:tcPr>
            <w:tcW w:w="8695" w:type="dxa"/>
            <w:tcBorders/>
            <w:shd w:fill="auto" w:val="clear"/>
            <w:vAlign w:val="center"/>
          </w:tcPr>
          <w:p>
            <w:pPr>
              <w:pStyle w:val="TableContents"/>
              <w:spacing w:before="0" w:after="283"/>
              <w:rPr>
                <w:rFonts w:ascii="serif" w:hAnsi="serif"/>
              </w:rPr>
            </w:pPr>
            <w:r>
              <w:rPr>
                <w:rFonts w:ascii="serif" w:hAnsi="serif"/>
              </w:rPr>
              <w:t>of Employment, for any reason, you enter into an employment or consultation agreement or arrangement (including any arrangement for service as an agent, partner, stockholder, consultant, officer or director) with any entity or person engaged in a business in which the Company or any Affiliate is engaged if the business is competitive (in the sole judgment of the Committee) with the Company or an Affiliate and the Committee has not approved the agreement or arrangement in writing.</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t> </w:t>
            </w:r>
          </w:p>
        </w:tc>
        <w:tc>
          <w:tcPr>
            <w:tcW w:w="8695" w:type="dxa"/>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(b)</w:t>
            </w:r>
            <w:r>
              <w:rPr/>
              <w:t xml:space="preserve">      </w:t>
            </w:r>
          </w:p>
        </w:tc>
        <w:tc>
          <w:tcPr>
            <w:tcW w:w="8695" w:type="dxa"/>
            <w:tcBorders/>
            <w:shd w:fill="auto" w:val="clear"/>
            <w:vAlign w:val="center"/>
          </w:tcPr>
          <w:p>
            <w:pPr>
              <w:pStyle w:val="TableContents"/>
              <w:spacing w:before="0" w:after="283"/>
              <w:rPr/>
            </w:pPr>
            <w:r>
              <w:rPr>
                <w:rFonts w:ascii="serif" w:hAnsi="serif"/>
              </w:rPr>
              <w:t>If the Committee determines, in its sole judgment, that you have engaged in an act that violates subparagraph (a) prior to the 24-month anniversary of your Termination of Employment, your outstanding Restricted Units will immediately be rescinded, and you will forfeit any rights you have with respect to these Restricted Units as of the date of the Committees determination. In addition, you hereby agree and promise immediately to deliver to the Company, Shares equal in value to the amount of any Restricted Units you received payment for during the period beginning six (6) months prior to your Termination of Employment and ending on the date of the Committees determination. [You also hereby agree and promise immediately to repay the value of any accrued Dividend Equivalents (and earnings thereon) for which you received payment during the period beginning six (6) months prior to your Termination of Employment and ending on the date of the Committees determination.]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13.</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Restrictions on Payment of Shares. </w:t>
            </w:r>
            <w:r>
              <w:rPr>
                <w:rFonts w:ascii="serif" w:hAnsi="serif"/>
              </w:rPr>
              <w:t>Payment of Shares for your Restricted Units is subject to the conditions that, to the extent required at the time of exercise, (a) the Shares underlying the Restricted Units will be duly listed, upon official notice of redemption, upon the New York Stock Exchange, and (b)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14.</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Adjustments. </w:t>
            </w:r>
            <w:r>
              <w:rPr>
                <w:rFonts w:ascii="serif" w:hAnsi="serif"/>
              </w:rPr>
              <w:t>Any adjustments to the Restricted Units will be governed by Section 5.3 of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15.</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Disposition of Securities. </w:t>
            </w:r>
            <w:r>
              <w:rPr>
                <w:rFonts w:ascii="serif" w:hAnsi="serif"/>
              </w:rPr>
              <w:t>By accepting the Award, you acknowledge that you have read and understand the Companys policy, and are aware of and 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to the extent that the Company has a right of recovery or reimbursement under applicable securities laws.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16.</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Plan Terms Govern. </w:t>
            </w:r>
            <w:r>
              <w:rPr>
                <w:rFonts w:ascii="serif" w:hAnsi="serif"/>
              </w:rPr>
              <w:t>The vesting and redemption of Restricted Units, the disposition of any Shares received for Restricted Units, the treatment of gain on the disposition of these Shares, [and the treatment of Dividend Equivalents (and earnings thereon)] are subject to the provisions of the Plan and any rules that the Committee may prescribe.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83" w:name="page_52"/>
      <w:bookmarkStart w:id="84" w:name="page_52"/>
      <w:bookmarkEnd w:id="84"/>
    </w:p>
    <w:tbl>
      <w:tblPr>
        <w:tblW w:w="10205" w:type="dxa"/>
        <w:jc w:val="left"/>
        <w:tblInd w:w="0" w:type="dxa"/>
        <w:tblCellMar>
          <w:top w:w="0" w:type="dxa"/>
          <w:left w:w="0" w:type="dxa"/>
          <w:bottom w:w="0" w:type="dxa"/>
          <w:right w:w="0" w:type="dxa"/>
        </w:tblCellMar>
      </w:tblPr>
      <w:tblGrid>
        <w:gridCol w:w="800"/>
        <w:gridCol w:w="710"/>
        <w:gridCol w:w="8695"/>
      </w:tblGrid>
      <w:tr>
        <w:trPr/>
        <w:tc>
          <w:tcPr>
            <w:tcW w:w="800" w:type="dxa"/>
            <w:tcBorders/>
            <w:shd w:fill="auto" w:val="clear"/>
            <w:vAlign w:val="center"/>
          </w:tcPr>
          <w:p>
            <w:pPr>
              <w:pStyle w:val="TableContents"/>
              <w:spacing w:before="0" w:after="283"/>
              <w:rPr/>
            </w:pPr>
            <w:r>
              <w:rPr/>
              <w:t> </w:t>
            </w:r>
          </w:p>
        </w:tc>
        <w:tc>
          <w:tcPr>
            <w:tcW w:w="9405" w:type="dxa"/>
            <w:gridSpan w:val="2"/>
            <w:tcBorders/>
            <w:shd w:fill="auto" w:val="clear"/>
            <w:vAlign w:val="center"/>
          </w:tcPr>
          <w:p>
            <w:pPr>
              <w:pStyle w:val="TableContents"/>
              <w:spacing w:before="0" w:after="283"/>
              <w:rPr/>
            </w:pPr>
            <w:r>
              <w:rPr>
                <w:rFonts w:ascii="serif" w:hAnsi="serif"/>
              </w:rPr>
              <w:t>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17.</w:t>
            </w:r>
            <w:r>
              <w:rPr/>
              <w:t xml:space="preserve">      </w:t>
            </w:r>
          </w:p>
        </w:tc>
        <w:tc>
          <w:tcPr>
            <w:tcW w:w="9405" w:type="dxa"/>
            <w:gridSpan w:val="2"/>
            <w:tcBorders/>
            <w:shd w:fill="auto" w:val="clear"/>
            <w:vAlign w:val="center"/>
          </w:tcPr>
          <w:p>
            <w:pPr>
              <w:pStyle w:val="TableContents"/>
              <w:spacing w:before="0" w:after="283"/>
              <w:rPr/>
            </w:pPr>
            <w:r>
              <w:rPr>
                <w:rFonts w:ascii="serif" w:hAnsi="serif"/>
                <w:b/>
              </w:rPr>
              <w:t>Personal Data.</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(a)</w:t>
            </w:r>
            <w:r>
              <w:rPr/>
              <w:t xml:space="preserve">      </w:t>
            </w:r>
          </w:p>
        </w:tc>
        <w:tc>
          <w:tcPr>
            <w:tcW w:w="8695" w:type="dxa"/>
            <w:tcBorders/>
            <w:shd w:fill="auto" w:val="clear"/>
            <w:vAlign w:val="center"/>
          </w:tcPr>
          <w:p>
            <w:pPr>
              <w:pStyle w:val="TableContents"/>
              <w:spacing w:before="0" w:after="283"/>
              <w:rPr/>
            </w:pPr>
            <w:r>
              <w:rPr>
                <w:rFonts w:ascii="serif" w:hAnsi="serif"/>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(b)</w:t>
            </w:r>
            <w:r>
              <w:rPr/>
              <w:t xml:space="preserve">      </w:t>
            </w:r>
          </w:p>
        </w:tc>
        <w:tc>
          <w:tcPr>
            <w:tcW w:w="8695" w:type="dxa"/>
            <w:tcBorders/>
            <w:shd w:fill="auto" w:val="clear"/>
            <w:vAlign w:val="center"/>
          </w:tcPr>
          <w:p>
            <w:pPr>
              <w:pStyle w:val="TableContents"/>
              <w:spacing w:before="0" w:after="283"/>
              <w:rPr/>
            </w:pPr>
            <w:r>
              <w:rPr>
                <w:rFonts w:ascii="serif" w:hAnsi="serif"/>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awarded, canceled, exercised, vested, unvested, or outstanding in your favor, for the purpose of managing and administering the Plan (Data).</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(c)</w:t>
            </w:r>
            <w:r>
              <w:rPr/>
              <w:t xml:space="preserve">      </w:t>
            </w:r>
          </w:p>
        </w:tc>
        <w:tc>
          <w:tcPr>
            <w:tcW w:w="8695" w:type="dxa"/>
            <w:tcBorders/>
            <w:shd w:fill="auto" w:val="clear"/>
            <w:vAlign w:val="center"/>
          </w:tcPr>
          <w:p>
            <w:pPr>
              <w:pStyle w:val="TableContents"/>
              <w:spacing w:before="0" w:after="283"/>
              <w:rPr/>
            </w:pPr>
            <w:r>
              <w:rPr>
                <w:rFonts w:ascii="serif" w:hAnsi="serif"/>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(d)</w:t>
            </w:r>
            <w:r>
              <w:rPr/>
              <w:t xml:space="preserve">      </w:t>
            </w:r>
          </w:p>
        </w:tc>
        <w:tc>
          <w:tcPr>
            <w:tcW w:w="8695" w:type="dxa"/>
            <w:tcBorders/>
            <w:shd w:fill="auto" w:val="clear"/>
            <w:vAlign w:val="center"/>
          </w:tcPr>
          <w:p>
            <w:pPr>
              <w:pStyle w:val="TableContents"/>
              <w:spacing w:before="0" w:after="283"/>
              <w:rPr/>
            </w:pPr>
            <w:r>
              <w:rPr>
                <w:rFonts w:ascii="serif" w:hAnsi="serif"/>
              </w:rPr>
              <w:t>You further understand that your local employer will transfer Data to the Company or its Affiliates among themselves as necessary for the purposes of implementation, administration, and management of the your participation in the Plan, and that the Company or its Affiliates may transfer data among themselves, and/or each, in turn, further transfer Data to any third parties assisting the Company in the implementation, administration, and management of the Plan (Data Recipients).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(e)</w:t>
            </w:r>
            <w:r>
              <w:rPr/>
              <w:t xml:space="preserve">      </w:t>
            </w:r>
          </w:p>
        </w:tc>
        <w:tc>
          <w:tcPr>
            <w:tcW w:w="8695" w:type="dxa"/>
            <w:tcBorders/>
            <w:shd w:fill="auto" w:val="clear"/>
            <w:vAlign w:val="center"/>
          </w:tcPr>
          <w:p>
            <w:pPr>
              <w:pStyle w:val="TableContents"/>
              <w:spacing w:before="0" w:after="283"/>
              <w:rPr/>
            </w:pPr>
            <w:r>
              <w:rPr>
                <w:rFonts w:ascii="serif" w:hAnsi="serif"/>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85" w:name="page_62"/>
      <w:bookmarkStart w:id="86" w:name="page_62"/>
      <w:bookmarkEnd w:id="86"/>
    </w:p>
    <w:tbl>
      <w:tblPr>
        <w:tblW w:w="10205" w:type="dxa"/>
        <w:jc w:val="left"/>
        <w:tblInd w:w="0" w:type="dxa"/>
        <w:tblCellMar>
          <w:top w:w="0" w:type="dxa"/>
          <w:left w:w="0" w:type="dxa"/>
          <w:bottom w:w="0" w:type="dxa"/>
          <w:right w:w="0" w:type="dxa"/>
        </w:tblCellMar>
      </w:tblPr>
      <w:tblGrid>
        <w:gridCol w:w="800"/>
        <w:gridCol w:w="710"/>
        <w:gridCol w:w="8695"/>
      </w:tblGrid>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(f)</w:t>
            </w:r>
            <w:r>
              <w:rPr/>
              <w:t xml:space="preserve">      </w:t>
            </w:r>
          </w:p>
        </w:tc>
        <w:tc>
          <w:tcPr>
            <w:tcW w:w="8695" w:type="dxa"/>
            <w:tcBorders/>
            <w:shd w:fill="auto" w:val="clear"/>
            <w:vAlign w:val="center"/>
          </w:tcPr>
          <w:p>
            <w:pPr>
              <w:pStyle w:val="TableContents"/>
              <w:spacing w:before="0" w:after="283"/>
              <w:rPr/>
            </w:pPr>
            <w:r>
              <w:rPr>
                <w:rFonts w:ascii="serif" w:hAnsi="serif"/>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18.</w:t>
            </w:r>
            <w:r>
              <w:rPr/>
              <w:t xml:space="preserve">      </w:t>
            </w:r>
          </w:p>
        </w:tc>
        <w:tc>
          <w:tcPr>
            <w:tcW w:w="9405" w:type="dxa"/>
            <w:gridSpan w:val="2"/>
            <w:tcBorders/>
            <w:shd w:fill="auto" w:val="clear"/>
            <w:vAlign w:val="center"/>
          </w:tcPr>
          <w:p>
            <w:pPr>
              <w:pStyle w:val="TableContents"/>
              <w:spacing w:before="0" w:after="283"/>
              <w:rPr/>
            </w:pPr>
            <w:r>
              <w:rPr>
                <w:rFonts w:ascii="serif" w:hAnsi="serif"/>
                <w:b/>
              </w:rPr>
              <w:t>Discretionary Nature and Acceptance of Award</w:t>
            </w:r>
            <w:r>
              <w:rPr>
                <w:rFonts w:ascii="serif" w:hAnsi="serif"/>
              </w:rPr>
              <w:t>. By accepting this Award, you agree to be bound by the terms of this Agreement and acknowledge that:</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(a)</w:t>
            </w:r>
            <w:r>
              <w:rPr/>
              <w:t xml:space="preserve">      </w:t>
            </w:r>
          </w:p>
        </w:tc>
        <w:tc>
          <w:tcPr>
            <w:tcW w:w="8695" w:type="dxa"/>
            <w:tcBorders/>
            <w:shd w:fill="auto" w:val="clear"/>
            <w:vAlign w:val="center"/>
          </w:tcPr>
          <w:p>
            <w:pPr>
              <w:pStyle w:val="TableContents"/>
              <w:spacing w:before="0" w:after="283"/>
              <w:rPr/>
            </w:pPr>
            <w:r>
              <w:rPr>
                <w:rFonts w:ascii="serif" w:hAnsi="serif"/>
              </w:rPr>
              <w:t>The Company (and not your local employer) is granting your Restricted Units. Furthermore, this Agreement is not derived from any preexisting labor relationship between you and the Company, but rather from a mercantile relationship.</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(b)</w:t>
            </w:r>
            <w:r>
              <w:rPr/>
              <w:t xml:space="preserve">      </w:t>
            </w:r>
          </w:p>
        </w:tc>
        <w:tc>
          <w:tcPr>
            <w:tcW w:w="8695" w:type="dxa"/>
            <w:tcBorders/>
            <w:shd w:fill="auto" w:val="clear"/>
            <w:vAlign w:val="center"/>
          </w:tcPr>
          <w:p>
            <w:pPr>
              <w:pStyle w:val="TableContents"/>
              <w:spacing w:before="0" w:after="283"/>
              <w:rPr/>
            </w:pPr>
            <w:r>
              <w:rPr>
                <w:rFonts w:ascii="serif" w:hAnsi="serif"/>
              </w:rPr>
              <w:t>The Company may administer the Plan from outside your country of residence and United States law will govern all Restricted Units granted under the Plan.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(c)</w:t>
            </w:r>
            <w:r>
              <w:rPr/>
              <w:t xml:space="preserve">      </w:t>
            </w:r>
          </w:p>
        </w:tc>
        <w:tc>
          <w:tcPr>
            <w:tcW w:w="8695" w:type="dxa"/>
            <w:tcBorders/>
            <w:shd w:fill="auto" w:val="clear"/>
            <w:vAlign w:val="center"/>
          </w:tcPr>
          <w:p>
            <w:pPr>
              <w:pStyle w:val="TableContents"/>
              <w:spacing w:before="0" w:after="283"/>
              <w:rPr/>
            </w:pPr>
            <w:r>
              <w:rPr>
                <w:rFonts w:ascii="serif" w:hAnsi="serif"/>
              </w:rPr>
              <w:t>Benefits and rights provided under the Plan are wholly discretionary and, although provided by the Company, do not constitute regular or periodic payments.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(d)</w:t>
            </w:r>
            <w:r>
              <w:rPr/>
              <w:t xml:space="preserve">      </w:t>
            </w:r>
          </w:p>
        </w:tc>
        <w:tc>
          <w:tcPr>
            <w:tcW w:w="8695" w:type="dxa"/>
            <w:tcBorders/>
            <w:shd w:fill="auto" w:val="clear"/>
            <w:vAlign w:val="center"/>
          </w:tcPr>
          <w:p>
            <w:pPr>
              <w:pStyle w:val="TableContents"/>
              <w:spacing w:before="0" w:after="283"/>
              <w:rPr/>
            </w:pPr>
            <w:r>
              <w:rPr>
                <w:rFonts w:ascii="serif" w:hAnsi="serif"/>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(e)</w:t>
            </w:r>
            <w:r>
              <w:rPr/>
              <w:t xml:space="preserve">      </w:t>
            </w:r>
          </w:p>
        </w:tc>
        <w:tc>
          <w:tcPr>
            <w:tcW w:w="8695" w:type="dxa"/>
            <w:tcBorders/>
            <w:shd w:fill="auto" w:val="clear"/>
            <w:vAlign w:val="center"/>
          </w:tcPr>
          <w:p>
            <w:pPr>
              <w:pStyle w:val="TableContents"/>
              <w:spacing w:before="0" w:after="283"/>
              <w:rPr/>
            </w:pPr>
            <w:r>
              <w:rPr>
                <w:rFonts w:ascii="serif" w:hAnsi="serif"/>
              </w:rPr>
              <w:t>The grant of Restricted Units hereunder, and any future grant of Restricted Units under the Plan, is entirely voluntary, and at the complete discretion of the Company. Neither the grant of the Restricted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vAlign w:val="center"/>
          </w:tcPr>
          <w:p>
            <w:pPr>
              <w:pStyle w:val="TableContents"/>
              <w:spacing w:before="0" w:after="283"/>
              <w:rPr/>
            </w:pPr>
            <w:r>
              <w:rPr/>
              <w:t> </w:t>
            </w:r>
          </w:p>
        </w:tc>
        <w:tc>
          <w:tcPr>
            <w:tcW w:w="710" w:type="dxa"/>
            <w:tcBorders/>
            <w:shd w:fill="auto" w:val="clear"/>
          </w:tcPr>
          <w:p>
            <w:pPr>
              <w:pStyle w:val="TableContents"/>
              <w:spacing w:before="0" w:after="283"/>
              <w:rPr/>
            </w:pPr>
            <w:r>
              <w:rPr>
                <w:rFonts w:ascii="serif" w:hAnsi="serif"/>
              </w:rPr>
              <w:t>(f)</w:t>
            </w:r>
            <w:r>
              <w:rPr/>
              <w:t xml:space="preserve">      </w:t>
            </w:r>
          </w:p>
        </w:tc>
        <w:tc>
          <w:tcPr>
            <w:tcW w:w="8695" w:type="dxa"/>
            <w:tcBorders/>
            <w:shd w:fill="auto" w:val="clear"/>
            <w:vAlign w:val="center"/>
          </w:tcPr>
          <w:p>
            <w:pPr>
              <w:pStyle w:val="TableContents"/>
              <w:spacing w:before="0" w:after="283"/>
              <w:rPr/>
            </w:pPr>
            <w:r>
              <w:rPr>
                <w:rFonts w:ascii="serif" w:hAnsi="serif"/>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87" w:name="page_72"/>
      <w:bookmarkStart w:id="88" w:name="page_72"/>
      <w:bookmarkEnd w:id="88"/>
    </w:p>
    <w:tbl>
      <w:tblPr>
        <w:tblW w:w="10205" w:type="dxa"/>
        <w:jc w:val="left"/>
        <w:tblInd w:w="0" w:type="dxa"/>
        <w:tblCellMar>
          <w:top w:w="0" w:type="dxa"/>
          <w:left w:w="0" w:type="dxa"/>
          <w:bottom w:w="0" w:type="dxa"/>
          <w:right w:w="0" w:type="dxa"/>
        </w:tblCellMar>
      </w:tblPr>
      <w:tblGrid>
        <w:gridCol w:w="800"/>
        <w:gridCol w:w="884"/>
        <w:gridCol w:w="8521"/>
      </w:tblGrid>
      <w:tr>
        <w:trPr/>
        <w:tc>
          <w:tcPr>
            <w:tcW w:w="800" w:type="dxa"/>
            <w:tcBorders/>
            <w:shd w:fill="auto" w:val="clear"/>
            <w:vAlign w:val="center"/>
          </w:tcPr>
          <w:p>
            <w:pPr>
              <w:pStyle w:val="TableContents"/>
              <w:spacing w:before="0" w:after="283"/>
              <w:rPr/>
            </w:pPr>
            <w:r>
              <w:rPr/>
              <w:t> </w:t>
            </w:r>
          </w:p>
        </w:tc>
        <w:tc>
          <w:tcPr>
            <w:tcW w:w="884" w:type="dxa"/>
            <w:tcBorders/>
            <w:shd w:fill="auto" w:val="clear"/>
          </w:tcPr>
          <w:p>
            <w:pPr>
              <w:pStyle w:val="TableContents"/>
              <w:spacing w:before="0" w:after="283"/>
              <w:rPr/>
            </w:pPr>
            <w:r>
              <w:rPr>
                <w:rFonts w:ascii="serif" w:hAnsi="serif"/>
              </w:rPr>
              <w:t>(g)</w:t>
            </w:r>
            <w:r>
              <w:rPr/>
              <w:t xml:space="preserve">      </w:t>
            </w:r>
          </w:p>
        </w:tc>
        <w:tc>
          <w:tcPr>
            <w:tcW w:w="8521" w:type="dxa"/>
            <w:tcBorders/>
            <w:shd w:fill="auto" w:val="clear"/>
            <w:vAlign w:val="center"/>
          </w:tcPr>
          <w:p>
            <w:pPr>
              <w:pStyle w:val="TableContents"/>
              <w:spacing w:before="0" w:after="283"/>
              <w:rPr/>
            </w:pPr>
            <w:r>
              <w:rPr>
                <w:rFonts w:ascii="serif" w:hAnsi="serif"/>
              </w:rPr>
              <w:t>Participation in the Plan will not be deemed to constitute, and will not be deemed by you to constitute, an employment or labor relationship of any kind with the Company.</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19.</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Limitations. </w:t>
            </w:r>
            <w:r>
              <w:rPr>
                <w:rFonts w:ascii="serif" w:hAnsi="serif"/>
              </w:rPr>
              <w:t>Nothing in this Agreement or the Plan gives you any right to continue in the employ of the Company or any of its Affiliates or to interfere in any way with the right of the Company or any Affiliate to terminate your employment at any time. Payment of your Restricted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Units until Shares are actually delivered to you.</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20.</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Incorporation of Other Agreements. </w:t>
            </w:r>
            <w:r>
              <w:rPr>
                <w:rFonts w:ascii="serif" w:hAnsi="serif"/>
              </w:rPr>
              <w:t>This Agreement and the Plan constitute the entire understanding between you and the Company regarding the Restricted Units. This Agreement supersedes any prior agreements, commitments or negotiations concerning the Restricted Units.</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21.</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Severability. </w:t>
            </w:r>
            <w:r>
              <w:rPr>
                <w:rFonts w:ascii="serif" w:hAnsi="serif"/>
              </w:rPr>
              <w:t>The invalidity or unenforceability of any provision of this Agreement will not affect the validity or 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r>
              <w:rPr/>
              <w:t xml:space="preserve"> </w:t>
            </w:r>
          </w:p>
        </w:tc>
      </w:tr>
      <w:tr>
        <w:trPr/>
        <w:tc>
          <w:tcPr>
            <w:tcW w:w="10205" w:type="dxa"/>
            <w:gridSpan w:val="3"/>
            <w:tcBorders/>
            <w:shd w:fill="auto" w:val="clear"/>
            <w:vAlign w:val="center"/>
          </w:tcPr>
          <w:p>
            <w:pPr>
              <w:pStyle w:val="TableContents"/>
              <w:spacing w:before="0" w:after="283"/>
              <w:rPr/>
            </w:pPr>
            <w:r>
              <w:rPr/>
              <w:t> </w:t>
            </w:r>
          </w:p>
        </w:tc>
      </w:tr>
      <w:tr>
        <w:trPr/>
        <w:tc>
          <w:tcPr>
            <w:tcW w:w="800" w:type="dxa"/>
            <w:tcBorders/>
            <w:shd w:fill="auto" w:val="clear"/>
          </w:tcPr>
          <w:p>
            <w:pPr>
              <w:pStyle w:val="TableContents"/>
              <w:spacing w:before="0" w:after="283"/>
              <w:rPr/>
            </w:pPr>
            <w:r>
              <w:rPr>
                <w:rFonts w:ascii="serif" w:hAnsi="serif"/>
                <w:b/>
              </w:rPr>
              <w:t>22.</w:t>
            </w:r>
            <w:r>
              <w:rPr/>
              <w:t xml:space="preserve">      </w:t>
            </w:r>
          </w:p>
        </w:tc>
        <w:tc>
          <w:tcPr>
            <w:tcW w:w="9405" w:type="dxa"/>
            <w:gridSpan w:val="2"/>
            <w:tcBorders/>
            <w:shd w:fill="auto" w:val="clear"/>
            <w:vAlign w:val="center"/>
          </w:tcPr>
          <w:p>
            <w:pPr>
              <w:pStyle w:val="TableContents"/>
              <w:spacing w:before="0" w:after="283"/>
              <w:rPr/>
            </w:pPr>
            <w:r>
              <w:rPr>
                <w:rFonts w:ascii="serif" w:hAnsi="serif"/>
                <w:b/>
              </w:rPr>
              <w:t xml:space="preserve">Agreement Changes. </w:t>
            </w:r>
            <w:r>
              <w:rPr>
                <w:rFonts w:ascii="serif" w:hAnsi="serif"/>
              </w:rPr>
              <w:t>The Company reserves the right to change the terms of this Agreement and the Plan without your consent to the extent necessary or desirable to comply with the requirements of Code section 409A, the Treasury regulations and other guidance thereunder.</w:t>
            </w:r>
            <w:r>
              <w:rPr/>
              <w:t xml:space="preserve"> </w:t>
            </w:r>
          </w:p>
        </w:tc>
      </w:tr>
      <w:tr>
        <w:trPr/>
        <w:tc>
          <w:tcPr>
            <w:tcW w:w="10205" w:type="dxa"/>
            <w:gridSpan w:val="3"/>
            <w:tcBorders/>
            <w:shd w:fill="auto" w:val="clear"/>
            <w:vAlign w:val="center"/>
          </w:tcPr>
          <w:p>
            <w:pPr>
              <w:pStyle w:val="TableContents"/>
              <w:spacing w:before="0" w:after="283"/>
              <w:rPr/>
            </w:pPr>
            <w:r>
              <w:rPr/>
              <w:t> </w:t>
            </w:r>
          </w:p>
        </w:tc>
      </w:tr>
    </w:tbl>
    <w:p>
      <w:pPr>
        <w:pStyle w:val="TextBody"/>
        <w:rPr>
          <w:rFonts w:ascii="serif" w:hAnsi="serif"/>
        </w:rPr>
      </w:pPr>
      <w:r>
        <w:rPr>
          <w:rFonts w:ascii="serif" w:hAnsi="serif"/>
        </w:rPr>
        <w:t xml:space="preserve">IN WITNESS WHEREOF, the Company has caused this Agreement to be duly executed by the facsimile signature of its Chairman of the Board and Chief Executive Officer as of the day and year first above written. By consenting to this Agreement, you agree to the following: (i) you have carefully read, fully understand and agree to all of the terms and conditions described in this Agreement, the Plan and the Plans prospectus; and (ii) you understand and agree that this Agreement and the Plan constitute the entire understanding between you and the Company regarding the Award, and that any prior agreements, commitments or negotiations concerning the Restricted Units are replaced and superseded. You must accept this Award by signing the Agreement below and, by signing this Agreement, you will be deemed to consent to the application of the terms and conditions set forth in this Agreement and the Plan. If you do not wish to accept this Award, you must contact Honeywell International Inc., Executive Compensation/AB-1D, 101 Columbia Road, Morristown, NJ 07962 in writing within thirty (30) days of the date of this Agreement. </w:t>
      </w:r>
    </w:p>
    <w:p>
      <w:pPr>
        <w:pStyle w:val="HorizontalLine"/>
        <w:pBdr>
          <w:bottom w:val="single" w:sz="24" w:space="0" w:color="808080"/>
        </w:pBdr>
        <w:rPr/>
      </w:pPr>
      <w:r>
        <w:rPr/>
      </w:r>
      <w:r>
        <w:br w:type="page"/>
      </w:r>
    </w:p>
    <w:p>
      <w:pPr>
        <w:pStyle w:val="Normal"/>
        <w:spacing w:before="0" w:after="0"/>
        <w:rPr>
          <w:sz w:val="4"/>
          <w:szCs w:val="4"/>
        </w:rPr>
      </w:pPr>
      <w:r>
        <w:rPr>
          <w:sz w:val="4"/>
          <w:szCs w:val="4"/>
        </w:rPr>
      </w:r>
      <w:bookmarkStart w:id="89" w:name="page_8"/>
      <w:bookmarkStart w:id="90" w:name="page_8"/>
      <w:bookmarkEnd w:id="90"/>
    </w:p>
    <w:tbl>
      <w:tblPr>
        <w:tblW w:w="5000" w:type="pct"/>
        <w:jc w:val="left"/>
        <w:tblInd w:w="0" w:type="dxa"/>
        <w:tblCellMar>
          <w:top w:w="0" w:type="dxa"/>
          <w:left w:w="0" w:type="dxa"/>
          <w:bottom w:w="0" w:type="dxa"/>
          <w:right w:w="0" w:type="dxa"/>
        </w:tblCellMar>
      </w:tblPr>
      <w:tblGrid>
        <w:gridCol w:w="6556"/>
        <w:gridCol w:w="436"/>
        <w:gridCol w:w="729"/>
        <w:gridCol w:w="1457"/>
        <w:gridCol w:w="590"/>
        <w:gridCol w:w="437"/>
      </w:tblGrid>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776" w:type="dxa"/>
            <w:gridSpan w:val="3"/>
            <w:tcBorders/>
            <w:shd w:fill="auto" w:val="clear"/>
            <w:vAlign w:val="center"/>
          </w:tcPr>
          <w:p>
            <w:pPr>
              <w:pStyle w:val="TableContents"/>
              <w:spacing w:before="0" w:after="283"/>
              <w:rPr/>
            </w:pPr>
            <w:r>
              <w:rPr>
                <w:rFonts w:ascii="serif" w:hAnsi="serif"/>
              </w:rPr>
              <w:t>Honeywell International Inc.</w:t>
            </w: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rFonts w:ascii="serif" w:hAnsi="serif"/>
                <w:sz w:val="20"/>
                <w:u w:val="single"/>
              </w:rPr>
            </w:pPr>
            <w:r>
              <w:rPr>
                <w:rFonts w:ascii="serif" w:hAnsi="serif"/>
                <w:sz w:val="20"/>
                <w:u w:val="single"/>
              </w:rPr>
              <w:t>/s/ David M. Cote</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729" w:type="dxa"/>
            <w:tcBorders/>
            <w:shd w:fill="auto" w:val="clear"/>
            <w:vAlign w:val="bottom"/>
          </w:tcPr>
          <w:p>
            <w:pPr>
              <w:pStyle w:val="TableContents"/>
              <w:spacing w:before="0" w:after="283"/>
              <w:rPr>
                <w:rFonts w:ascii="serif" w:hAnsi="serif"/>
                <w:sz w:val="20"/>
              </w:rPr>
            </w:pPr>
            <w:r>
              <w:rPr>
                <w:rFonts w:ascii="serif" w:hAnsi="serif"/>
                <w:sz w:val="20"/>
              </w:rPr>
              <w:t>By:</w:t>
            </w:r>
          </w:p>
        </w:tc>
        <w:tc>
          <w:tcPr>
            <w:tcW w:w="1457" w:type="dxa"/>
            <w:tcBorders/>
            <w:shd w:fill="auto" w:val="clear"/>
            <w:vAlign w:val="bottom"/>
          </w:tcPr>
          <w:p>
            <w:pPr>
              <w:pStyle w:val="TableContents"/>
              <w:spacing w:before="0" w:after="283"/>
              <w:rPr>
                <w:rFonts w:ascii="serif" w:hAnsi="serif"/>
                <w:sz w:val="20"/>
              </w:rPr>
            </w:pPr>
            <w:r>
              <w:rPr>
                <w:rFonts w:ascii="serif" w:hAnsi="serif"/>
                <w:sz w:val="20"/>
              </w:rPr>
              <w:t>David M. Cote</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729" w:type="dxa"/>
            <w:tcBorders/>
            <w:shd w:fill="auto" w:val="clear"/>
            <w:vAlign w:val="center"/>
          </w:tcPr>
          <w:p>
            <w:pPr>
              <w:pStyle w:val="TableContents"/>
              <w:spacing w:before="0" w:after="283"/>
              <w:rPr/>
            </w:pPr>
            <w:r>
              <w:rPr/>
              <w:t> </w:t>
            </w:r>
          </w:p>
        </w:tc>
        <w:tc>
          <w:tcPr>
            <w:tcW w:w="1457" w:type="dxa"/>
            <w:tcBorders/>
            <w:shd w:fill="auto" w:val="clear"/>
            <w:vAlign w:val="center"/>
          </w:tcPr>
          <w:p>
            <w:pPr>
              <w:pStyle w:val="TableContents"/>
              <w:spacing w:before="0" w:after="283"/>
              <w:rPr/>
            </w:pPr>
            <w:r>
              <w:rPr>
                <w:rFonts w:ascii="serif" w:hAnsi="serif"/>
              </w:rPr>
              <w:t xml:space="preserve">Chairman </w:t>
            </w:r>
            <w:r>
              <w:rPr>
                <w:rFonts w:ascii="serif" w:hAnsi="serif"/>
                <w:sz w:val="20"/>
              </w:rPr>
              <w:t>of the Board and</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729" w:type="dxa"/>
            <w:tcBorders/>
            <w:shd w:fill="auto" w:val="clear"/>
            <w:vAlign w:val="center"/>
          </w:tcPr>
          <w:p>
            <w:pPr>
              <w:pStyle w:val="TableContents"/>
              <w:spacing w:before="0" w:after="283"/>
              <w:rPr/>
            </w:pPr>
            <w:r>
              <w:rPr/>
              <w:t> </w:t>
            </w:r>
          </w:p>
        </w:tc>
        <w:tc>
          <w:tcPr>
            <w:tcW w:w="1457" w:type="dxa"/>
            <w:tcBorders/>
            <w:shd w:fill="auto" w:val="clear"/>
            <w:vAlign w:val="center"/>
          </w:tcPr>
          <w:p>
            <w:pPr>
              <w:pStyle w:val="TableContents"/>
              <w:spacing w:before="0" w:after="283"/>
              <w:rPr>
                <w:rFonts w:ascii="serif" w:hAnsi="serif"/>
                <w:sz w:val="20"/>
              </w:rPr>
            </w:pPr>
            <w:r>
              <w:rPr>
                <w:rFonts w:ascii="serif" w:hAnsi="serif"/>
                <w:sz w:val="20"/>
              </w:rPr>
              <w:t>Chief Executive Officer</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729" w:type="dxa"/>
            <w:tcBorders/>
            <w:shd w:fill="auto" w:val="clear"/>
            <w:vAlign w:val="center"/>
          </w:tcPr>
          <w:p>
            <w:pPr>
              <w:pStyle w:val="TableContents"/>
              <w:spacing w:before="0" w:after="283"/>
              <w:rPr/>
            </w:pPr>
            <w:r>
              <w:rPr/>
              <w:t> </w:t>
            </w:r>
          </w:p>
        </w:tc>
        <w:tc>
          <w:tcPr>
            <w:tcW w:w="1457"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I Accept</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top w:val="single" w:sz="18" w:space="0" w:color="000000"/>
            </w:tcBorders>
            <w:shd w:fill="auto" w:val="clear"/>
            <w:tcMar>
              <w:top w:w="28" w:type="dxa"/>
            </w:tcMar>
            <w:vAlign w:val="center"/>
          </w:tcPr>
          <w:p>
            <w:pPr>
              <w:pStyle w:val="TableContents"/>
              <w:spacing w:before="0" w:after="283"/>
              <w:jc w:val="center"/>
              <w:rPr/>
            </w:pPr>
            <w:r>
              <w:rPr/>
              <w:t> </w:t>
            </w:r>
            <w:r>
              <w:rPr>
                <w:rFonts w:ascii="serif" w:hAnsi="serif"/>
              </w:rPr>
              <w:t>Signature</w:t>
            </w:r>
            <w:r>
              <w:rPr/>
              <w:t> </w:t>
            </w:r>
          </w:p>
        </w:tc>
        <w:tc>
          <w:tcPr>
            <w:tcW w:w="590" w:type="dxa"/>
            <w:tcBorders>
              <w:top w:val="single" w:sz="18" w:space="0" w:color="000000"/>
            </w:tcBorders>
            <w:shd w:fill="auto" w:val="clear"/>
            <w:tcMar>
              <w:top w:w="28" w:type="dxa"/>
            </w:tcMar>
            <w:vAlign w:val="center"/>
          </w:tcPr>
          <w:p>
            <w:pPr>
              <w:pStyle w:val="TableContents"/>
              <w:spacing w:before="0" w:after="283"/>
              <w:jc w:val="center"/>
              <w:rPr>
                <w:rFonts w:ascii="serif" w:hAnsi="serif"/>
              </w:rPr>
            </w:pPr>
            <w:r>
              <w:rPr>
                <w:rFonts w:ascii="serif" w:hAnsi="serif"/>
              </w:rPr>
              <w:t>Date</w:t>
            </w:r>
          </w:p>
        </w:tc>
        <w:tc>
          <w:tcPr>
            <w:tcW w:w="437" w:type="dxa"/>
            <w:tcBorders/>
            <w:shd w:fill="auto" w:val="clear"/>
            <w:vAlign w:val="center"/>
          </w:tcPr>
          <w:p>
            <w:pPr>
              <w:pStyle w:val="TableContents"/>
              <w:spacing w:before="0" w:after="283"/>
              <w:rPr/>
            </w:pPr>
            <w:r>
              <w:rPr/>
              <w:t> </w:t>
            </w:r>
          </w:p>
        </w:tc>
      </w:tr>
      <w:tr>
        <w:trPr/>
        <w:tc>
          <w:tcPr>
            <w:tcW w:w="6556"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2186" w:type="dxa"/>
            <w:gridSpan w:val="2"/>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437" w:type="dxa"/>
            <w:tcBorders/>
            <w:shd w:fill="auto" w:val="clear"/>
            <w:vAlign w:val="center"/>
          </w:tcPr>
          <w:p>
            <w:pPr>
              <w:pStyle w:val="TableContents"/>
              <w:spacing w:before="0" w:after="283"/>
              <w:rPr/>
            </w:pPr>
            <w:r>
              <w:rPr/>
              <w:t> </w:t>
            </w:r>
          </w:p>
        </w:tc>
      </w:tr>
    </w:tbl>
    <w:p>
      <w:pPr>
        <w:pStyle w:val="TextBody"/>
        <w:spacing w:before="0" w:after="0"/>
        <w:rPr/>
      </w:pPr>
      <w:r>
        <w:rPr/>
      </w:r>
    </w:p>
    <w:p>
      <w:pPr>
        <w:pStyle w:val="HorizontalLine"/>
        <w:pBdr>
          <w:bottom w:val="single" w:sz="24" w:space="0" w:color="808080"/>
        </w:pBdr>
        <w:rPr/>
      </w:pPr>
      <w:r>
        <w:rPr/>
      </w:r>
      <w:r>
        <w:br w:type="page"/>
      </w:r>
    </w:p>
    <w:p>
      <w:pPr>
        <w:pStyle w:val="TextBody"/>
        <w:spacing w:before="240" w:after="240"/>
        <w:jc w:val="right"/>
        <w:rPr>
          <w:sz w:val="20"/>
          <w:u w:val="single"/>
        </w:rPr>
      </w:pPr>
      <w:bookmarkStart w:id="91" w:name="c44492_ex10-30.htm"/>
      <w:bookmarkStart w:id="92" w:name="ksc44492_ex1030"/>
      <w:bookmarkEnd w:id="91"/>
      <w:bookmarkEnd w:id="92"/>
      <w:r>
        <w:rPr>
          <w:sz w:val="20"/>
          <w:u w:val="single"/>
        </w:rPr>
        <w:t>Exhibit 10.30</w:t>
      </w:r>
    </w:p>
    <w:p>
      <w:pPr>
        <w:pStyle w:val="TextBody"/>
        <w:spacing w:before="0" w:after="0"/>
        <w:jc w:val="right"/>
        <w:rPr/>
      </w:pPr>
      <w:r>
        <w:rPr/>
        <w:t> </w:t>
      </w:r>
    </w:p>
    <w:p>
      <w:pPr>
        <w:pStyle w:val="TextBody"/>
        <w:spacing w:before="0" w:after="0"/>
        <w:jc w:val="right"/>
        <w:rPr>
          <w:sz w:val="20"/>
        </w:rPr>
      </w:pPr>
      <w:r>
        <w:rPr>
          <w:sz w:val="20"/>
        </w:rPr>
        <w:t xml:space="preserve">Honeywell EID Number: _______ </w:t>
      </w:r>
    </w:p>
    <w:p>
      <w:pPr>
        <w:pStyle w:val="TextBody"/>
        <w:spacing w:before="240" w:after="0"/>
        <w:jc w:val="center"/>
        <w:rPr>
          <w:b/>
          <w:sz w:val="20"/>
        </w:rPr>
      </w:pPr>
      <w:r>
        <w:rPr>
          <w:b/>
          <w:sz w:val="20"/>
        </w:rPr>
        <w:t>2006 Stock Incentive Plan</w:t>
      </w:r>
    </w:p>
    <w:p>
      <w:pPr>
        <w:pStyle w:val="TextBody"/>
        <w:spacing w:before="0" w:after="240"/>
        <w:jc w:val="center"/>
        <w:rPr>
          <w:b/>
          <w:sz w:val="20"/>
        </w:rPr>
      </w:pPr>
      <w:r>
        <w:rPr>
          <w:b/>
          <w:sz w:val="20"/>
        </w:rPr>
        <w:t>of Honeywell International Inc. and its Affiliates</w:t>
      </w:r>
    </w:p>
    <w:p>
      <w:pPr>
        <w:pStyle w:val="TextBody"/>
        <w:spacing w:before="120" w:after="480"/>
        <w:jc w:val="center"/>
        <w:rPr>
          <w:b/>
        </w:rPr>
      </w:pPr>
      <w:r>
        <w:rPr>
          <w:b/>
          <w:sz w:val="20"/>
        </w:rPr>
        <w:t>PERFORMANCE</w:t>
      </w:r>
      <w:r>
        <w:rPr>
          <w:b/>
        </w:rPr>
        <w:t xml:space="preserve"> </w:t>
      </w:r>
      <w:r>
        <w:rPr>
          <w:b/>
          <w:sz w:val="20"/>
        </w:rPr>
        <w:t>SHARE</w:t>
      </w:r>
      <w:r>
        <w:rPr>
          <w:b/>
        </w:rPr>
        <w:t xml:space="preserve"> </w:t>
      </w:r>
      <w:r>
        <w:rPr>
          <w:b/>
          <w:sz w:val="20"/>
        </w:rPr>
        <w:t>AGREEMENT</w:t>
      </w:r>
    </w:p>
    <w:p>
      <w:pPr>
        <w:pStyle w:val="TextBody"/>
        <w:spacing w:before="0" w:after="240"/>
        <w:jc w:val="left"/>
        <w:rPr/>
      </w:pPr>
      <w:r>
        <w:rPr>
          <w:sz w:val="20"/>
        </w:rPr>
        <w:t>This PERFORMANCE SHARE AGREEMENT made in Morris Township, New Jersey, United States of America, as of the [DAY] day of [MONTH, YEAR]</w:t>
      </w:r>
      <w:r>
        <w:rPr/>
        <w:t xml:space="preserve"> </w:t>
      </w:r>
      <w:r>
        <w:rPr>
          <w:sz w:val="20"/>
        </w:rPr>
        <w:t>between Honeywell International Inc. (which together with its subsidiaries and affiliates, when the context so indicates, is hereinafter referred to as the Company) and [EMPLOYEE NAME] (the Employee).</w:t>
      </w:r>
    </w:p>
    <w:tbl>
      <w:tblPr>
        <w:tblW w:w="5000" w:type="pct"/>
        <w:jc w:val="left"/>
        <w:tblInd w:w="0" w:type="dxa"/>
        <w:tblCellMar>
          <w:top w:w="0" w:type="dxa"/>
          <w:left w:w="0" w:type="dxa"/>
          <w:bottom w:w="0" w:type="dxa"/>
          <w:right w:w="0" w:type="dxa"/>
        </w:tblCellMar>
      </w:tblPr>
      <w:tblGrid>
        <w:gridCol w:w="304"/>
        <w:gridCol w:w="305"/>
        <w:gridCol w:w="9596"/>
      </w:tblGrid>
      <w:tr>
        <w:trPr/>
        <w:tc>
          <w:tcPr>
            <w:tcW w:w="304"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1.</w:t>
            </w:r>
          </w:p>
        </w:tc>
        <w:tc>
          <w:tcPr>
            <w:tcW w:w="9596" w:type="dxa"/>
            <w:tcBorders/>
            <w:shd w:fill="auto" w:val="clear"/>
          </w:tcPr>
          <w:p>
            <w:pPr>
              <w:pStyle w:val="TableContents"/>
              <w:spacing w:before="0" w:after="0"/>
              <w:ind w:left="0" w:right="0" w:hanging="0"/>
              <w:jc w:val="left"/>
              <w:rPr/>
            </w:pPr>
            <w:r>
              <w:rPr>
                <w:b/>
                <w:sz w:val="20"/>
              </w:rPr>
              <w:t xml:space="preserve">Grant of Awards. </w:t>
            </w:r>
            <w:r>
              <w:rPr>
                <w:sz w:val="20"/>
              </w:rPr>
              <w:t>The Company has granted to you [NUMBER] Performance Shares, subject to the terms of this Agreement and the terms of the 2006 Stock Incentive Plan of Honeywell International Inc. and Its Affiliates (the Stock Plan).</w:t>
            </w:r>
          </w:p>
        </w:tc>
      </w:tr>
    </w:tbl>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2.</w:t>
            </w:r>
          </w:p>
        </w:tc>
        <w:tc>
          <w:tcPr>
            <w:tcW w:w="9594" w:type="dxa"/>
            <w:tcBorders/>
            <w:shd w:fill="auto" w:val="clear"/>
          </w:tcPr>
          <w:p>
            <w:pPr>
              <w:pStyle w:val="TableContents"/>
              <w:spacing w:before="0" w:after="0"/>
              <w:ind w:left="0" w:right="0" w:hanging="0"/>
              <w:jc w:val="left"/>
              <w:rPr/>
            </w:pPr>
            <w:r>
              <w:rPr>
                <w:b/>
                <w:sz w:val="20"/>
              </w:rPr>
              <w:t xml:space="preserve">Target and Actual Awards. </w:t>
            </w:r>
            <w:r>
              <w:rPr>
                <w:sz w:val="20"/>
              </w:rPr>
              <w:t>The number of Performance Shares awarded to you represents a target award for the Performance Cycle (as defined below) (the Target Award). Each Performance Share represents one (1) Share of Common Stock. Your actual earned award (the Actual Award) is equal to the product of (i) the Plan Payout Percentage, and (iii) your Target Award. For purposes of this Agreement, the Plan Payout Percentage shall be based on the achievement of the Performance Measures described in Section 3 below and may range from zero to a maximum of 200%.</w:t>
            </w:r>
          </w:p>
        </w:tc>
      </w:tr>
    </w:tbl>
    <w:tbl>
      <w:tblPr>
        <w:tblW w:w="5000" w:type="pct"/>
        <w:jc w:val="left"/>
        <w:tblInd w:w="0" w:type="dxa"/>
        <w:tblCellMar>
          <w:top w:w="0" w:type="dxa"/>
          <w:left w:w="0" w:type="dxa"/>
          <w:bottom w:w="0" w:type="dxa"/>
          <w:right w:w="0" w:type="dxa"/>
        </w:tblCellMar>
      </w:tblPr>
      <w:tblGrid>
        <w:gridCol w:w="304"/>
        <w:gridCol w:w="305"/>
        <w:gridCol w:w="9596"/>
      </w:tblGrid>
      <w:tr>
        <w:trPr/>
        <w:tc>
          <w:tcPr>
            <w:tcW w:w="304"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3.</w:t>
            </w:r>
          </w:p>
        </w:tc>
        <w:tc>
          <w:tcPr>
            <w:tcW w:w="9596" w:type="dxa"/>
            <w:tcBorders/>
            <w:shd w:fill="auto" w:val="clear"/>
          </w:tcPr>
          <w:p>
            <w:pPr>
              <w:pStyle w:val="TableContents"/>
              <w:spacing w:before="0" w:after="0"/>
              <w:ind w:left="0" w:right="0" w:hanging="0"/>
              <w:jc w:val="left"/>
              <w:rPr/>
            </w:pPr>
            <w:r>
              <w:rPr>
                <w:b/>
                <w:sz w:val="20"/>
              </w:rPr>
              <w:t>Performance Measures.</w:t>
            </w:r>
            <w:r>
              <w:rPr/>
              <w:t xml:space="preserve"> </w:t>
            </w:r>
            <w:r>
              <w:rPr>
                <w:sz w:val="20"/>
              </w:rPr>
              <w:t xml:space="preserve">The Plan Payout Percentage shall be determined based on [DESCRIBE PERFORMANCE MEASURES AND PERCENTAGE PAYOUT SCHEDULE TO BE USED] (collectively the Performance Measures) for the Performance Cycle. </w:t>
            </w:r>
          </w:p>
        </w:tc>
      </w:tr>
    </w:tbl>
    <w:tbl>
      <w:tblPr>
        <w:tblW w:w="5000" w:type="pct"/>
        <w:jc w:val="left"/>
        <w:tblInd w:w="0" w:type="dxa"/>
        <w:tblCellMar>
          <w:top w:w="0" w:type="dxa"/>
          <w:left w:w="0" w:type="dxa"/>
          <w:bottom w:w="0" w:type="dxa"/>
          <w:right w:w="0" w:type="dxa"/>
        </w:tblCellMar>
      </w:tblPr>
      <w:tblGrid>
        <w:gridCol w:w="304"/>
        <w:gridCol w:w="305"/>
        <w:gridCol w:w="9596"/>
      </w:tblGrid>
      <w:tr>
        <w:trPr/>
        <w:tc>
          <w:tcPr>
            <w:tcW w:w="304"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4.</w:t>
            </w:r>
          </w:p>
        </w:tc>
        <w:tc>
          <w:tcPr>
            <w:tcW w:w="9596" w:type="dxa"/>
            <w:tcBorders/>
            <w:shd w:fill="auto" w:val="clear"/>
          </w:tcPr>
          <w:p>
            <w:pPr>
              <w:pStyle w:val="TableContents"/>
              <w:spacing w:before="0" w:after="0"/>
              <w:ind w:left="0" w:right="0" w:hanging="0"/>
              <w:jc w:val="left"/>
              <w:rPr/>
            </w:pPr>
            <w:r>
              <w:rPr>
                <w:b/>
                <w:sz w:val="20"/>
              </w:rPr>
              <w:t xml:space="preserve">Performance Cycles. </w:t>
            </w:r>
            <w:r>
              <w:rPr>
                <w:sz w:val="20"/>
              </w:rPr>
              <w:t>The performance cycle to which this Agreement applies commences on [DATE] and ends on [DATE] (the Performance Cycle).</w:t>
            </w:r>
          </w:p>
        </w:tc>
      </w:tr>
    </w:tbl>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5.</w:t>
            </w:r>
          </w:p>
        </w:tc>
        <w:tc>
          <w:tcPr>
            <w:tcW w:w="9594" w:type="dxa"/>
            <w:tcBorders/>
            <w:shd w:fill="auto" w:val="clear"/>
          </w:tcPr>
          <w:p>
            <w:pPr>
              <w:pStyle w:val="TableContents"/>
              <w:spacing w:before="0" w:after="0"/>
              <w:ind w:left="0" w:right="0" w:hanging="0"/>
              <w:jc w:val="left"/>
              <w:rPr/>
            </w:pPr>
            <w:r>
              <w:rPr>
                <w:b/>
                <w:sz w:val="20"/>
              </w:rPr>
              <w:t xml:space="preserve">Timing of Payments. </w:t>
            </w:r>
            <w:r>
              <w:rPr>
                <w:sz w:val="20"/>
              </w:rPr>
              <w:t>The payment of Performance Shares [and Dividend Shares] is contingent upon (i) the achievement of the performance criteria outlined in Section 3 above, and (ii) you remaining actively employed by the Company on the applicable payment dates. Thus, for example, if you are receiving pay from the Company but not actively performing services therefore (including, but not limited to, severance periods, notice periods, grandfathered vacation periods, short or long-term disability periods), you will not be considered active for purposes of the payment of Performance Shares[and Dividend Shares]. To the extent Performance Shares [and Dividend Shares] are earned, you will receive them in two installments (subject, of course, to the active employment criteria described herein). One-half of your Actual Award [and Dividend Shares] will be paid in [MONTH, YEAR] ; the second half of your Actual Award [and Dividend Shares] will be paid in [MONTH, YEAR] ; provided, however, that in no event will a payment be made later than two and one-half months from the end of the year in which the payment vests.</w:t>
            </w:r>
          </w:p>
        </w:tc>
      </w:tr>
    </w:tbl>
    <w:p>
      <w:pPr>
        <w:pStyle w:val="TextBody"/>
        <w:spacing w:before="0" w:after="0"/>
        <w:jc w:val="left"/>
        <w:rPr/>
      </w:pPr>
      <w:r>
        <w:rPr/>
        <w:t> </w:t>
      </w:r>
    </w:p>
    <w:p>
      <w:pPr>
        <w:pStyle w:val="HorizontalLine"/>
        <w:pBdr>
          <w:bottom w:val="single" w:sz="12" w:space="0" w:color="808080"/>
        </w:pBdr>
        <w:rPr/>
      </w:pPr>
      <w:r>
        <w:rPr/>
      </w:r>
      <w:r>
        <w:br w:type="page"/>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pageBreakBefore/>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6.</w:t>
            </w:r>
          </w:p>
        </w:tc>
        <w:tc>
          <w:tcPr>
            <w:tcW w:w="9594" w:type="dxa"/>
            <w:tcBorders/>
            <w:shd w:fill="auto" w:val="clear"/>
          </w:tcPr>
          <w:p>
            <w:pPr>
              <w:pStyle w:val="TableContents"/>
              <w:spacing w:before="0" w:after="0"/>
              <w:ind w:left="0" w:right="0" w:hanging="0"/>
              <w:jc w:val="left"/>
              <w:rPr/>
            </w:pPr>
            <w:r>
              <w:rPr>
                <w:b/>
                <w:sz w:val="20"/>
              </w:rPr>
              <w:t xml:space="preserve">Form of Payment. </w:t>
            </w:r>
            <w:r>
              <w:rPr>
                <w:sz w:val="20"/>
              </w:rPr>
              <w:t xml:space="preserve">Performance Shares [and Dividend Shares] will be paid in shares of the Companys common stock (Shares) except as may otherwise provided in Section 11 below. </w:t>
            </w:r>
          </w:p>
        </w:tc>
      </w:tr>
    </w:tbl>
    <w:tbl>
      <w:tblPr>
        <w:tblW w:w="5000" w:type="pct"/>
        <w:jc w:val="left"/>
        <w:tblInd w:w="0" w:type="dxa"/>
        <w:tblCellMar>
          <w:top w:w="0" w:type="dxa"/>
          <w:left w:w="0" w:type="dxa"/>
          <w:bottom w:w="0" w:type="dxa"/>
          <w:right w:w="0" w:type="dxa"/>
        </w:tblCellMar>
      </w:tblPr>
      <w:tblGrid>
        <w:gridCol w:w="304"/>
        <w:gridCol w:w="305"/>
        <w:gridCol w:w="9596"/>
      </w:tblGrid>
      <w:tr>
        <w:trPr/>
        <w:tc>
          <w:tcPr>
            <w:tcW w:w="304"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7.</w:t>
            </w:r>
          </w:p>
        </w:tc>
        <w:tc>
          <w:tcPr>
            <w:tcW w:w="9596" w:type="dxa"/>
            <w:tcBorders/>
            <w:shd w:fill="auto" w:val="clear"/>
          </w:tcPr>
          <w:p>
            <w:pPr>
              <w:pStyle w:val="TableContents"/>
              <w:spacing w:before="0" w:after="0"/>
              <w:ind w:left="0" w:right="0" w:hanging="0"/>
              <w:jc w:val="left"/>
              <w:rPr/>
            </w:pPr>
            <w:r>
              <w:rPr>
                <w:b/>
                <w:sz w:val="20"/>
              </w:rPr>
              <w:t xml:space="preserve">[FOLLOWING INCLUDED AT COMMITTEES DISCRETION: Dividend Shares. </w:t>
            </w:r>
            <w:r>
              <w:rPr>
                <w:sz w:val="20"/>
              </w:rPr>
              <w:t>You will earn dividend equivalents in the form of additional shares (Dividend Shares) based on your Actual Award. The number of Dividend Shares will be calculated by dividing the sum of cash dividends that you would have earned on your Actual Award had you held those earned Shares throughout the Performance Cycle by the average Honeywell closing Share price for the 30 trading days preceding [LAST DAY OF PERFORMANCE CYCLE], with any fractional Shares rounded up to the nearest whole Share. Dividend Shares will be paid in accordance with Section 5.]</w:t>
            </w:r>
          </w:p>
        </w:tc>
      </w:tr>
    </w:tbl>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8.</w:t>
            </w:r>
          </w:p>
        </w:tc>
        <w:tc>
          <w:tcPr>
            <w:tcW w:w="9594" w:type="dxa"/>
            <w:tcBorders/>
            <w:shd w:fill="auto" w:val="clear"/>
          </w:tcPr>
          <w:p>
            <w:pPr>
              <w:pStyle w:val="TableContents"/>
              <w:spacing w:before="0" w:after="0"/>
              <w:ind w:left="0" w:right="0" w:hanging="0"/>
              <w:jc w:val="left"/>
              <w:rPr/>
            </w:pPr>
            <w:r>
              <w:rPr>
                <w:b/>
                <w:sz w:val="20"/>
              </w:rPr>
              <w:t>Termination of Employment.</w:t>
            </w:r>
            <w:r>
              <w:rPr/>
              <w:t xml:space="preserve"> </w:t>
            </w:r>
            <w:r>
              <w:rPr>
                <w:sz w:val="20"/>
              </w:rPr>
              <w:t>If your employment with the Company is terminated for any reason other than death or Disability prior to the date an Actual Award payment is to be made pursuant to Section 5 above, any unpaid Actual Award [and Dividend Shares] shall be forfeited and your rights with respect to any award under this Agreement will terminate unless the Committee, or its designee, determines otherwise in its sole and absolute discretion.</w:t>
            </w:r>
          </w:p>
        </w:tc>
      </w:tr>
    </w:tbl>
    <w:tbl>
      <w:tblPr>
        <w:tblW w:w="5000" w:type="pct"/>
        <w:jc w:val="left"/>
        <w:tblInd w:w="0" w:type="dxa"/>
        <w:tblCellMar>
          <w:top w:w="0" w:type="dxa"/>
          <w:left w:w="0" w:type="dxa"/>
          <w:bottom w:w="0" w:type="dxa"/>
          <w:right w:w="0" w:type="dxa"/>
        </w:tblCellMar>
      </w:tblPr>
      <w:tblGrid>
        <w:gridCol w:w="305"/>
        <w:gridCol w:w="305"/>
        <w:gridCol w:w="9595"/>
      </w:tblGrid>
      <w:tr>
        <w:trPr/>
        <w:tc>
          <w:tcPr>
            <w:tcW w:w="305"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9.</w:t>
            </w:r>
          </w:p>
        </w:tc>
        <w:tc>
          <w:tcPr>
            <w:tcW w:w="9595" w:type="dxa"/>
            <w:tcBorders/>
            <w:shd w:fill="auto" w:val="clear"/>
          </w:tcPr>
          <w:p>
            <w:pPr>
              <w:pStyle w:val="TableContents"/>
              <w:spacing w:before="0" w:after="0"/>
              <w:ind w:left="0" w:right="0" w:hanging="0"/>
              <w:jc w:val="left"/>
              <w:rPr/>
            </w:pPr>
            <w:r>
              <w:rPr>
                <w:b/>
                <w:sz w:val="20"/>
              </w:rPr>
              <w:t>Death or Disability.</w:t>
            </w:r>
            <w:r>
              <w:rPr/>
              <w:t xml:space="preserve"> </w:t>
            </w:r>
            <w:r>
              <w:rPr>
                <w:sz w:val="20"/>
              </w:rPr>
              <w:t xml:space="preserve">If your employment with the Company terminates because of death or Disability (as defined in the Stock Plan) prior to the first installment payment of your Actual Award, you or your estate will receive, as your Actual Award for the Performance Cycle, the greater of (i) your Actual Award determined pursuant to Section 2 above at the time the death or Disability occurs, or (ii) your Target Award. [No Dividend Shares will be paid in this case. OR Dividend Shares will be calculated as provided in Section 7.] The Actual Award[ and Dividend Shares] will be payable in a single lump sum at the time the first installment payment is scheduled to be paid under Section 5. </w:t>
            </w:r>
          </w:p>
        </w:tc>
      </w:tr>
      <w:tr>
        <w:trPr/>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sz w:val="20"/>
              </w:rPr>
            </w:pPr>
            <w:r>
              <w:rPr>
                <w:sz w:val="20"/>
              </w:rPr>
              <w:t xml:space="preserve">If your death or Disability occurs after the first installment payment of your Actual Award (determined in accordance with Section 2) [and unpaid Dividend Shares] has been made but before the second installment payment has been made, the Company shall pay the second installment payment in a lump sum as soon as practicable after the date of death or Disability. </w:t>
            </w:r>
          </w:p>
        </w:tc>
      </w:tr>
      <w:tr>
        <w:trPr/>
        <w:tc>
          <w:tcPr>
            <w:tcW w:w="305"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10.</w:t>
            </w:r>
          </w:p>
        </w:tc>
        <w:tc>
          <w:tcPr>
            <w:tcW w:w="9595" w:type="dxa"/>
            <w:tcBorders/>
            <w:shd w:fill="auto" w:val="clear"/>
          </w:tcPr>
          <w:p>
            <w:pPr>
              <w:pStyle w:val="TableContents"/>
              <w:spacing w:before="0" w:after="0"/>
              <w:ind w:left="0" w:right="0" w:hanging="0"/>
              <w:jc w:val="left"/>
              <w:rPr/>
            </w:pPr>
            <w:r>
              <w:rPr>
                <w:b/>
                <w:sz w:val="20"/>
              </w:rPr>
              <w:t>[FOLLOWING INCLUDED AT COMMITTEES DISCRETION: No Deferral.</w:t>
            </w:r>
            <w:r>
              <w:rPr/>
              <w:t xml:space="preserve"> </w:t>
            </w:r>
            <w:r>
              <w:rPr>
                <w:sz w:val="20"/>
              </w:rPr>
              <w:t>You cannot defer payment of the Performance Shares[ or Dividend Shares].</w:t>
            </w:r>
          </w:p>
        </w:tc>
      </w:tr>
      <w:tr>
        <w:trPr/>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sz w:val="20"/>
              </w:rPr>
            </w:pPr>
            <w:r>
              <w:rPr>
                <w:sz w:val="20"/>
              </w:rPr>
              <w:t>OR</w:t>
            </w:r>
          </w:p>
        </w:tc>
      </w:tr>
      <w:tr>
        <w:trPr/>
        <w:tc>
          <w:tcPr>
            <w:tcW w:w="30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b/>
                <w:sz w:val="20"/>
              </w:rPr>
              <w:t>Deferral of Payment.</w:t>
            </w:r>
            <w:r>
              <w:rPr/>
              <w:t xml:space="preserve"> </w:t>
            </w:r>
            <w:r>
              <w:rPr>
                <w:sz w:val="20"/>
              </w:rPr>
              <w:t>If you would like to defer payment of the Actual Award, you may make a request to the Committee in writing in the form and at the time designated by the Committee. You must submit a suggested payment schedule with the request for deferral. The Committee may, in its sole discretion, determine whether to permit deferral of payment in the manner requested. If the Committee does not accept your proposed payment schedule, then payment will be made as provided in Section 5. You cannot defer payment of Dividend Shares.]</w:t>
            </w:r>
          </w:p>
        </w:tc>
      </w:tr>
      <w:tr>
        <w:trPr/>
        <w:tc>
          <w:tcPr>
            <w:tcW w:w="305"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11.</w:t>
            </w:r>
          </w:p>
        </w:tc>
        <w:tc>
          <w:tcPr>
            <w:tcW w:w="9595" w:type="dxa"/>
            <w:tcBorders/>
            <w:shd w:fill="auto" w:val="clear"/>
          </w:tcPr>
          <w:p>
            <w:pPr>
              <w:pStyle w:val="TableContents"/>
              <w:spacing w:before="0" w:after="0"/>
              <w:ind w:left="0" w:right="0" w:hanging="0"/>
              <w:jc w:val="left"/>
              <w:rPr/>
            </w:pPr>
            <w:r>
              <w:rPr>
                <w:b/>
                <w:sz w:val="20"/>
              </w:rPr>
              <w:t>Change in Control.</w:t>
            </w:r>
            <w:r>
              <w:rPr/>
              <w:t xml:space="preserve"> </w:t>
            </w:r>
            <w:r>
              <w:rPr>
                <w:sz w:val="20"/>
              </w:rPr>
              <w:t>In the event of a Change in Control (as defined in the Stock Plan), you will be deemed to have earned an Actual Award at a Plan Payout Percentage of 100%. In such case, you shall receive both installments of your Actual Award [and Dividend Shares] in a single sum payment no later than the earlier of 90 days after the date of the Change in Control or two and one-half months after the end of the calendar year in which the Change in Control occurs. Such single sum payment will be in cash or Shares, as determined by the Committee.</w:t>
            </w:r>
          </w:p>
        </w:tc>
      </w:tr>
    </w:tbl>
    <w:p>
      <w:pPr>
        <w:pStyle w:val="TextBody"/>
        <w:spacing w:before="0" w:after="240"/>
        <w:jc w:val="left"/>
        <w:rPr/>
      </w:pPr>
      <w:r>
        <w:rPr/>
        <w:t> </w:t>
      </w:r>
    </w:p>
    <w:p>
      <w:pPr>
        <w:pStyle w:val="TextBody"/>
        <w:spacing w:before="0" w:after="0"/>
        <w:jc w:val="center"/>
        <w:rPr>
          <w:sz w:val="20"/>
        </w:rPr>
      </w:pPr>
      <w:r>
        <w:rPr>
          <w:sz w:val="20"/>
        </w:rPr>
        <w:t>2</w:t>
      </w:r>
    </w:p>
    <w:p>
      <w:pPr>
        <w:pStyle w:val="HorizontalLine"/>
        <w:pBdr>
          <w:bottom w:val="single" w:sz="12" w:space="0" w:color="808080"/>
        </w:pBdr>
        <w:rPr/>
      </w:pPr>
      <w:r>
        <w:rPr/>
      </w:r>
      <w:r>
        <w:br w:type="page"/>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pageBreakBefore/>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12.</w:t>
            </w:r>
          </w:p>
        </w:tc>
        <w:tc>
          <w:tcPr>
            <w:tcW w:w="9594" w:type="dxa"/>
            <w:tcBorders/>
            <w:shd w:fill="auto" w:val="clear"/>
          </w:tcPr>
          <w:p>
            <w:pPr>
              <w:pStyle w:val="TableContents"/>
              <w:spacing w:before="0" w:after="0"/>
              <w:ind w:left="0" w:right="0" w:hanging="0"/>
              <w:jc w:val="left"/>
              <w:rPr/>
            </w:pPr>
            <w:r>
              <w:rPr>
                <w:b/>
                <w:sz w:val="20"/>
              </w:rPr>
              <w:t>Change in Status.</w:t>
            </w:r>
            <w:r>
              <w:rPr/>
              <w:t xml:space="preserve"> </w:t>
            </w:r>
            <w:r>
              <w:rPr>
                <w:sz w:val="20"/>
              </w:rPr>
              <w:t xml:space="preserve">If your role within the Company changes during the Performance Cycle such that you would no longer be eligible to receive the Performance Shares, this Agreement shall remain in full force and effect as if no such change had occurred. </w:t>
            </w:r>
          </w:p>
        </w:tc>
      </w:tr>
    </w:tbl>
    <w:tbl>
      <w:tblPr>
        <w:tblW w:w="5000" w:type="pct"/>
        <w:jc w:val="left"/>
        <w:tblInd w:w="0" w:type="dxa"/>
        <w:tblCellMar>
          <w:top w:w="0" w:type="dxa"/>
          <w:left w:w="0" w:type="dxa"/>
          <w:bottom w:w="0" w:type="dxa"/>
          <w:right w:w="0" w:type="dxa"/>
        </w:tblCellMar>
      </w:tblPr>
      <w:tblGrid>
        <w:gridCol w:w="306"/>
        <w:gridCol w:w="306"/>
        <w:gridCol w:w="9593"/>
      </w:tblGrid>
      <w:tr>
        <w:trPr/>
        <w:tc>
          <w:tcPr>
            <w:tcW w:w="306"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13.</w:t>
            </w:r>
          </w:p>
        </w:tc>
        <w:tc>
          <w:tcPr>
            <w:tcW w:w="9593" w:type="dxa"/>
            <w:tcBorders/>
            <w:shd w:fill="auto" w:val="clear"/>
          </w:tcPr>
          <w:p>
            <w:pPr>
              <w:pStyle w:val="TableContents"/>
              <w:spacing w:before="0" w:after="0"/>
              <w:ind w:left="0" w:right="0" w:hanging="0"/>
              <w:jc w:val="left"/>
              <w:rPr/>
            </w:pPr>
            <w:r>
              <w:rPr>
                <w:b/>
                <w:sz w:val="20"/>
              </w:rPr>
              <w:t>Transfer of Awards.</w:t>
            </w:r>
            <w:r>
              <w:rPr/>
              <w:t xml:space="preserve"> </w:t>
            </w:r>
            <w:r>
              <w:rPr>
                <w:sz w:val="20"/>
              </w:rPr>
              <w:t>You may not transfer any interest in your Performance Shares, Actual Award [or Dividend Shares] except by will or the laws of descent and distribution [FOLLOWING INCLUDED AT COMMITTEE’S DISCRETION: or except as permitted by the Committee and as specified in the Plan]. Any other attempt to dispose of all or any portion of your interest under this Agreement shall be null and void.</w:t>
            </w:r>
          </w:p>
        </w:tc>
      </w:tr>
    </w:tbl>
    <w:tbl>
      <w:tblPr>
        <w:tblW w:w="5000" w:type="pct"/>
        <w:jc w:val="left"/>
        <w:tblInd w:w="0" w:type="dxa"/>
        <w:tblCellMar>
          <w:top w:w="0" w:type="dxa"/>
          <w:left w:w="0" w:type="dxa"/>
          <w:bottom w:w="0" w:type="dxa"/>
          <w:right w:w="0" w:type="dxa"/>
        </w:tblCellMar>
      </w:tblPr>
      <w:tblGrid>
        <w:gridCol w:w="306"/>
        <w:gridCol w:w="306"/>
        <w:gridCol w:w="9593"/>
      </w:tblGrid>
      <w:tr>
        <w:trPr/>
        <w:tc>
          <w:tcPr>
            <w:tcW w:w="306"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14.</w:t>
            </w:r>
          </w:p>
        </w:tc>
        <w:tc>
          <w:tcPr>
            <w:tcW w:w="9593" w:type="dxa"/>
            <w:tcBorders/>
            <w:shd w:fill="auto" w:val="clear"/>
          </w:tcPr>
          <w:p>
            <w:pPr>
              <w:pStyle w:val="TableContents"/>
              <w:spacing w:before="0" w:after="0"/>
              <w:ind w:left="0" w:right="0" w:hanging="0"/>
              <w:jc w:val="left"/>
              <w:rPr/>
            </w:pPr>
            <w:r>
              <w:rPr>
                <w:b/>
                <w:sz w:val="20"/>
              </w:rPr>
              <w:t>Personal Data.</w:t>
            </w:r>
            <w:r>
              <w:rPr/>
              <w:t xml:space="preserve"> </w:t>
            </w:r>
            <w:r>
              <w:rPr>
                <w:sz w:val="20"/>
              </w:rPr>
              <w:t>By accepting the Performance Share award under this Agreement, you hereby consent to the Companys use, dissemination and disclosure of any information pertaining to you that the Company determines to be necessary or desirable for the implementation, administration, and management of the Stock Plan.</w:t>
            </w:r>
          </w:p>
        </w:tc>
      </w:tr>
    </w:tbl>
    <w:tbl>
      <w:tblPr>
        <w:tblW w:w="5000" w:type="pct"/>
        <w:jc w:val="left"/>
        <w:tblInd w:w="0" w:type="dxa"/>
        <w:tblCellMar>
          <w:top w:w="0" w:type="dxa"/>
          <w:left w:w="0" w:type="dxa"/>
          <w:bottom w:w="0" w:type="dxa"/>
          <w:right w:w="0" w:type="dxa"/>
        </w:tblCellMar>
      </w:tblPr>
      <w:tblGrid>
        <w:gridCol w:w="305"/>
        <w:gridCol w:w="305"/>
        <w:gridCol w:w="9595"/>
      </w:tblGrid>
      <w:tr>
        <w:trPr/>
        <w:tc>
          <w:tcPr>
            <w:tcW w:w="305" w:type="dxa"/>
            <w:tcBorders/>
            <w:shd w:fill="auto" w:val="clear"/>
          </w:tcPr>
          <w:p>
            <w:pPr>
              <w:pStyle w:val="TableContents"/>
              <w:spacing w:before="0" w:after="240"/>
              <w:ind w:left="0" w:right="0" w:hanging="0"/>
              <w:jc w:val="left"/>
              <w:rPr/>
            </w:pPr>
            <w:r>
              <w:rPr/>
              <w:t> </w:t>
            </w:r>
          </w:p>
        </w:tc>
        <w:tc>
          <w:tcPr>
            <w:tcW w:w="305" w:type="dxa"/>
            <w:tcBorders/>
            <w:shd w:fill="auto" w:val="clear"/>
          </w:tcPr>
          <w:p>
            <w:pPr>
              <w:pStyle w:val="TableContents"/>
              <w:spacing w:before="0" w:after="0"/>
              <w:ind w:left="0" w:right="0" w:hanging="0"/>
              <w:jc w:val="left"/>
              <w:rPr>
                <w:b/>
                <w:sz w:val="20"/>
              </w:rPr>
            </w:pPr>
            <w:r>
              <w:rPr>
                <w:b/>
                <w:sz w:val="20"/>
              </w:rPr>
              <w:t>15.</w:t>
            </w:r>
          </w:p>
        </w:tc>
        <w:tc>
          <w:tcPr>
            <w:tcW w:w="9595" w:type="dxa"/>
            <w:tcBorders/>
            <w:shd w:fill="auto" w:val="clear"/>
          </w:tcPr>
          <w:p>
            <w:pPr>
              <w:pStyle w:val="TableContents"/>
              <w:spacing w:before="0" w:after="0"/>
              <w:ind w:left="0" w:right="0" w:hanging="0"/>
              <w:jc w:val="left"/>
              <w:rPr/>
            </w:pPr>
            <w:r>
              <w:rPr>
                <w:b/>
                <w:sz w:val="20"/>
              </w:rPr>
              <w:t>Discretionary Nature and Acceptance of Award</w:t>
            </w:r>
            <w:r>
              <w:rPr>
                <w:sz w:val="20"/>
              </w:rPr>
              <w:t>. By accepting this Performance Share award, you agree to be bound by the terms of this Agreement and acknowledge that:</w:t>
            </w:r>
          </w:p>
        </w:tc>
      </w:tr>
    </w:tbl>
    <w:tbl>
      <w:tblPr>
        <w:tblW w:w="5000" w:type="pct"/>
        <w:jc w:val="left"/>
        <w:tblInd w:w="0" w:type="dxa"/>
        <w:tblCellMar>
          <w:top w:w="0" w:type="dxa"/>
          <w:left w:w="0" w:type="dxa"/>
          <w:bottom w:w="0" w:type="dxa"/>
          <w:right w:w="0" w:type="dxa"/>
        </w:tblCellMar>
      </w:tblPr>
      <w:tblGrid>
        <w:gridCol w:w="712"/>
        <w:gridCol w:w="304"/>
        <w:gridCol w:w="9189"/>
      </w:tblGrid>
      <w:tr>
        <w:trPr/>
        <w:tc>
          <w:tcPr>
            <w:tcW w:w="712" w:type="dxa"/>
            <w:tcBorders/>
            <w:shd w:fill="auto" w:val="clear"/>
          </w:tcPr>
          <w:p>
            <w:pPr>
              <w:pStyle w:val="TableContents"/>
              <w:spacing w:before="0" w:after="0"/>
              <w:ind w:left="0" w:right="0" w:hanging="0"/>
              <w:jc w:val="left"/>
              <w:rPr/>
            </w:pPr>
            <w:r>
              <w:rPr/>
              <w:t> </w:t>
            </w:r>
          </w:p>
        </w:tc>
        <w:tc>
          <w:tcPr>
            <w:tcW w:w="304" w:type="dxa"/>
            <w:tcBorders/>
            <w:shd w:fill="auto" w:val="clear"/>
          </w:tcPr>
          <w:p>
            <w:pPr>
              <w:pStyle w:val="TableContents"/>
              <w:spacing w:before="0" w:after="0"/>
              <w:ind w:left="0" w:right="0" w:hanging="0"/>
              <w:jc w:val="left"/>
              <w:rPr>
                <w:sz w:val="20"/>
              </w:rPr>
            </w:pPr>
            <w:r>
              <w:rPr>
                <w:sz w:val="20"/>
              </w:rPr>
              <w:t>a)</w:t>
            </w:r>
          </w:p>
        </w:tc>
        <w:tc>
          <w:tcPr>
            <w:tcW w:w="9189" w:type="dxa"/>
            <w:tcBorders/>
            <w:shd w:fill="auto" w:val="clear"/>
          </w:tcPr>
          <w:p>
            <w:pPr>
              <w:pStyle w:val="TableContents"/>
              <w:spacing w:before="0" w:after="0"/>
              <w:ind w:left="0" w:right="0" w:hanging="0"/>
              <w:jc w:val="left"/>
              <w:rPr>
                <w:sz w:val="20"/>
              </w:rPr>
            </w:pPr>
            <w:r>
              <w:rPr>
                <w:sz w:val="20"/>
              </w:rPr>
              <w:t>The benefits and rights provided under the Stock Plan are not to be considered part of your salary or compensation with the Company for purposes of calculating any (i) severance, resignation, redundancy or termination related payments, (ii) vacation amounts, (iii) bonus amounts, (iv) long-term service awards, (v) pension or retirement benefits, or (vi) any other payments, benefits or rights of any kind. You hereby waive any and all rights to compensation or damages as a result of the termination of your employment with the Company for any reason whatsoever insofar as those rights result, or may result, from the loss or diminution in value of such rights under the Stock Plan or your ceasing to have any rights under, or ceasing to be entitled to any rights under, the Stock Plan as a result of such termination.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305"/>
        <w:gridCol w:w="9186"/>
      </w:tblGrid>
      <w:tr>
        <w:trPr/>
        <w:tc>
          <w:tcPr>
            <w:tcW w:w="714" w:type="dxa"/>
            <w:tcBorders/>
            <w:shd w:fill="auto" w:val="clear"/>
          </w:tcPr>
          <w:p>
            <w:pPr>
              <w:pStyle w:val="TableContents"/>
              <w:spacing w:before="0" w:after="0"/>
              <w:ind w:left="0" w:right="0" w:hanging="0"/>
              <w:jc w:val="left"/>
              <w:rPr/>
            </w:pPr>
            <w:r>
              <w:rPr/>
              <w:t> </w:t>
            </w:r>
          </w:p>
        </w:tc>
        <w:tc>
          <w:tcPr>
            <w:tcW w:w="305" w:type="dxa"/>
            <w:tcBorders/>
            <w:shd w:fill="auto" w:val="clear"/>
          </w:tcPr>
          <w:p>
            <w:pPr>
              <w:pStyle w:val="TableContents"/>
              <w:spacing w:before="0" w:after="0"/>
              <w:ind w:left="0" w:right="0" w:hanging="0"/>
              <w:jc w:val="left"/>
              <w:rPr>
                <w:sz w:val="20"/>
              </w:rPr>
            </w:pPr>
            <w:r>
              <w:rPr>
                <w:sz w:val="20"/>
              </w:rPr>
              <w:t>b)</w:t>
            </w:r>
          </w:p>
        </w:tc>
        <w:tc>
          <w:tcPr>
            <w:tcW w:w="9186" w:type="dxa"/>
            <w:tcBorders/>
            <w:shd w:fill="auto" w:val="clear"/>
          </w:tcPr>
          <w:p>
            <w:pPr>
              <w:pStyle w:val="TableContents"/>
              <w:spacing w:before="0" w:after="0"/>
              <w:ind w:left="0" w:right="0" w:hanging="0"/>
              <w:jc w:val="left"/>
              <w:rPr>
                <w:sz w:val="20"/>
              </w:rPr>
            </w:pPr>
            <w:r>
              <w:rPr>
                <w:sz w:val="20"/>
              </w:rPr>
              <w:t>The grant of Performance Shares hereunder, and any future grant of Performance Shares under the Stock Plan, is entirely voluntary and at the complete and sole discretion of the Company. Neither the grant of these Performance Shares nor any future grant of Performance Shares by the Company shall be deemed to create any obligation to grant any further Performance Shares, whether or not such a reservation is explicitly stated at the time of such grant. The Company has the right, at any time and for any reason, to amend, suspend or terminate the Stock Plan; provided, however, that, except as provided in Section 17, no such amendment, suspension, or termination shall adversely affect your rights hereunder.</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16.</w:t>
            </w:r>
          </w:p>
        </w:tc>
        <w:tc>
          <w:tcPr>
            <w:tcW w:w="9594" w:type="dxa"/>
            <w:tcBorders/>
            <w:shd w:fill="auto" w:val="clear"/>
          </w:tcPr>
          <w:p>
            <w:pPr>
              <w:pStyle w:val="TableContents"/>
              <w:spacing w:before="0" w:after="0"/>
              <w:ind w:left="0" w:right="0" w:hanging="0"/>
              <w:jc w:val="left"/>
              <w:rPr/>
            </w:pPr>
            <w:r>
              <w:rPr>
                <w:b/>
                <w:sz w:val="20"/>
              </w:rPr>
              <w:t>Limitations.</w:t>
            </w:r>
            <w:r>
              <w:rPr/>
              <w:t xml:space="preserve"> </w:t>
            </w:r>
            <w:r>
              <w:rPr>
                <w:sz w:val="20"/>
              </w:rPr>
              <w:t>Nothing in this Agreement or the Stock Plan gives you any right to continue in the employ of the Company or to interfere in any way with the right of the Company to terminate your employment at any time.</w:t>
            </w:r>
          </w:p>
        </w:tc>
      </w:tr>
    </w:tbl>
    <w:tbl>
      <w:tblPr>
        <w:tblW w:w="5000" w:type="pct"/>
        <w:jc w:val="left"/>
        <w:tblInd w:w="0" w:type="dxa"/>
        <w:tblCellMar>
          <w:top w:w="0" w:type="dxa"/>
          <w:left w:w="0" w:type="dxa"/>
          <w:bottom w:w="0" w:type="dxa"/>
          <w:right w:w="0" w:type="dxa"/>
        </w:tblCellMar>
      </w:tblPr>
      <w:tblGrid>
        <w:gridCol w:w="306"/>
        <w:gridCol w:w="306"/>
        <w:gridCol w:w="9593"/>
      </w:tblGrid>
      <w:tr>
        <w:trPr/>
        <w:tc>
          <w:tcPr>
            <w:tcW w:w="306" w:type="dxa"/>
            <w:tcBorders/>
            <w:shd w:fill="auto" w:val="clear"/>
          </w:tcPr>
          <w:p>
            <w:pPr>
              <w:pStyle w:val="TableContents"/>
              <w:spacing w:before="0" w:after="240"/>
              <w:ind w:left="0" w:right="0" w:hanging="0"/>
              <w:jc w:val="left"/>
              <w:rPr/>
            </w:pPr>
            <w:r>
              <w:rPr/>
              <w:t> </w:t>
            </w:r>
          </w:p>
        </w:tc>
        <w:tc>
          <w:tcPr>
            <w:tcW w:w="306" w:type="dxa"/>
            <w:tcBorders/>
            <w:shd w:fill="auto" w:val="clear"/>
          </w:tcPr>
          <w:p>
            <w:pPr>
              <w:pStyle w:val="TableContents"/>
              <w:spacing w:before="0" w:after="0"/>
              <w:ind w:left="0" w:right="0" w:hanging="0"/>
              <w:jc w:val="left"/>
              <w:rPr>
                <w:b/>
                <w:sz w:val="20"/>
              </w:rPr>
            </w:pPr>
            <w:r>
              <w:rPr>
                <w:b/>
                <w:sz w:val="20"/>
              </w:rPr>
              <w:t>17.</w:t>
            </w:r>
          </w:p>
        </w:tc>
        <w:tc>
          <w:tcPr>
            <w:tcW w:w="9593" w:type="dxa"/>
            <w:tcBorders/>
            <w:shd w:fill="auto" w:val="clear"/>
          </w:tcPr>
          <w:p>
            <w:pPr>
              <w:pStyle w:val="TableContents"/>
              <w:spacing w:before="0" w:after="0"/>
              <w:ind w:left="0" w:right="0" w:hanging="0"/>
              <w:jc w:val="left"/>
              <w:rPr/>
            </w:pPr>
            <w:r>
              <w:rPr>
                <w:b/>
                <w:sz w:val="20"/>
              </w:rPr>
              <w:t xml:space="preserve">Agreement Changes. </w:t>
            </w:r>
            <w:r>
              <w:rPr>
                <w:sz w:val="20"/>
              </w:rPr>
              <w:t>The Company reserves the right to change the terms of this Agreement and the Stock Plan without your consent to the extent necessary or desirable to comply with the requirements of Code section 409A, the Treasury regulations and other guidance thereunder.</w:t>
            </w:r>
          </w:p>
        </w:tc>
      </w:tr>
    </w:tbl>
    <w:p>
      <w:pPr>
        <w:pStyle w:val="TextBody"/>
        <w:spacing w:before="0" w:after="480"/>
        <w:jc w:val="left"/>
        <w:rPr>
          <w:sz w:val="20"/>
        </w:rPr>
      </w:pPr>
      <w:r>
        <w:rPr>
          <w:sz w:val="20"/>
        </w:rPr>
        <w:t xml:space="preserve">IN WITNESS WHEREOF, the Company has caused this Agreement to be duly executed by the facsimile signature of its Chairman of the Board and Chief Executive Officer as of the day and year first above written. By consenting to this Agreement, you agree that (i) you have carefully read, fully understand and agree to all of the terms and conditions described in this Agreement, the Stock Plan and the Stock Plan prospectus; and (ii) you understand and agree that this Agreement and the </w:t>
      </w:r>
    </w:p>
    <w:p>
      <w:pPr>
        <w:pStyle w:val="TextBody"/>
        <w:spacing w:before="0" w:after="0"/>
        <w:jc w:val="center"/>
        <w:rPr>
          <w:sz w:val="20"/>
        </w:rPr>
      </w:pPr>
      <w:r>
        <w:rPr>
          <w:sz w:val="20"/>
        </w:rPr>
        <w:t>3</w:t>
      </w:r>
    </w:p>
    <w:p>
      <w:pPr>
        <w:pStyle w:val="HorizontalLine"/>
        <w:pBdr>
          <w:bottom w:val="single" w:sz="12" w:space="0" w:color="808080"/>
        </w:pBdr>
        <w:rPr/>
      </w:pPr>
      <w:r>
        <w:rPr/>
      </w:r>
      <w:r>
        <w:br w:type="page"/>
      </w:r>
    </w:p>
    <w:p>
      <w:pPr>
        <w:pStyle w:val="TextBody"/>
        <w:spacing w:before="0" w:after="480"/>
        <w:jc w:val="left"/>
        <w:rPr>
          <w:sz w:val="20"/>
        </w:rPr>
      </w:pPr>
      <w:r>
        <w:rPr>
          <w:sz w:val="20"/>
        </w:rPr>
        <w:t>Stock Plan constitute the entire understanding between you and the Company regarding your award of Performance Shares, and that any prior agreements, commitments or negotiations concerning such Performance Shares are hereby replaced and superseded. You will be deemed to consent to the application of the terms and conditions set forth in this Agreement and the Stock Plan unless you contact Honeywell International Inc., Executive Compensation/AB-1D, 101 Columbia Road, Morristown, NJ 07962, in writing, within thirty (30) days of the date of this Agreement.</w:t>
      </w:r>
    </w:p>
    <w:p>
      <w:pPr>
        <w:pStyle w:val="TextBody"/>
        <w:spacing w:before="0" w:after="360"/>
        <w:jc w:val="left"/>
        <w:rPr>
          <w:sz w:val="20"/>
        </w:rPr>
      </w:pPr>
      <w:r>
        <w:rPr>
          <w:sz w:val="20"/>
        </w:rPr>
        <w:t>HONEYWELL INTERNATIONAL INC.</w:t>
      </w:r>
    </w:p>
    <w:p>
      <w:pPr>
        <w:pStyle w:val="TextBody"/>
        <w:spacing w:before="0" w:after="360"/>
        <w:jc w:val="left"/>
        <w:rPr>
          <w:sz w:val="20"/>
        </w:rPr>
      </w:pPr>
      <w:r>
        <w:rPr>
          <w:sz w:val="20"/>
        </w:rPr>
        <w:t>By: /s/ David M. Cote</w:t>
      </w:r>
    </w:p>
    <w:p>
      <w:pPr>
        <w:pStyle w:val="TextBody"/>
        <w:spacing w:before="0" w:after="360"/>
        <w:jc w:val="left"/>
        <w:rPr>
          <w:sz w:val="20"/>
        </w:rPr>
      </w:pPr>
      <w:r>
        <w:rPr>
          <w:sz w:val="20"/>
        </w:rPr>
        <w:t>David M. Cote</w:t>
      </w:r>
    </w:p>
    <w:p>
      <w:pPr>
        <w:pStyle w:val="TextBody"/>
        <w:spacing w:before="0" w:after="360"/>
        <w:jc w:val="left"/>
        <w:rPr>
          <w:sz w:val="20"/>
        </w:rPr>
      </w:pPr>
      <w:r>
        <w:rPr>
          <w:sz w:val="20"/>
        </w:rPr>
        <w:t>Chairman of the Board and Chief Executive Officer</w:t>
      </w:r>
    </w:p>
    <w:p>
      <w:pPr>
        <w:pStyle w:val="TextBody"/>
        <w:pBdr>
          <w:bottom w:val="single" w:sz="12" w:space="1" w:color="000000"/>
        </w:pBdr>
        <w:spacing w:before="0" w:after="0"/>
        <w:jc w:val="left"/>
        <w:rPr/>
      </w:pPr>
      <w:r>
        <w:rPr/>
        <w:t> </w:t>
      </w:r>
    </w:p>
    <w:p>
      <w:pPr>
        <w:pStyle w:val="TextBody"/>
        <w:spacing w:before="0" w:after="240"/>
        <w:jc w:val="left"/>
        <w:rPr>
          <w:b/>
          <w:sz w:val="20"/>
        </w:rPr>
      </w:pPr>
      <w:r>
        <w:rPr>
          <w:b/>
          <w:sz w:val="20"/>
        </w:rPr>
        <w:t>Participants signature</w:t>
      </w:r>
    </w:p>
    <w:p>
      <w:pPr>
        <w:pStyle w:val="TextBody"/>
        <w:spacing w:before="0" w:after="0"/>
        <w:jc w:val="both"/>
        <w:rPr/>
      </w:pPr>
      <w:r>
        <w:rPr/>
        <w:t> </w:t>
      </w:r>
    </w:p>
    <w:p>
      <w:pPr>
        <w:pStyle w:val="TextBody"/>
        <w:spacing w:before="0" w:after="0"/>
        <w:jc w:val="left"/>
        <w:rPr>
          <w:b/>
          <w:i/>
          <w:sz w:val="20"/>
        </w:rPr>
      </w:pPr>
      <w:r>
        <w:rPr>
          <w:b/>
          <w:i/>
          <w:sz w:val="20"/>
        </w:rPr>
        <w:t>This Agreement and the underlying Stock Plan represent the entire agreement between the Company and you regarding your Performance Shares. This Agreement and the Stock Plan should be read in conjunction with one another so that they are not in conflict. Nevertheless, in the event this Agreement and the Stock Plan cannot be harmonized with each other, the terms of the Stock Plan shall control. You should consult the Stock Plan for additional information with respect to your rights, responsibilities and entitlements.</w:t>
      </w:r>
    </w:p>
    <w:p>
      <w:pPr>
        <w:pStyle w:val="TextBody"/>
        <w:spacing w:before="0" w:after="0"/>
        <w:jc w:val="left"/>
        <w:rPr/>
      </w:pPr>
      <w:r>
        <w:rPr/>
        <w:t> </w:t>
      </w:r>
    </w:p>
    <w:p>
      <w:pPr>
        <w:pStyle w:val="TextBody"/>
        <w:spacing w:before="0" w:after="0"/>
        <w:jc w:val="left"/>
        <w:rPr>
          <w:b/>
          <w:i/>
          <w:sz w:val="20"/>
        </w:rPr>
      </w:pPr>
      <w:r>
        <w:rPr>
          <w:b/>
          <w:i/>
          <w:sz w:val="20"/>
        </w:rPr>
        <w:t>The Company reserves the right to amend, modify or terminate the Stock Plan at its sole and absolute discretion, subject to shareowner approval if required.</w:t>
      </w:r>
    </w:p>
    <w:p>
      <w:pPr>
        <w:pStyle w:val="TextBody"/>
        <w:spacing w:before="0" w:after="0"/>
        <w:jc w:val="left"/>
        <w:rPr/>
      </w:pPr>
      <w:r>
        <w:rPr/>
        <w:t> </w:t>
      </w:r>
    </w:p>
    <w:p>
      <w:pPr>
        <w:pStyle w:val="TextBody"/>
        <w:spacing w:before="0" w:after="240"/>
        <w:jc w:val="left"/>
        <w:rPr>
          <w:b/>
          <w:i/>
          <w:sz w:val="20"/>
        </w:rPr>
      </w:pPr>
      <w:r>
        <w:rPr>
          <w:b/>
          <w:i/>
          <w:sz w:val="20"/>
        </w:rPr>
        <w:t>This Agreement does not guarantee your eligibility for any Stock Plan benefit now or in the future. Please keep in mind that neither the Stock Plan nor this Agreement, or any amendments thereto, constitute a contract of employment with the Company or otherwise give you the right to be retained in the employment of the Company.</w:t>
      </w:r>
    </w:p>
    <w:p>
      <w:pPr>
        <w:pStyle w:val="TextBody"/>
        <w:spacing w:before="0" w:after="0"/>
        <w:jc w:val="left"/>
        <w:rPr/>
      </w:pPr>
      <w:r>
        <w:rPr/>
        <w:t> </w:t>
      </w:r>
    </w:p>
    <w:p>
      <w:pPr>
        <w:pStyle w:val="TextBody"/>
        <w:spacing w:before="0" w:after="0"/>
        <w:jc w:val="center"/>
        <w:rPr>
          <w:sz w:val="20"/>
        </w:rPr>
      </w:pPr>
      <w:r>
        <w:rPr>
          <w:sz w:val="20"/>
        </w:rPr>
        <w:t>4</w:t>
      </w:r>
    </w:p>
    <w:p>
      <w:pPr>
        <w:pStyle w:val="HorizontalLine"/>
        <w:pBdr>
          <w:bottom w:val="single" w:sz="12" w:space="0" w:color="808080"/>
        </w:pBdr>
        <w:rPr/>
      </w:pPr>
      <w:r>
        <w:rPr/>
      </w:r>
      <w:r>
        <w:br w:type="page"/>
      </w:r>
    </w:p>
    <w:p>
      <w:pPr>
        <w:pStyle w:val="TextBody"/>
        <w:jc w:val="right"/>
        <w:rPr>
          <w:rFonts w:ascii="serif" w:hAnsi="serif"/>
          <w:u w:val="single"/>
        </w:rPr>
      </w:pPr>
      <w:bookmarkStart w:id="93" w:name="page_16"/>
      <w:bookmarkStart w:id="94" w:name="c44492_ex10-31.htm"/>
      <w:bookmarkStart w:id="95" w:name="ksc44492_ex1031"/>
      <w:bookmarkEnd w:id="93"/>
      <w:bookmarkEnd w:id="94"/>
      <w:bookmarkEnd w:id="95"/>
      <w:r>
        <w:rPr>
          <w:rFonts w:ascii="serif" w:hAnsi="serif"/>
          <w:u w:val="single"/>
        </w:rPr>
        <w:t>Exhibit 10.31</w:t>
      </w:r>
    </w:p>
    <w:p>
      <w:pPr>
        <w:pStyle w:val="TextBody"/>
        <w:jc w:val="center"/>
        <w:rPr>
          <w:rFonts w:ascii="serif" w:hAnsi="serif"/>
          <w:b/>
        </w:rPr>
      </w:pPr>
      <w:r>
        <w:rPr>
          <w:rFonts w:ascii="serif" w:hAnsi="serif"/>
          <w:b/>
        </w:rPr>
        <w:t xml:space="preserve">AMENDMENT TO THE </w:t>
        <w:br/>
        <w:t>2006 STOCK PLAN</w:t>
        <w:br/>
        <w:t xml:space="preserve">FOR </w:t>
        <w:br/>
        <w:t xml:space="preserve">NON-EMPLOYEE DIRECTORS OF </w:t>
        <w:br/>
        <w:t>HONEYWELL INTERNATIONAL INC.</w:t>
      </w:r>
    </w:p>
    <w:p>
      <w:pPr>
        <w:pStyle w:val="TextBody"/>
        <w:rPr/>
      </w:pPr>
      <w:r>
        <w:rPr/>
        <w:t>     </w:t>
      </w:r>
      <w:r>
        <w:rPr>
          <w:rFonts w:ascii="serif" w:hAnsi="serif"/>
        </w:rPr>
        <w:t xml:space="preserve">The 2006 Stock Plan for Non-Employee Directors of Honeywell International Inc. (the Plan), is hereby amended effective December 8, 2006, by replacing Section 9 of the Plan in its entirety with the following paragraph: </w:t>
      </w:r>
    </w:p>
    <w:p>
      <w:pPr>
        <w:pStyle w:val="TextBody"/>
        <w:rPr/>
      </w:pPr>
      <w:r>
        <w:rPr>
          <w:rFonts w:ascii="serif" w:hAnsi="serif"/>
        </w:rPr>
        <w:t></w:t>
      </w:r>
      <w:r>
        <w:rPr>
          <w:rFonts w:ascii="serif" w:hAnsi="serif"/>
          <w:b/>
        </w:rPr>
        <w:t>9. Adjustment Upon Certain Changes</w:t>
      </w:r>
    </w:p>
    <w:p>
      <w:pPr>
        <w:pStyle w:val="TextBody"/>
        <w:rPr/>
      </w:pPr>
      <w:r>
        <w:rPr/>
        <w:t>     </w:t>
      </w:r>
      <w:r>
        <w:rPr>
          <w:rFonts w:ascii="serif" w:hAnsi="serif"/>
        </w:rPr>
        <w:t xml:space="preserve">(a) </w:t>
      </w:r>
      <w:r>
        <w:rPr>
          <w:rFonts w:ascii="serif" w:hAnsi="serif"/>
          <w:i/>
        </w:rPr>
        <w:t>Shares Available for Grants</w:t>
      </w:r>
      <w:r>
        <w:rPr>
          <w:rFonts w:ascii="serif" w:hAnsi="serif"/>
        </w:rPr>
        <w:t xml:space="preserve">. In the event of any change in the number of Shares outstanding by reason of any stock dividend or split, recapitalization, merger, consolidation, combination or exchange of Shares or similar corporate change, the maximum aggregate number of Shares with respect to which the Committee may grant Awards and the maximum aggregate number of Shares with respect to which the Committee may grant Awards to any individual Eligible Director in any calendar year shall be appropriately adjusted by the Committee. In the event of any change in the number of Shares outstanding by reason of any other similar event or transaction, the Committee may, to the extent deemed appropriate by the Committee, make such adjustments in the number and class of Shares with respect to which Awards may be granted. </w:t>
      </w:r>
    </w:p>
    <w:p>
      <w:pPr>
        <w:pStyle w:val="TextBody"/>
        <w:rPr/>
      </w:pPr>
      <w:r>
        <w:rPr/>
        <w:t>     </w:t>
      </w:r>
      <w:r>
        <w:rPr>
          <w:rFonts w:ascii="serif" w:hAnsi="serif"/>
        </w:rPr>
        <w:t xml:space="preserve">(b) </w:t>
      </w:r>
      <w:r>
        <w:rPr>
          <w:rFonts w:ascii="serif" w:hAnsi="serif"/>
          <w:i/>
        </w:rPr>
        <w:t>Increase or Decrease in Issued Shares Without Consideration</w:t>
      </w:r>
      <w:r>
        <w:rPr>
          <w:rFonts w:ascii="serif" w:hAnsi="serif"/>
        </w:rPr>
        <w:t xml:space="preserve">. Subject to any required action by the shareowners of the Company, in the event of any increase or decrease in the number of issued Shares resulting from a subdivision or consolidation of Shares or the payment of a stock dividend (but only on the Shares), or any other increase or decrease in the number of such Shares effected without receipt or payment of consideration by the Company, the Committee shall equitably adjust the number of Shares subject to each outstanding Award and the Exercise Price per Share of each such Award. </w:t>
      </w:r>
    </w:p>
    <w:p>
      <w:pPr>
        <w:pStyle w:val="TextBody"/>
        <w:rPr/>
      </w:pPr>
      <w:r>
        <w:rPr/>
        <w:t>     </w:t>
      </w:r>
      <w:r>
        <w:rPr>
          <w:rFonts w:ascii="serif" w:hAnsi="serif"/>
        </w:rPr>
        <w:t xml:space="preserve">(c) </w:t>
      </w:r>
      <w:r>
        <w:rPr>
          <w:rFonts w:ascii="serif" w:hAnsi="serif"/>
          <w:i/>
        </w:rPr>
        <w:t>Certain Mergers</w:t>
      </w:r>
      <w:r>
        <w:rPr>
          <w:rFonts w:ascii="serif" w:hAnsi="serif"/>
        </w:rPr>
        <w:t>. Subject to any required action by the shareowners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pStyle w:val="TextBody"/>
        <w:rPr/>
      </w:pPr>
      <w:r>
        <w:rPr/>
        <w:t>     </w:t>
      </w:r>
      <w:r>
        <w:rPr>
          <w:rFonts w:ascii="serif" w:hAnsi="serif"/>
        </w:rPr>
        <w:t xml:space="preserve">(d) </w:t>
      </w:r>
      <w:r>
        <w:rPr>
          <w:rFonts w:ascii="serif" w:hAnsi="serif"/>
          <w:i/>
        </w:rPr>
        <w:t>Certain Other Transactions</w:t>
      </w:r>
      <w:r>
        <w:rPr>
          <w:rFonts w:ascii="serif" w:hAnsi="serif"/>
        </w:rPr>
        <w:t xml:space="preserve">. In the event of (i) a dissolution or liquidation of the Company, (ii) a sale of all or substantially all of the Companys assets (on a consolidated basis), (iii) a merger, consolidation or similar transaction involving the Company in which the Company is not the surviving corporation or (iv) a merger, consolidation or similar transaction involving the Company in which the Company is </w:t>
      </w:r>
    </w:p>
    <w:p>
      <w:pPr>
        <w:pStyle w:val="HorizontalLine"/>
        <w:pBdr>
          <w:bottom w:val="single" w:sz="24" w:space="0" w:color="808080"/>
        </w:pBdr>
        <w:rPr/>
      </w:pPr>
      <w:r>
        <w:rPr/>
      </w:r>
      <w:r>
        <w:br w:type="page"/>
      </w:r>
    </w:p>
    <w:p>
      <w:pPr>
        <w:pStyle w:val="TextBody"/>
        <w:jc w:val="center"/>
        <w:rPr/>
      </w:pPr>
      <w:bookmarkStart w:id="96" w:name="page_25"/>
      <w:bookmarkEnd w:id="96"/>
      <w:r>
        <w:rPr/>
        <w:t> </w:t>
      </w:r>
    </w:p>
    <w:p>
      <w:pPr>
        <w:pStyle w:val="TextBody"/>
        <w:rPr>
          <w:rFonts w:ascii="serif" w:hAnsi="serif"/>
        </w:rPr>
      </w:pPr>
      <w:r>
        <w:rPr>
          <w:rFonts w:ascii="serif" w:hAnsi="serif"/>
        </w:rPr>
        <w:t xml:space="preserve">the surviving corporation but the holders of Shares receive securities of another corporation and/or other property, including cash, the Committee shall, in its sole discretion, have the power to: </w:t>
      </w:r>
    </w:p>
    <w:p>
      <w:pPr>
        <w:pStyle w:val="TextBody"/>
        <w:rPr/>
      </w:pPr>
      <w:r>
        <w:rPr/>
        <w:t>     </w:t>
      </w:r>
      <w:r>
        <w:rPr>
          <w:rFonts w:ascii="serif" w:hAnsi="serif"/>
        </w:rPr>
        <w:t xml:space="preserve">(1) cancel, effective immediately prior to the occurrence of such event, each Award (whether or not then exercisable), and, in full consideration of such cancellation, pay to the Participant to whom such Award was granted an amount in cash, for each Share subject to such Award equal to the value, as determined by the Committee in its reasonable discretion, of such Award, provided that with respect to any outstanding Stock Option such value shall be equal to the excess of (A) the value, as determined by the Committee in its reasonable discretion, of the property (including cash) received by the holder of a Share as a result of such event over (B) the Exercise Price of such Stock Option; or </w:t>
      </w:r>
    </w:p>
    <w:p>
      <w:pPr>
        <w:pStyle w:val="TextBody"/>
        <w:rPr/>
      </w:pPr>
      <w:r>
        <w:rPr/>
        <w:t>     </w:t>
      </w:r>
      <w:r>
        <w:rPr>
          <w:rFonts w:ascii="serif" w:hAnsi="serif"/>
        </w:rPr>
        <w:t xml:space="preserve">(2) 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as determined by the Committee in its reasonable discretion in the Exercise Price of the Award, or the number of Shares or amount of property subject to the Award or, if appropriate, provide for a cash payment to the Participant to whom such Award was granted in partial consideration for the exchange of the Award. </w:t>
      </w:r>
    </w:p>
    <w:p>
      <w:pPr>
        <w:pStyle w:val="TextBody"/>
        <w:rPr/>
      </w:pPr>
      <w:r>
        <w:rPr/>
        <w:t>     </w:t>
      </w:r>
      <w:r>
        <w:rPr>
          <w:rFonts w:ascii="serif" w:hAnsi="serif"/>
        </w:rPr>
        <w:t xml:space="preserve">(e) </w:t>
      </w:r>
      <w:r>
        <w:rPr>
          <w:rFonts w:ascii="serif" w:hAnsi="serif"/>
          <w:i/>
        </w:rPr>
        <w:t>Other Changes</w:t>
      </w:r>
      <w:r>
        <w:rPr>
          <w:rFonts w:ascii="serif" w:hAnsi="serif"/>
        </w:rPr>
        <w:t xml:space="preserve">. In the event of any change in the capitalization of the Company or corporate change other than those specifically referred to in subsections (b), (c) or (d), the Committee shall make equitable adjustments in the number and class of shares subject to Awards outstanding on the date on which such change occurs and in such other terms of such Awards. </w:t>
      </w:r>
    </w:p>
    <w:p>
      <w:pPr>
        <w:pStyle w:val="TextBody"/>
        <w:rPr/>
      </w:pPr>
      <w:r>
        <w:rPr/>
        <w:t>     </w:t>
      </w:r>
      <w:r>
        <w:rPr>
          <w:rFonts w:ascii="serif" w:hAnsi="serif"/>
        </w:rPr>
        <w:t xml:space="preserve">(f) </w:t>
      </w:r>
      <w:r>
        <w:rPr>
          <w:rFonts w:ascii="serif" w:hAnsi="serif"/>
          <w:i/>
        </w:rPr>
        <w:t>No Other Rights</w:t>
      </w:r>
      <w:r>
        <w:rPr>
          <w:rFonts w:ascii="serif" w:hAnsi="serif"/>
        </w:rPr>
        <w:t xml:space="preserve">. Except as expressly provided in the Plan, no Eligible Director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 </w:t>
      </w:r>
    </w:p>
    <w:p>
      <w:pPr>
        <w:pStyle w:val="HorizontalLine"/>
        <w:pBdr>
          <w:bottom w:val="single" w:sz="24" w:space="0" w:color="808080"/>
        </w:pBdr>
        <w:rPr/>
      </w:pPr>
      <w:r>
        <w:rPr/>
      </w:r>
      <w:r>
        <w:br w:type="page"/>
      </w:r>
    </w:p>
    <w:p>
      <w:pPr>
        <w:pStyle w:val="TextBody"/>
        <w:jc w:val="center"/>
        <w:rPr/>
      </w:pPr>
      <w:bookmarkStart w:id="97" w:name="page_35"/>
      <w:bookmarkEnd w:id="97"/>
      <w:r>
        <w:rPr>
          <w:rFonts w:ascii="serif" w:hAnsi="serif"/>
          <w:b/>
        </w:rPr>
        <w:t xml:space="preserve">AMENDMENT TO THE </w:t>
        <w:br/>
        <w:t>2006 STOCK PLAN</w:t>
        <w:br/>
        <w:t xml:space="preserve">FOR </w:t>
        <w:br/>
        <w:t xml:space="preserve">NON-EMPLOYEE DIRECTORS OF </w:t>
        <w:br/>
        <w:t>HONEYWELL INTERNATIONAL INC.</w:t>
      </w:r>
      <w:r>
        <w:rPr/>
        <w:t xml:space="preserve"> </w:t>
      </w:r>
    </w:p>
    <w:p>
      <w:pPr>
        <w:pStyle w:val="TextBody"/>
        <w:rPr/>
      </w:pPr>
      <w:r>
        <w:rPr/>
        <w:t>     </w:t>
      </w:r>
      <w:r>
        <w:rPr>
          <w:rFonts w:ascii="serif" w:hAnsi="serif"/>
        </w:rPr>
        <w:t xml:space="preserve">The 2006 Stock Plan for Non-Employee Directors of Honeywell International Inc. (the Plan), is hereby amended effective January 1, 2007 replacing in its entirety the second paragraph of Schedule A with the following new paragraph: </w:t>
      </w:r>
    </w:p>
    <w:p>
      <w:pPr>
        <w:pStyle w:val="TextBody"/>
        <w:rPr/>
      </w:pPr>
      <w:r>
        <w:rPr>
          <w:rFonts w:ascii="serif" w:hAnsi="serif"/>
          <w:i/>
        </w:rPr>
        <w:t>Grant of Stock Options</w:t>
      </w:r>
      <w:r>
        <w:rPr>
          <w:rFonts w:ascii="serif" w:hAnsi="serif"/>
        </w:rPr>
        <w:t xml:space="preserve">. Each Eligible Director who continues in office following the Annual Meeting of Shareowners will receive a grant of 5,000 Stock Options with an Exercise Price equal to the Fair Market Value as of such date. The Stock Options will vest in cumulative installments of 25% on April 1 of the first year following the date of grant, an additional 25% on April 1 of the second and third years following the date of grant, and the remaining 25% on April 1 of the fourth year following the date of grant. </w:t>
      </w:r>
    </w:p>
    <w:p>
      <w:pPr>
        <w:pStyle w:val="HorizontalLine"/>
        <w:pBdr>
          <w:bottom w:val="single" w:sz="24" w:space="0" w:color="808080"/>
        </w:pBdr>
        <w:rPr/>
      </w:pPr>
      <w:r>
        <w:rPr/>
      </w:r>
      <w:r>
        <w:br w:type="page"/>
      </w:r>
    </w:p>
    <w:p>
      <w:pPr>
        <w:pStyle w:val="TextBody"/>
        <w:jc w:val="right"/>
        <w:rPr>
          <w:rFonts w:ascii="Arial" w:hAnsi="Arial"/>
          <w:b/>
        </w:rPr>
      </w:pPr>
      <w:bookmarkStart w:id="98" w:name="c44492_ex12.htm"/>
      <w:bookmarkStart w:id="99" w:name="ksc44492_ex12"/>
      <w:bookmarkEnd w:id="98"/>
      <w:bookmarkEnd w:id="99"/>
      <w:r>
        <w:rPr>
          <w:rFonts w:ascii="Arial" w:hAnsi="Arial"/>
          <w:b/>
        </w:rPr>
        <w:t>EXHIBIT 12</w:t>
      </w:r>
    </w:p>
    <w:p>
      <w:pPr>
        <w:pStyle w:val="TextBody"/>
        <w:jc w:val="center"/>
        <w:rPr>
          <w:rFonts w:ascii="Arial" w:hAnsi="Arial"/>
          <w:b/>
        </w:rPr>
      </w:pPr>
      <w:r>
        <w:rPr>
          <w:rFonts w:ascii="Arial" w:hAnsi="Arial"/>
          <w:b/>
        </w:rPr>
        <w:t>HONEYWELL INTERNATIONAL INC.</w:t>
        <w:br/>
        <w:t>STATEMENT RE: COMPUTATION OF RATIO OF EARNINGS TO FIXED CHARGES</w:t>
      </w:r>
    </w:p>
    <w:tbl>
      <w:tblPr>
        <w:tblW w:w="5000" w:type="pct"/>
        <w:jc w:val="left"/>
        <w:tblInd w:w="0" w:type="dxa"/>
        <w:tblCellMar>
          <w:top w:w="0" w:type="dxa"/>
          <w:left w:w="0" w:type="dxa"/>
          <w:bottom w:w="0" w:type="dxa"/>
          <w:right w:w="0" w:type="dxa"/>
        </w:tblCellMar>
      </w:tblPr>
      <w:tblGrid>
        <w:gridCol w:w="3814"/>
        <w:gridCol w:w="240"/>
        <w:gridCol w:w="155"/>
        <w:gridCol w:w="620"/>
        <w:gridCol w:w="95"/>
        <w:gridCol w:w="360"/>
        <w:gridCol w:w="155"/>
        <w:gridCol w:w="620"/>
        <w:gridCol w:w="95"/>
        <w:gridCol w:w="360"/>
        <w:gridCol w:w="155"/>
        <w:gridCol w:w="620"/>
        <w:gridCol w:w="95"/>
        <w:gridCol w:w="360"/>
        <w:gridCol w:w="154"/>
        <w:gridCol w:w="620"/>
        <w:gridCol w:w="95"/>
        <w:gridCol w:w="360"/>
        <w:gridCol w:w="155"/>
        <w:gridCol w:w="695"/>
        <w:gridCol w:w="382"/>
      </w:tblGrid>
      <w:tr>
        <w:trPr/>
        <w:tc>
          <w:tcPr>
            <w:tcW w:w="381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870" w:type="dxa"/>
            <w:gridSpan w:val="3"/>
            <w:tcBorders/>
            <w:shd w:fill="FFFFFF" w:val="clear"/>
            <w:vAlign w:val="bottom"/>
          </w:tcPr>
          <w:p>
            <w:pPr>
              <w:pStyle w:val="TableContents"/>
              <w:spacing w:before="0" w:after="0"/>
              <w:jc w:val="center"/>
              <w:rPr>
                <w:rFonts w:ascii="Arial" w:hAnsi="Arial"/>
                <w:b/>
              </w:rPr>
            </w:pPr>
            <w:r>
              <w:rPr>
                <w:rFonts w:ascii="Arial" w:hAnsi="Arial"/>
                <w:b/>
              </w:rPr>
              <w:t>2006</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870" w:type="dxa"/>
            <w:gridSpan w:val="3"/>
            <w:tcBorders/>
            <w:shd w:fill="FFFFFF" w:val="clear"/>
            <w:vAlign w:val="bottom"/>
          </w:tcPr>
          <w:p>
            <w:pPr>
              <w:pStyle w:val="TableContents"/>
              <w:spacing w:before="0" w:after="0"/>
              <w:jc w:val="center"/>
              <w:rPr>
                <w:rFonts w:ascii="Arial" w:hAnsi="Arial"/>
                <w:b/>
              </w:rPr>
            </w:pPr>
            <w:r>
              <w:rPr>
                <w:rFonts w:ascii="Arial" w:hAnsi="Arial"/>
                <w:b/>
              </w:rPr>
              <w:t>2005</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870" w:type="dxa"/>
            <w:gridSpan w:val="3"/>
            <w:tcBorders/>
            <w:shd w:fill="FFFFFF" w:val="clear"/>
            <w:vAlign w:val="bottom"/>
          </w:tcPr>
          <w:p>
            <w:pPr>
              <w:pStyle w:val="TableContents"/>
              <w:spacing w:before="0" w:after="0"/>
              <w:jc w:val="center"/>
              <w:rPr>
                <w:rFonts w:ascii="Arial" w:hAnsi="Arial"/>
                <w:b/>
              </w:rPr>
            </w:pPr>
            <w:r>
              <w:rPr>
                <w:rFonts w:ascii="Arial" w:hAnsi="Arial"/>
                <w:b/>
              </w:rPr>
              <w:t>2004</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869" w:type="dxa"/>
            <w:gridSpan w:val="3"/>
            <w:tcBorders/>
            <w:shd w:fill="FFFFFF" w:val="clear"/>
            <w:vAlign w:val="bottom"/>
          </w:tcPr>
          <w:p>
            <w:pPr>
              <w:pStyle w:val="TableContents"/>
              <w:spacing w:before="0" w:after="0"/>
              <w:jc w:val="center"/>
              <w:rPr>
                <w:rFonts w:ascii="Arial" w:hAnsi="Arial"/>
                <w:b/>
              </w:rPr>
            </w:pPr>
            <w:r>
              <w:rPr>
                <w:rFonts w:ascii="Arial" w:hAnsi="Arial"/>
                <w:b/>
              </w:rPr>
              <w:t>2003</w:t>
            </w:r>
          </w:p>
          <w:p>
            <w:pPr>
              <w:pStyle w:val="HorizontalLine"/>
              <w:pBdr>
                <w:bottom w:val="single" w:sz="6" w:space="0" w:color="000000"/>
              </w:pBdr>
              <w:spacing w:before="0" w:after="283"/>
              <w:rPr/>
            </w:pPr>
            <w:r>
              <w:rPr/>
            </w:r>
          </w:p>
        </w:tc>
        <w:tc>
          <w:tcPr>
            <w:tcW w:w="360" w:type="dxa"/>
            <w:tcBorders/>
            <w:shd w:fill="FFFFFF" w:val="clear"/>
            <w:vAlign w:val="center"/>
          </w:tcPr>
          <w:p>
            <w:pPr>
              <w:pStyle w:val="TableContents"/>
              <w:spacing w:before="0" w:after="283"/>
              <w:rPr/>
            </w:pPr>
            <w:r>
              <w:rPr/>
              <w:t> </w:t>
            </w:r>
          </w:p>
        </w:tc>
        <w:tc>
          <w:tcPr>
            <w:tcW w:w="1232" w:type="dxa"/>
            <w:gridSpan w:val="3"/>
            <w:tcBorders/>
            <w:shd w:fill="FFFFFF" w:val="clear"/>
            <w:vAlign w:val="bottom"/>
          </w:tcPr>
          <w:p>
            <w:pPr>
              <w:pStyle w:val="TableContents"/>
              <w:spacing w:before="0" w:after="0"/>
              <w:jc w:val="center"/>
              <w:rPr>
                <w:rFonts w:ascii="Arial" w:hAnsi="Arial"/>
                <w:b/>
              </w:rPr>
            </w:pPr>
            <w:r>
              <w:rPr>
                <w:rFonts w:ascii="Arial" w:hAnsi="Arial"/>
                <w:b/>
              </w:rPr>
              <w:t>2002</w:t>
            </w:r>
          </w:p>
          <w:p>
            <w:pPr>
              <w:pStyle w:val="HorizontalLine"/>
              <w:pBdr>
                <w:bottom w:val="single" w:sz="6" w:space="0" w:color="000000"/>
              </w:pBdr>
              <w:spacing w:before="0" w:after="283"/>
              <w:rPr/>
            </w:pPr>
            <w:r>
              <w:rPr/>
            </w:r>
          </w:p>
        </w:tc>
      </w:tr>
      <w:tr>
        <w:trPr/>
        <w:tc>
          <w:tcPr>
            <w:tcW w:w="3814"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c>
          <w:tcPr>
            <w:tcW w:w="6151" w:type="dxa"/>
            <w:gridSpan w:val="19"/>
            <w:tcBorders/>
            <w:shd w:fill="FFFFFF" w:val="clear"/>
          </w:tcPr>
          <w:p>
            <w:pPr>
              <w:pStyle w:val="TableContents"/>
              <w:spacing w:before="0" w:after="283"/>
              <w:jc w:val="center"/>
              <w:rPr>
                <w:rFonts w:ascii="Arial" w:hAnsi="Arial"/>
                <w:b/>
                <w:sz w:val="14"/>
              </w:rPr>
            </w:pPr>
            <w:r>
              <w:rPr>
                <w:rFonts w:ascii="Arial" w:hAnsi="Arial"/>
                <w:b/>
                <w:sz w:val="14"/>
              </w:rPr>
              <w:t>(In millions)</w:t>
            </w:r>
          </w:p>
        </w:tc>
      </w:tr>
      <w:tr>
        <w:trPr/>
        <w:tc>
          <w:tcPr>
            <w:tcW w:w="3814" w:type="dxa"/>
            <w:tcBorders/>
            <w:shd w:fill="E5FFFF" w:val="clear"/>
            <w:vAlign w:val="bottom"/>
          </w:tcPr>
          <w:p>
            <w:pPr>
              <w:pStyle w:val="TableContents"/>
              <w:spacing w:before="0" w:after="283"/>
              <w:jc w:val="left"/>
              <w:rPr>
                <w:rFonts w:ascii="Arial" w:hAnsi="Arial"/>
                <w:b/>
              </w:rPr>
            </w:pPr>
            <w:r>
              <w:rPr>
                <w:rFonts w:ascii="Arial" w:hAnsi="Arial"/>
                <w:b/>
              </w:rPr>
              <w:t>Determination of Earnings:</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jc w:val="left"/>
              <w:rPr>
                <w:rFonts w:ascii="Arial" w:hAnsi="Arial"/>
              </w:rPr>
            </w:pPr>
            <w:r>
              <w:rPr>
                <w:rFonts w:ascii="Arial" w:hAnsi="Arial"/>
              </w:rPr>
              <w:t>Income (loss) from continuing operations before taxes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2,798</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2,296</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1,623</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1,583</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(1,000</w:t>
            </w:r>
          </w:p>
        </w:tc>
        <w:tc>
          <w:tcPr>
            <w:tcW w:w="38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814" w:type="dxa"/>
            <w:tcBorders/>
            <w:shd w:fill="E5FFFF" w:val="clear"/>
            <w:vAlign w:val="bottom"/>
          </w:tcPr>
          <w:p>
            <w:pPr>
              <w:pStyle w:val="TableContents"/>
              <w:spacing w:before="0" w:after="283"/>
              <w:jc w:val="left"/>
              <w:rPr>
                <w:rFonts w:ascii="Arial" w:hAnsi="Arial"/>
              </w:rPr>
            </w:pPr>
            <w:r>
              <w:rPr>
                <w:rFonts w:ascii="Arial" w:hAnsi="Arial"/>
              </w:rPr>
              <w:t>Add (Deduct):</w:t>
            </w:r>
          </w:p>
        </w:tc>
        <w:tc>
          <w:tcPr>
            <w:tcW w:w="24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center"/>
          </w:tcPr>
          <w:p>
            <w:pPr>
              <w:pStyle w:val="TableContents"/>
              <w:spacing w:before="0" w:after="283"/>
              <w:rPr/>
            </w:pPr>
            <w:r>
              <w:rPr/>
              <w:t> </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center"/>
          </w:tcPr>
          <w:p>
            <w:pPr>
              <w:pStyle w:val="TableContents"/>
              <w:spacing w:before="0" w:after="283"/>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center"/>
          </w:tcPr>
          <w:p>
            <w:pPr>
              <w:pStyle w:val="TableContents"/>
              <w:spacing w:before="0" w:after="283"/>
              <w:rPr/>
            </w:pPr>
            <w:r>
              <w:rPr/>
              <w:t> </w:t>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jc w:val="left"/>
              <w:rPr>
                <w:rFonts w:ascii="Arial" w:hAnsi="Arial"/>
              </w:rPr>
            </w:pPr>
            <w:r>
              <w:rPr>
                <w:rFonts w:ascii="Arial" w:hAnsi="Arial"/>
              </w:rPr>
              <w:t>Amortization of capitalized interest</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22</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22</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24</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24</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24</w:t>
            </w:r>
          </w:p>
        </w:tc>
        <w:tc>
          <w:tcPr>
            <w:tcW w:w="382" w:type="dxa"/>
            <w:tcBorders/>
            <w:shd w:fill="FFFFFF" w:val="clear"/>
            <w:vAlign w:val="center"/>
          </w:tcPr>
          <w:p>
            <w:pPr>
              <w:pStyle w:val="TableContents"/>
              <w:spacing w:before="0" w:after="283"/>
              <w:rPr/>
            </w:pPr>
            <w:r>
              <w:rPr/>
              <w:t> </w:t>
            </w:r>
          </w:p>
        </w:tc>
      </w:tr>
      <w:tr>
        <w:trPr/>
        <w:tc>
          <w:tcPr>
            <w:tcW w:w="3814" w:type="dxa"/>
            <w:tcBorders/>
            <w:shd w:fill="E5FFFF" w:val="clear"/>
            <w:vAlign w:val="bottom"/>
          </w:tcPr>
          <w:p>
            <w:pPr>
              <w:pStyle w:val="TableContents"/>
              <w:spacing w:before="0" w:after="283"/>
              <w:jc w:val="left"/>
              <w:rPr>
                <w:rFonts w:ascii="Arial" w:hAnsi="Arial"/>
              </w:rPr>
            </w:pPr>
            <w:r>
              <w:rPr>
                <w:rFonts w:ascii="Arial" w:hAnsi="Arial"/>
              </w:rPr>
              <w:t>Fixed charges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488</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465</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438</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440</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435</w:t>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jc w:val="left"/>
              <w:rPr>
                <w:rFonts w:ascii="Arial" w:hAnsi="Arial"/>
              </w:rPr>
            </w:pPr>
            <w:r>
              <w:rPr>
                <w:rFonts w:ascii="Arial" w:hAnsi="Arial"/>
              </w:rPr>
              <w:t>Equity income, net of distributions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(7</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(30</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(75</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(38</w:t>
            </w:r>
          </w:p>
        </w:tc>
        <w:tc>
          <w:tcPr>
            <w:tcW w:w="95" w:type="dxa"/>
            <w:tcBorders/>
            <w:shd w:fill="FFFFFF" w:val="clear"/>
            <w:vAlign w:val="bottom"/>
          </w:tcPr>
          <w:p>
            <w:pPr>
              <w:pStyle w:val="TableContents"/>
              <w:spacing w:before="0" w:after="283"/>
              <w:jc w:val="left"/>
              <w:rPr>
                <w:rFonts w:ascii="Arial" w:hAnsi="Arial"/>
              </w:rPr>
            </w:pPr>
            <w:r>
              <w:rPr>
                <w:rFonts w:ascii="Arial" w:hAnsi="Arial"/>
              </w:rPr>
              <w:t>)</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(42</w:t>
            </w:r>
          </w:p>
        </w:tc>
        <w:tc>
          <w:tcPr>
            <w:tcW w:w="38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81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jc w:val="left"/>
              <w:rPr>
                <w:rFonts w:ascii="Arial" w:hAnsi="Arial"/>
                <w:b/>
              </w:rPr>
            </w:pPr>
            <w:r>
              <w:rPr>
                <w:rFonts w:ascii="Arial" w:hAnsi="Arial"/>
                <w:b/>
              </w:rPr>
              <w:t>Total earnings, as defined</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3,301</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2,753</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2,010</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bottom"/>
          </w:tcPr>
          <w:p>
            <w:pPr>
              <w:pStyle w:val="TableContents"/>
              <w:spacing w:before="0" w:after="283"/>
              <w:jc w:val="right"/>
              <w:rPr>
                <w:rFonts w:ascii="Arial" w:hAnsi="Arial"/>
              </w:rPr>
            </w:pPr>
            <w:r>
              <w:rPr>
                <w:rFonts w:ascii="Arial" w:hAnsi="Arial"/>
              </w:rPr>
              <w:t>$</w:t>
            </w:r>
          </w:p>
        </w:tc>
        <w:tc>
          <w:tcPr>
            <w:tcW w:w="620" w:type="dxa"/>
            <w:tcBorders/>
            <w:shd w:fill="FFFFFF" w:val="clear"/>
            <w:vAlign w:val="bottom"/>
          </w:tcPr>
          <w:p>
            <w:pPr>
              <w:pStyle w:val="TableContents"/>
              <w:spacing w:before="0" w:after="283"/>
              <w:jc w:val="right"/>
              <w:rPr>
                <w:rFonts w:ascii="Arial" w:hAnsi="Arial"/>
              </w:rPr>
            </w:pPr>
            <w:r>
              <w:rPr>
                <w:rFonts w:ascii="Arial" w:hAnsi="Arial"/>
              </w:rPr>
              <w:t>2,009</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right"/>
              <w:rPr>
                <w:rFonts w:ascii="Arial" w:hAnsi="Arial"/>
              </w:rPr>
            </w:pPr>
            <w:r>
              <w:rPr>
                <w:rFonts w:ascii="Arial" w:hAnsi="Arial"/>
              </w:rPr>
              <w:t>$</w:t>
            </w:r>
          </w:p>
        </w:tc>
        <w:tc>
          <w:tcPr>
            <w:tcW w:w="695" w:type="dxa"/>
            <w:tcBorders/>
            <w:shd w:fill="FFFFFF" w:val="clear"/>
            <w:vAlign w:val="bottom"/>
          </w:tcPr>
          <w:p>
            <w:pPr>
              <w:pStyle w:val="TableContents"/>
              <w:spacing w:before="0" w:after="283"/>
              <w:jc w:val="right"/>
              <w:rPr>
                <w:rFonts w:ascii="Arial" w:hAnsi="Arial"/>
              </w:rPr>
            </w:pPr>
            <w:r>
              <w:rPr>
                <w:rFonts w:ascii="Arial" w:hAnsi="Arial"/>
              </w:rPr>
              <w:t>(583</w:t>
            </w:r>
          </w:p>
        </w:tc>
        <w:tc>
          <w:tcPr>
            <w:tcW w:w="382" w:type="dxa"/>
            <w:tcBorders/>
            <w:shd w:fill="FFFFFF" w:val="clear"/>
            <w:vAlign w:val="bottom"/>
          </w:tcPr>
          <w:p>
            <w:pPr>
              <w:pStyle w:val="TableContents"/>
              <w:spacing w:before="0" w:after="283"/>
              <w:jc w:val="left"/>
              <w:rPr>
                <w:rFonts w:ascii="Arial" w:hAnsi="Arial"/>
              </w:rPr>
            </w:pPr>
            <w:r>
              <w:rPr>
                <w:rFonts w:ascii="Arial" w:hAnsi="Arial"/>
              </w:rPr>
              <w:t>)</w:t>
            </w:r>
          </w:p>
        </w:tc>
      </w:tr>
      <w:tr>
        <w:trPr/>
        <w:tc>
          <w:tcPr>
            <w:tcW w:w="381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18"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18" w:space="0" w:color="000000"/>
              </w:pBdr>
              <w:spacing w:before="0" w:after="283"/>
              <w:rPr/>
            </w:pPr>
            <w:r>
              <w:rPr/>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jc w:val="left"/>
              <w:rPr>
                <w:rFonts w:ascii="Arial" w:hAnsi="Arial"/>
                <w:b/>
              </w:rPr>
            </w:pPr>
            <w:r>
              <w:rPr>
                <w:rFonts w:ascii="Arial" w:hAnsi="Arial"/>
                <w:b/>
              </w:rPr>
              <w:t>Fixed Charges:</w:t>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382" w:type="dxa"/>
            <w:tcBorders/>
            <w:shd w:fill="FFFFFF" w:val="clear"/>
            <w:vAlign w:val="center"/>
          </w:tcPr>
          <w:p>
            <w:pPr>
              <w:pStyle w:val="TableContents"/>
              <w:spacing w:before="0" w:after="283"/>
              <w:rPr/>
            </w:pPr>
            <w:r>
              <w:rPr/>
              <w:t> </w:t>
            </w:r>
          </w:p>
        </w:tc>
      </w:tr>
      <w:tr>
        <w:trPr/>
        <w:tc>
          <w:tcPr>
            <w:tcW w:w="3814" w:type="dxa"/>
            <w:tcBorders/>
            <w:shd w:fill="E5FFFF" w:val="clear"/>
            <w:vAlign w:val="bottom"/>
          </w:tcPr>
          <w:p>
            <w:pPr>
              <w:pStyle w:val="TableContents"/>
              <w:spacing w:before="0" w:after="283"/>
              <w:jc w:val="left"/>
              <w:rPr>
                <w:rFonts w:ascii="Arial" w:hAnsi="Arial"/>
              </w:rPr>
            </w:pPr>
            <w:r>
              <w:rPr>
                <w:rFonts w:ascii="Arial" w:hAnsi="Arial"/>
              </w:rPr>
              <w:t>Rents(a)</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114</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109</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107</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105</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91</w:t>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jc w:val="left"/>
              <w:rPr>
                <w:rFonts w:ascii="Arial" w:hAnsi="Arial"/>
              </w:rPr>
            </w:pPr>
            <w:r>
              <w:rPr>
                <w:rFonts w:ascii="Arial" w:hAnsi="Arial"/>
              </w:rPr>
              <w:t>Interest and other financial charges</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374</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356</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331</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335</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344</w:t>
            </w:r>
          </w:p>
        </w:tc>
        <w:tc>
          <w:tcPr>
            <w:tcW w:w="382" w:type="dxa"/>
            <w:tcBorders/>
            <w:shd w:fill="FFFFFF" w:val="clear"/>
            <w:vAlign w:val="center"/>
          </w:tcPr>
          <w:p>
            <w:pPr>
              <w:pStyle w:val="TableContents"/>
              <w:spacing w:before="0" w:after="283"/>
              <w:rPr/>
            </w:pPr>
            <w:r>
              <w:rPr/>
              <w:t> </w:t>
            </w:r>
          </w:p>
        </w:tc>
      </w:tr>
      <w:tr>
        <w:trPr/>
        <w:tc>
          <w:tcPr>
            <w:tcW w:w="3814" w:type="dxa"/>
            <w:tcBorders/>
            <w:shd w:fill="E5FFFF" w:val="clear"/>
            <w:vAlign w:val="center"/>
          </w:tcPr>
          <w:p>
            <w:pPr>
              <w:pStyle w:val="TableContents"/>
              <w:spacing w:before="0" w:after="283"/>
              <w:rPr/>
            </w:pPr>
            <w:r>
              <w:rPr/>
              <w:t> </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HorizontalLine"/>
              <w:pBdr>
                <w:bottom w:val="single" w:sz="6" w:space="0" w:color="000000"/>
              </w:pBdr>
              <w:spacing w:before="0" w:after="283"/>
              <w:rPr/>
            </w:pPr>
            <w:r>
              <w:rPr/>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HorizontalLine"/>
              <w:pBdr>
                <w:bottom w:val="single" w:sz="6" w:space="0" w:color="000000"/>
              </w:pBdr>
              <w:spacing w:before="0" w:after="283"/>
              <w:rPr/>
            </w:pPr>
            <w:r>
              <w:rPr/>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488</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465</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438</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TableContents"/>
              <w:spacing w:before="0" w:after="283"/>
              <w:jc w:val="right"/>
              <w:rPr>
                <w:rFonts w:ascii="Arial" w:hAnsi="Arial"/>
              </w:rPr>
            </w:pPr>
            <w:r>
              <w:rPr>
                <w:rFonts w:ascii="Arial" w:hAnsi="Arial"/>
              </w:rPr>
              <w:t>440</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TableContents"/>
              <w:spacing w:before="0" w:after="283"/>
              <w:jc w:val="right"/>
              <w:rPr>
                <w:rFonts w:ascii="Arial" w:hAnsi="Arial"/>
              </w:rPr>
            </w:pPr>
            <w:r>
              <w:rPr>
                <w:rFonts w:ascii="Arial" w:hAnsi="Arial"/>
              </w:rPr>
              <w:t>435</w:t>
            </w:r>
          </w:p>
        </w:tc>
        <w:tc>
          <w:tcPr>
            <w:tcW w:w="382" w:type="dxa"/>
            <w:tcBorders/>
            <w:shd w:fill="FFFFFF" w:val="clear"/>
            <w:vAlign w:val="center"/>
          </w:tcPr>
          <w:p>
            <w:pPr>
              <w:pStyle w:val="TableContents"/>
              <w:spacing w:before="0" w:after="283"/>
              <w:rPr/>
            </w:pPr>
            <w:r>
              <w:rPr/>
              <w:t> </w:t>
            </w:r>
          </w:p>
        </w:tc>
      </w:tr>
      <w:tr>
        <w:trPr/>
        <w:tc>
          <w:tcPr>
            <w:tcW w:w="3814" w:type="dxa"/>
            <w:tcBorders/>
            <w:shd w:fill="E5FFFF" w:val="clear"/>
            <w:vAlign w:val="bottom"/>
          </w:tcPr>
          <w:p>
            <w:pPr>
              <w:pStyle w:val="TableContents"/>
              <w:spacing w:before="0" w:after="283"/>
              <w:jc w:val="left"/>
              <w:rPr>
                <w:rFonts w:ascii="Arial" w:hAnsi="Arial"/>
              </w:rPr>
            </w:pPr>
            <w:r>
              <w:rPr>
                <w:rFonts w:ascii="Arial" w:hAnsi="Arial"/>
              </w:rPr>
              <w:t>Capitalized interest</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22</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17</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18</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15</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21</w:t>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6"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6" w:space="0" w:color="000000"/>
              </w:pBdr>
              <w:spacing w:before="0" w:after="283"/>
              <w:rPr/>
            </w:pPr>
            <w:r>
              <w:rPr/>
            </w:r>
          </w:p>
        </w:tc>
        <w:tc>
          <w:tcPr>
            <w:tcW w:w="382" w:type="dxa"/>
            <w:tcBorders/>
            <w:shd w:fill="FFFFFF" w:val="clear"/>
            <w:vAlign w:val="center"/>
          </w:tcPr>
          <w:p>
            <w:pPr>
              <w:pStyle w:val="TableContents"/>
              <w:spacing w:before="0" w:after="283"/>
              <w:rPr/>
            </w:pPr>
            <w:r>
              <w:rPr/>
              <w:t> </w:t>
            </w:r>
          </w:p>
        </w:tc>
      </w:tr>
      <w:tr>
        <w:trPr/>
        <w:tc>
          <w:tcPr>
            <w:tcW w:w="3814" w:type="dxa"/>
            <w:tcBorders/>
            <w:shd w:fill="E5FFFF" w:val="clear"/>
            <w:vAlign w:val="bottom"/>
          </w:tcPr>
          <w:p>
            <w:pPr>
              <w:pStyle w:val="TableContents"/>
              <w:spacing w:before="0" w:after="283"/>
              <w:jc w:val="left"/>
              <w:rPr>
                <w:rFonts w:ascii="Arial" w:hAnsi="Arial"/>
                <w:b/>
              </w:rPr>
            </w:pPr>
            <w:r>
              <w:rPr>
                <w:rFonts w:ascii="Arial" w:hAnsi="Arial"/>
                <w:b/>
              </w:rPr>
              <w:t>Total fixed charges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510</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482</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456</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bottom"/>
          </w:tcPr>
          <w:p>
            <w:pPr>
              <w:pStyle w:val="TableContents"/>
              <w:spacing w:before="0" w:after="283"/>
              <w:jc w:val="right"/>
              <w:rPr>
                <w:rFonts w:ascii="Arial" w:hAnsi="Arial"/>
              </w:rPr>
            </w:pPr>
            <w:r>
              <w:rPr>
                <w:rFonts w:ascii="Arial" w:hAnsi="Arial"/>
              </w:rPr>
              <w:t>$</w:t>
            </w:r>
          </w:p>
        </w:tc>
        <w:tc>
          <w:tcPr>
            <w:tcW w:w="620" w:type="dxa"/>
            <w:tcBorders/>
            <w:shd w:fill="E5FFFF" w:val="clear"/>
            <w:vAlign w:val="bottom"/>
          </w:tcPr>
          <w:p>
            <w:pPr>
              <w:pStyle w:val="TableContents"/>
              <w:spacing w:before="0" w:after="283"/>
              <w:jc w:val="right"/>
              <w:rPr>
                <w:rFonts w:ascii="Arial" w:hAnsi="Arial"/>
              </w:rPr>
            </w:pPr>
            <w:r>
              <w:rPr>
                <w:rFonts w:ascii="Arial" w:hAnsi="Arial"/>
              </w:rPr>
              <w:t>455</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bottom"/>
          </w:tcPr>
          <w:p>
            <w:pPr>
              <w:pStyle w:val="TableContents"/>
              <w:spacing w:before="0" w:after="283"/>
              <w:jc w:val="right"/>
              <w:rPr>
                <w:rFonts w:ascii="Arial" w:hAnsi="Arial"/>
              </w:rPr>
            </w:pPr>
            <w:r>
              <w:rPr>
                <w:rFonts w:ascii="Arial" w:hAnsi="Arial"/>
              </w:rPr>
              <w:t>$</w:t>
            </w:r>
          </w:p>
        </w:tc>
        <w:tc>
          <w:tcPr>
            <w:tcW w:w="695" w:type="dxa"/>
            <w:tcBorders/>
            <w:shd w:fill="E5FFFF" w:val="clear"/>
            <w:vAlign w:val="bottom"/>
          </w:tcPr>
          <w:p>
            <w:pPr>
              <w:pStyle w:val="TableContents"/>
              <w:spacing w:before="0" w:after="283"/>
              <w:jc w:val="right"/>
              <w:rPr>
                <w:rFonts w:ascii="Arial" w:hAnsi="Arial"/>
              </w:rPr>
            </w:pPr>
            <w:r>
              <w:rPr>
                <w:rFonts w:ascii="Arial" w:hAnsi="Arial"/>
              </w:rPr>
              <w:t>456</w:t>
            </w:r>
          </w:p>
        </w:tc>
        <w:tc>
          <w:tcPr>
            <w:tcW w:w="382" w:type="dxa"/>
            <w:tcBorders/>
            <w:shd w:fill="E5FFFF" w:val="clear"/>
            <w:vAlign w:val="center"/>
          </w:tcPr>
          <w:p>
            <w:pPr>
              <w:pStyle w:val="TableContents"/>
              <w:spacing w:before="0" w:after="283"/>
              <w:rPr/>
            </w:pPr>
            <w:r>
              <w:rPr/>
              <w:t> </w:t>
            </w:r>
          </w:p>
        </w:tc>
      </w:tr>
      <w:tr>
        <w:trPr/>
        <w:tc>
          <w:tcPr>
            <w:tcW w:w="381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382" w:type="dxa"/>
            <w:tcBorders/>
            <w:shd w:fill="FFFFFF" w:val="clear"/>
            <w:vAlign w:val="center"/>
          </w:tcPr>
          <w:p>
            <w:pPr>
              <w:pStyle w:val="TableContents"/>
              <w:spacing w:before="0" w:after="283"/>
              <w:rPr/>
            </w:pPr>
            <w:r>
              <w:rPr/>
              <w:t> </w:t>
            </w:r>
          </w:p>
        </w:tc>
      </w:tr>
      <w:tr>
        <w:trPr/>
        <w:tc>
          <w:tcPr>
            <w:tcW w:w="3814" w:type="dxa"/>
            <w:tcBorders/>
            <w:shd w:fill="E5FFFF" w:val="clear"/>
            <w:vAlign w:val="bottom"/>
          </w:tcPr>
          <w:p>
            <w:pPr>
              <w:pStyle w:val="TableContents"/>
              <w:spacing w:before="0" w:after="283"/>
              <w:jc w:val="left"/>
              <w:rPr>
                <w:rFonts w:ascii="Arial" w:hAnsi="Arial"/>
              </w:rPr>
            </w:pPr>
            <w:r>
              <w:rPr>
                <w:rFonts w:ascii="Arial" w:hAnsi="Arial"/>
              </w:rPr>
              <w:t>Ratio of earnings to fixed charges</w:t>
            </w:r>
          </w:p>
        </w:tc>
        <w:tc>
          <w:tcPr>
            <w:tcW w:w="24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6.47</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5.71</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4.41</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4" w:type="dxa"/>
            <w:tcBorders/>
            <w:shd w:fill="E5FFFF" w:val="clear"/>
            <w:vAlign w:val="center"/>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Arial" w:hAnsi="Arial"/>
              </w:rPr>
            </w:pPr>
            <w:r>
              <w:rPr>
                <w:rFonts w:ascii="Arial" w:hAnsi="Arial"/>
              </w:rPr>
              <w:t>4.42</w:t>
            </w:r>
          </w:p>
        </w:tc>
        <w:tc>
          <w:tcPr>
            <w:tcW w:w="95" w:type="dxa"/>
            <w:tcBorders/>
            <w:shd w:fill="E5FFFF" w:val="clear"/>
            <w:vAlign w:val="center"/>
          </w:tcPr>
          <w:p>
            <w:pPr>
              <w:pStyle w:val="TableContents"/>
              <w:spacing w:before="0" w:after="283"/>
              <w:rPr/>
            </w:pPr>
            <w:r>
              <w:rPr/>
              <w:t> </w:t>
            </w:r>
          </w:p>
        </w:tc>
        <w:tc>
          <w:tcPr>
            <w:tcW w:w="360" w:type="dxa"/>
            <w:tcBorders/>
            <w:shd w:fill="E5FFFF" w:val="clear"/>
            <w:vAlign w:val="bottom"/>
          </w:tcPr>
          <w:p>
            <w:pPr>
              <w:pStyle w:val="TableContents"/>
              <w:spacing w:before="0" w:after="283"/>
              <w:jc w:val="right"/>
              <w:rPr/>
            </w:pPr>
            <w:r>
              <w:rPr/>
              <w:t>      </w:t>
            </w:r>
          </w:p>
        </w:tc>
        <w:tc>
          <w:tcPr>
            <w:tcW w:w="155" w:type="dxa"/>
            <w:tcBorders/>
            <w:shd w:fill="E5FFFF" w:val="clear"/>
            <w:vAlign w:val="center"/>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Arial" w:hAnsi="Arial"/>
              </w:rPr>
            </w:pPr>
            <w:r>
              <w:rPr>
                <w:rFonts w:ascii="Arial" w:hAnsi="Arial"/>
              </w:rPr>
              <w:t>(1.28</w:t>
            </w:r>
          </w:p>
        </w:tc>
        <w:tc>
          <w:tcPr>
            <w:tcW w:w="382" w:type="dxa"/>
            <w:tcBorders/>
            <w:shd w:fill="E5FFFF" w:val="clear"/>
            <w:vAlign w:val="bottom"/>
          </w:tcPr>
          <w:p>
            <w:pPr>
              <w:pStyle w:val="TableContents"/>
              <w:spacing w:before="0" w:after="283"/>
              <w:jc w:val="left"/>
              <w:rPr>
                <w:rFonts w:ascii="Arial" w:hAnsi="Arial"/>
              </w:rPr>
            </w:pPr>
            <w:r>
              <w:rPr>
                <w:rFonts w:ascii="Arial" w:hAnsi="Arial"/>
              </w:rPr>
              <w:t>)(b)</w:t>
            </w:r>
          </w:p>
        </w:tc>
      </w:tr>
      <w:tr>
        <w:trPr/>
        <w:tc>
          <w:tcPr>
            <w:tcW w:w="3814" w:type="dxa"/>
            <w:tcBorders/>
            <w:shd w:fill="FFFFFF" w:val="clear"/>
            <w:vAlign w:val="center"/>
          </w:tcPr>
          <w:p>
            <w:pPr>
              <w:pStyle w:val="TableContents"/>
              <w:spacing w:before="0" w:after="283"/>
              <w:rPr/>
            </w:pPr>
            <w:r>
              <w:rPr/>
              <w:t> </w:t>
            </w:r>
          </w:p>
        </w:tc>
        <w:tc>
          <w:tcPr>
            <w:tcW w:w="24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bottom"/>
          </w:tcPr>
          <w:p>
            <w:pPr>
              <w:pStyle w:val="HorizontalLine"/>
              <w:pBdr>
                <w:bottom w:val="single" w:sz="18" w:space="0" w:color="000000"/>
              </w:pBdr>
              <w:spacing w:before="0" w:after="283"/>
              <w:rPr/>
            </w:pPr>
            <w:r>
              <w:rPr/>
            </w:r>
          </w:p>
        </w:tc>
        <w:tc>
          <w:tcPr>
            <w:tcW w:w="95" w:type="dxa"/>
            <w:tcBorders/>
            <w:shd w:fill="FFFFFF" w:val="clear"/>
            <w:vAlign w:val="center"/>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bottom"/>
          </w:tcPr>
          <w:p>
            <w:pPr>
              <w:pStyle w:val="HorizontalLine"/>
              <w:pBdr>
                <w:bottom w:val="single" w:sz="18" w:space="0" w:color="000000"/>
              </w:pBdr>
              <w:spacing w:before="0" w:after="283"/>
              <w:rPr/>
            </w:pPr>
            <w:r>
              <w:rPr/>
            </w:r>
          </w:p>
        </w:tc>
        <w:tc>
          <w:tcPr>
            <w:tcW w:w="382" w:type="dxa"/>
            <w:tcBorders/>
            <w:shd w:fill="FFFFFF" w:val="clear"/>
            <w:vAlign w:val="center"/>
          </w:tcPr>
          <w:p>
            <w:pPr>
              <w:pStyle w:val="TableContents"/>
              <w:spacing w:before="0" w:after="283"/>
              <w:rPr/>
            </w:pPr>
            <w:r>
              <w:rPr/>
              <w:t> </w:t>
            </w:r>
          </w:p>
        </w:tc>
      </w:tr>
      <w:tr>
        <w:trPr/>
        <w:tc>
          <w:tcPr>
            <w:tcW w:w="3814" w:type="dxa"/>
            <w:tcBorders/>
            <w:shd w:fill="FFFFFF" w:val="clear"/>
            <w:vAlign w:val="bottom"/>
          </w:tcPr>
          <w:p>
            <w:pPr>
              <w:pStyle w:val="TableContents"/>
              <w:spacing w:before="0" w:after="283"/>
              <w:rPr>
                <w:sz w:val="4"/>
                <w:szCs w:val="4"/>
              </w:rPr>
            </w:pPr>
            <w:r>
              <w:rPr>
                <w:sz w:val="4"/>
                <w:szCs w:val="4"/>
              </w:rPr>
            </w:r>
          </w:p>
        </w:tc>
        <w:tc>
          <w:tcPr>
            <w:tcW w:w="2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62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3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382" w:type="dxa"/>
            <w:tcBorders/>
            <w:shd w:fill="FFFFFF" w:val="clear"/>
            <w:vAlign w:val="center"/>
          </w:tcPr>
          <w:p>
            <w:pPr>
              <w:pStyle w:val="TableContents"/>
              <w:spacing w:before="0" w:after="283"/>
              <w:rPr/>
            </w:pPr>
            <w:r>
              <w:rPr/>
              <w:t> </w:t>
            </w:r>
          </w:p>
        </w:tc>
      </w:tr>
    </w:tbl>
    <w:p>
      <w:pPr>
        <w:pStyle w:val="HorizontalLine"/>
        <w:pBdr>
          <w:bottom w:val="single" w:sz="20" w:space="0" w:color="000000"/>
        </w:pBdr>
        <w:jc w:val="left"/>
        <w:rPr/>
      </w:pPr>
      <w:r>
        <w:rPr/>
      </w:r>
    </w:p>
    <w:tbl>
      <w:tblPr>
        <w:tblW w:w="5000" w:type="pct"/>
        <w:jc w:val="left"/>
        <w:tblInd w:w="0" w:type="dxa"/>
        <w:tblCellMar>
          <w:top w:w="0" w:type="dxa"/>
          <w:left w:w="0" w:type="dxa"/>
          <w:bottom w:w="0" w:type="dxa"/>
          <w:right w:w="0" w:type="dxa"/>
        </w:tblCellMar>
      </w:tblPr>
      <w:tblGrid>
        <w:gridCol w:w="251"/>
        <w:gridCol w:w="120"/>
        <w:gridCol w:w="9834"/>
      </w:tblGrid>
      <w:tr>
        <w:trPr/>
        <w:tc>
          <w:tcPr>
            <w:tcW w:w="251" w:type="dxa"/>
            <w:tcBorders/>
            <w:shd w:fill="FFFFFF" w:val="clear"/>
          </w:tcPr>
          <w:p>
            <w:pPr>
              <w:pStyle w:val="TableContents"/>
              <w:spacing w:before="0" w:after="283"/>
              <w:jc w:val="left"/>
              <w:rPr>
                <w:rFonts w:ascii="Arial" w:hAnsi="Arial"/>
              </w:rPr>
            </w:pPr>
            <w:r>
              <w:rPr>
                <w:rFonts w:ascii="Arial" w:hAnsi="Arial"/>
              </w:rPr>
              <w:t>(a)</w:t>
            </w:r>
          </w:p>
        </w:tc>
        <w:tc>
          <w:tcPr>
            <w:tcW w:w="120" w:type="dxa"/>
            <w:tcBorders/>
            <w:shd w:fill="FFFFFF" w:val="clear"/>
          </w:tcPr>
          <w:p>
            <w:pPr>
              <w:pStyle w:val="TableContents"/>
              <w:spacing w:before="0" w:after="283"/>
              <w:jc w:val="left"/>
              <w:rPr/>
            </w:pPr>
            <w:r>
              <w:rPr/>
              <w:t>  </w:t>
            </w:r>
          </w:p>
        </w:tc>
        <w:tc>
          <w:tcPr>
            <w:tcW w:w="9834" w:type="dxa"/>
            <w:tcBorders/>
            <w:shd w:fill="FFFFFF" w:val="clear"/>
          </w:tcPr>
          <w:p>
            <w:pPr>
              <w:pStyle w:val="TableContents"/>
              <w:spacing w:before="0" w:after="283"/>
              <w:jc w:val="left"/>
              <w:rPr>
                <w:rFonts w:ascii="Arial" w:hAnsi="Arial"/>
              </w:rPr>
            </w:pPr>
            <w:r>
              <w:rPr>
                <w:rFonts w:ascii="Arial" w:hAnsi="Arial"/>
              </w:rPr>
              <w:t>Denotes the equivalent of an appropriate portion of rentals representative of the interest factor on all rentals other than for capitalized leases.</w:t>
            </w:r>
          </w:p>
        </w:tc>
      </w:tr>
      <w:tr>
        <w:trPr/>
        <w:tc>
          <w:tcPr>
            <w:tcW w:w="251" w:type="dxa"/>
            <w:tcBorders/>
            <w:shd w:fill="FFFFFF" w:val="clear"/>
          </w:tcPr>
          <w:p>
            <w:pPr>
              <w:pStyle w:val="TableContents"/>
              <w:spacing w:before="0" w:after="283"/>
              <w:jc w:val="left"/>
              <w:rPr>
                <w:rFonts w:ascii="Arial" w:hAnsi="Arial"/>
              </w:rPr>
            </w:pPr>
            <w:r>
              <w:rPr>
                <w:rFonts w:ascii="Arial" w:hAnsi="Arial"/>
              </w:rPr>
              <w:t>(b)</w:t>
            </w:r>
          </w:p>
        </w:tc>
        <w:tc>
          <w:tcPr>
            <w:tcW w:w="120" w:type="dxa"/>
            <w:tcBorders/>
            <w:shd w:fill="FFFFFF" w:val="clear"/>
          </w:tcPr>
          <w:p>
            <w:pPr>
              <w:pStyle w:val="TableContents"/>
              <w:spacing w:before="0" w:after="283"/>
              <w:jc w:val="left"/>
              <w:rPr/>
            </w:pPr>
            <w:r>
              <w:rPr/>
              <w:t>  </w:t>
            </w:r>
          </w:p>
        </w:tc>
        <w:tc>
          <w:tcPr>
            <w:tcW w:w="9834" w:type="dxa"/>
            <w:tcBorders/>
            <w:shd w:fill="FFFFFF" w:val="clear"/>
          </w:tcPr>
          <w:p>
            <w:pPr>
              <w:pStyle w:val="TableContents"/>
              <w:spacing w:before="0" w:after="283"/>
              <w:jc w:val="left"/>
              <w:rPr>
                <w:rFonts w:ascii="Arial" w:hAnsi="Arial"/>
              </w:rPr>
            </w:pPr>
            <w:r>
              <w:rPr>
                <w:rFonts w:ascii="Arial" w:hAnsi="Arial"/>
              </w:rPr>
              <w:t>The ratio of earnings to fixed charges was less than 1:1 for the year ended December 31, 2002. In order to have achieved a ratio of earnings to fixed charges of 1:1, we would have had to have generated an additional $1,039 million of earnings in the year ended December 31, 2002.</w:t>
            </w:r>
          </w:p>
        </w:tc>
      </w:tr>
    </w:tbl>
    <w:p>
      <w:pPr>
        <w:pStyle w:val="HorizontalLine"/>
        <w:pBdr>
          <w:bottom w:val="single" w:sz="20" w:space="0" w:color="000000"/>
        </w:pBdr>
        <w:rPr/>
      </w:pPr>
      <w:r>
        <w:rPr/>
      </w:r>
      <w:r>
        <w:br w:type="page"/>
      </w:r>
    </w:p>
    <w:p>
      <w:pPr>
        <w:pStyle w:val="TextBody"/>
        <w:jc w:val="right"/>
        <w:rPr>
          <w:rFonts w:ascii="Arial" w:hAnsi="Arial"/>
          <w:b/>
        </w:rPr>
      </w:pPr>
      <w:bookmarkStart w:id="100" w:name="c44492_ex21.htm"/>
      <w:bookmarkStart w:id="101" w:name="ksc44492_ex21"/>
      <w:bookmarkEnd w:id="100"/>
      <w:bookmarkEnd w:id="101"/>
      <w:r>
        <w:rPr>
          <w:rFonts w:ascii="Arial" w:hAnsi="Arial"/>
          <w:b/>
        </w:rPr>
        <w:t>EXHIBIT 21</w:t>
      </w:r>
    </w:p>
    <w:p>
      <w:pPr>
        <w:pStyle w:val="TextBody"/>
        <w:jc w:val="center"/>
        <w:rPr>
          <w:rFonts w:ascii="Arial" w:hAnsi="Arial"/>
          <w:b/>
        </w:rPr>
      </w:pPr>
      <w:r>
        <w:rPr>
          <w:rFonts w:ascii="Arial" w:hAnsi="Arial"/>
          <w:b/>
        </w:rPr>
        <w:t>SUBSIDIARIES OF THE REGISTRANT</w:t>
      </w:r>
    </w:p>
    <w:tbl>
      <w:tblPr>
        <w:tblW w:w="5000" w:type="pct"/>
        <w:jc w:val="left"/>
        <w:tblInd w:w="0" w:type="dxa"/>
        <w:tblCellMar>
          <w:top w:w="0" w:type="dxa"/>
          <w:left w:w="0" w:type="dxa"/>
          <w:bottom w:w="0" w:type="dxa"/>
          <w:right w:w="0" w:type="dxa"/>
        </w:tblCellMar>
      </w:tblPr>
      <w:tblGrid>
        <w:gridCol w:w="4811"/>
        <w:gridCol w:w="241"/>
        <w:gridCol w:w="1753"/>
        <w:gridCol w:w="241"/>
        <w:gridCol w:w="1662"/>
        <w:gridCol w:w="241"/>
        <w:gridCol w:w="138"/>
        <w:gridCol w:w="978"/>
        <w:gridCol w:w="140"/>
      </w:tblGrid>
      <w:tr>
        <w:trPr/>
        <w:tc>
          <w:tcPr>
            <w:tcW w:w="4811"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753"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3159" w:type="dxa"/>
            <w:gridSpan w:val="5"/>
            <w:tcBorders/>
            <w:shd w:fill="FFFFFF" w:val="clear"/>
            <w:vAlign w:val="bottom"/>
          </w:tcPr>
          <w:p>
            <w:pPr>
              <w:pStyle w:val="TableContents"/>
              <w:spacing w:before="0" w:after="0"/>
              <w:jc w:val="center"/>
              <w:rPr>
                <w:rFonts w:ascii="Arial" w:hAnsi="Arial"/>
                <w:b/>
              </w:rPr>
            </w:pPr>
            <w:r>
              <w:rPr>
                <w:rFonts w:ascii="Arial" w:hAnsi="Arial"/>
                <w:b/>
              </w:rPr>
              <w:t>Securities Owned</w:t>
            </w:r>
          </w:p>
          <w:p>
            <w:pPr>
              <w:pStyle w:val="HorizontalLine"/>
              <w:pBdr>
                <w:bottom w:val="single" w:sz="6" w:space="0" w:color="000000"/>
              </w:pBdr>
              <w:spacing w:before="0" w:after="283"/>
              <w:rPr/>
            </w:pPr>
            <w:r>
              <w:rPr/>
            </w:r>
          </w:p>
        </w:tc>
      </w:tr>
      <w:tr>
        <w:trPr/>
        <w:tc>
          <w:tcPr>
            <w:tcW w:w="4811" w:type="dxa"/>
            <w:tcBorders/>
            <w:shd w:fill="FFFFFF" w:val="clear"/>
            <w:vAlign w:val="bottom"/>
          </w:tcPr>
          <w:p>
            <w:pPr>
              <w:pStyle w:val="TableContents"/>
              <w:spacing w:before="0" w:after="0"/>
              <w:jc w:val="center"/>
              <w:rPr>
                <w:rFonts w:ascii="Arial" w:hAnsi="Arial"/>
                <w:b/>
              </w:rPr>
            </w:pPr>
            <w:r>
              <w:rPr>
                <w:rFonts w:ascii="Arial" w:hAnsi="Arial"/>
                <w:b/>
              </w:rPr>
              <w:t>Name</w:t>
            </w:r>
          </w:p>
          <w:p>
            <w:pPr>
              <w:pStyle w:val="HorizontalLine"/>
              <w:pBdr>
                <w:bottom w:val="single" w:sz="6" w:space="0" w:color="000000"/>
              </w:pBdr>
              <w:spacing w:before="0" w:after="283"/>
              <w:rPr/>
            </w:pPr>
            <w:r>
              <w:rPr/>
            </w:r>
          </w:p>
        </w:tc>
        <w:tc>
          <w:tcPr>
            <w:tcW w:w="241" w:type="dxa"/>
            <w:tcBorders/>
            <w:shd w:fill="FFFFFF" w:val="clear"/>
            <w:vAlign w:val="bottom"/>
          </w:tcPr>
          <w:p>
            <w:pPr>
              <w:pStyle w:val="TableContents"/>
              <w:spacing w:before="0" w:after="283"/>
              <w:jc w:val="center"/>
              <w:rPr/>
            </w:pPr>
            <w:r>
              <w:rPr/>
              <w:t>    </w:t>
            </w:r>
          </w:p>
        </w:tc>
        <w:tc>
          <w:tcPr>
            <w:tcW w:w="1753" w:type="dxa"/>
            <w:tcBorders/>
            <w:shd w:fill="FFFFFF" w:val="clear"/>
            <w:vAlign w:val="bottom"/>
          </w:tcPr>
          <w:p>
            <w:pPr>
              <w:pStyle w:val="TableContents"/>
              <w:spacing w:before="0" w:after="0"/>
              <w:jc w:val="center"/>
              <w:rPr>
                <w:rFonts w:ascii="Arial" w:hAnsi="Arial"/>
                <w:b/>
              </w:rPr>
            </w:pPr>
            <w:r>
              <w:rPr>
                <w:rFonts w:ascii="Arial" w:hAnsi="Arial"/>
                <w:b/>
              </w:rPr>
              <w:t>Country or</w:t>
              <w:br/>
              <w:t>State of</w:t>
              <w:br/>
              <w:t>Incorporation</w:t>
            </w:r>
          </w:p>
          <w:p>
            <w:pPr>
              <w:pStyle w:val="HorizontalLine"/>
              <w:pBdr>
                <w:bottom w:val="single" w:sz="6" w:space="0" w:color="000000"/>
              </w:pBdr>
              <w:spacing w:before="0" w:after="283"/>
              <w:rPr/>
            </w:pPr>
            <w:r>
              <w:rPr/>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0"/>
              <w:jc w:val="center"/>
              <w:rPr>
                <w:rFonts w:ascii="Arial" w:hAnsi="Arial"/>
                <w:b/>
              </w:rPr>
            </w:pPr>
            <w:r>
              <w:rPr>
                <w:rFonts w:ascii="Arial" w:hAnsi="Arial"/>
                <w:b/>
              </w:rPr>
              <w:t>Class</w:t>
            </w:r>
          </w:p>
          <w:p>
            <w:pPr>
              <w:pStyle w:val="HorizontalLine"/>
              <w:pBdr>
                <w:bottom w:val="single" w:sz="6" w:space="0" w:color="000000"/>
              </w:pBdr>
              <w:spacing w:before="0" w:after="283"/>
              <w:rPr/>
            </w:pPr>
            <w:r>
              <w:rPr/>
            </w:r>
          </w:p>
        </w:tc>
        <w:tc>
          <w:tcPr>
            <w:tcW w:w="241" w:type="dxa"/>
            <w:tcBorders/>
            <w:shd w:fill="FFFFFF" w:val="clear"/>
            <w:vAlign w:val="center"/>
          </w:tcPr>
          <w:p>
            <w:pPr>
              <w:pStyle w:val="TableContents"/>
              <w:spacing w:before="0" w:after="283"/>
              <w:rPr/>
            </w:pPr>
            <w:r>
              <w:rPr/>
              <w:t> </w:t>
            </w:r>
          </w:p>
        </w:tc>
        <w:tc>
          <w:tcPr>
            <w:tcW w:w="1256" w:type="dxa"/>
            <w:gridSpan w:val="3"/>
            <w:tcBorders/>
            <w:shd w:fill="FFFFFF" w:val="clear"/>
            <w:vAlign w:val="bottom"/>
          </w:tcPr>
          <w:p>
            <w:pPr>
              <w:pStyle w:val="TableContents"/>
              <w:spacing w:before="0" w:after="0"/>
              <w:jc w:val="center"/>
              <w:rPr>
                <w:rFonts w:ascii="Arial" w:hAnsi="Arial"/>
                <w:b/>
              </w:rPr>
            </w:pPr>
            <w:r>
              <w:rPr>
                <w:rFonts w:ascii="Arial" w:hAnsi="Arial"/>
                <w:b/>
              </w:rPr>
              <w:t>Percent</w:t>
              <w:br/>
              <w:t>Ownership</w:t>
            </w:r>
          </w:p>
          <w:p>
            <w:pPr>
              <w:pStyle w:val="HorizontalLine"/>
              <w:pBdr>
                <w:bottom w:val="single" w:sz="6" w:space="0" w:color="000000"/>
              </w:pBdr>
              <w:spacing w:before="0" w:after="283"/>
              <w:rPr/>
            </w:pPr>
            <w:r>
              <w:rPr/>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Aerospace UK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United Kingdom</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Honeywell ACSA Inc.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Canada</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Asia Pacific Inc.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Honeywell Electronic Materials Inc.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Washington</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GmbH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Germany</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Honeywell HomeMed L.L.C.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Intellectual Properties Inc.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Arizona</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Honeywell Limited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Canada</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Resins &amp; Chemicals L.L.C.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Honeywell Specialty Materials, L.L.C.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Technologies S.r.l.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Switzerland</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Honeywell Technology Solutions Inc.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Honeywell UK Limited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United Kingdom</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AlliedSignal Aerospace Service Corporation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Grimes Aerospace Company</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Novar Controls Corporation </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jc w:val="left"/>
              <w:rPr>
                <w:rFonts w:ascii="Arial" w:hAnsi="Arial"/>
              </w:rPr>
            </w:pPr>
            <w:r>
              <w:rPr>
                <w:rFonts w:ascii="Arial" w:hAnsi="Arial"/>
              </w:rPr>
              <w:t>Phoenix Controls Corporation </w:t>
            </w:r>
          </w:p>
        </w:tc>
        <w:tc>
          <w:tcPr>
            <w:tcW w:w="241" w:type="dxa"/>
            <w:tcBorders/>
            <w:shd w:fill="E5FFFF" w:val="clear"/>
            <w:vAlign w:val="bottom"/>
          </w:tcPr>
          <w:p>
            <w:pPr>
              <w:pStyle w:val="TableContents"/>
              <w:spacing w:before="0" w:after="283"/>
              <w:jc w:val="left"/>
              <w:rPr/>
            </w:pPr>
            <w:r>
              <w:rPr/>
              <w:t>    </w:t>
            </w:r>
          </w:p>
        </w:tc>
        <w:tc>
          <w:tcPr>
            <w:tcW w:w="1753" w:type="dxa"/>
            <w:tcBorders/>
            <w:shd w:fill="E5FFFF" w:val="clear"/>
            <w:vAlign w:val="bottom"/>
          </w:tcPr>
          <w:p>
            <w:pPr>
              <w:pStyle w:val="TableContents"/>
              <w:spacing w:before="0" w:after="283"/>
              <w:jc w:val="left"/>
              <w:rPr>
                <w:rFonts w:ascii="Arial" w:hAnsi="Arial"/>
              </w:rPr>
            </w:pPr>
            <w:r>
              <w:rPr>
                <w:rFonts w:ascii="Arial" w:hAnsi="Arial"/>
              </w:rPr>
              <w:t>Massachusetts</w:t>
            </w:r>
          </w:p>
        </w:tc>
        <w:tc>
          <w:tcPr>
            <w:tcW w:w="241" w:type="dxa"/>
            <w:tcBorders/>
            <w:shd w:fill="E5FFFF" w:val="clear"/>
            <w:vAlign w:val="bottom"/>
          </w:tcPr>
          <w:p>
            <w:pPr>
              <w:pStyle w:val="TableContents"/>
              <w:spacing w:before="0" w:after="283"/>
              <w:jc w:val="center"/>
              <w:rPr/>
            </w:pPr>
            <w:r>
              <w:rPr/>
              <w:t>    </w:t>
            </w:r>
          </w:p>
        </w:tc>
        <w:tc>
          <w:tcPr>
            <w:tcW w:w="1662" w:type="dxa"/>
            <w:tcBorders/>
            <w:shd w:fill="E5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E5FFFF" w:val="clear"/>
            <w:vAlign w:val="bottom"/>
          </w:tcPr>
          <w:p>
            <w:pPr>
              <w:pStyle w:val="TableContents"/>
              <w:spacing w:before="0" w:after="283"/>
              <w:jc w:val="right"/>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bottom"/>
          </w:tcPr>
          <w:p>
            <w:pPr>
              <w:pStyle w:val="TableContents"/>
              <w:spacing w:before="0" w:after="283"/>
              <w:jc w:val="right"/>
              <w:rPr>
                <w:rFonts w:ascii="Arial" w:hAnsi="Arial"/>
              </w:rPr>
            </w:pPr>
            <w:r>
              <w:rPr>
                <w:rFonts w:ascii="Arial" w:hAnsi="Arial"/>
              </w:rPr>
              <w:t>100</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jc w:val="left"/>
              <w:rPr>
                <w:rFonts w:ascii="Arial" w:hAnsi="Arial"/>
              </w:rPr>
            </w:pPr>
            <w:r>
              <w:rPr>
                <w:rFonts w:ascii="Arial" w:hAnsi="Arial"/>
              </w:rPr>
              <w:t>Prestone Products Corporation</w:t>
            </w:r>
          </w:p>
        </w:tc>
        <w:tc>
          <w:tcPr>
            <w:tcW w:w="241" w:type="dxa"/>
            <w:tcBorders/>
            <w:shd w:fill="FFFFFF" w:val="clear"/>
            <w:vAlign w:val="bottom"/>
          </w:tcPr>
          <w:p>
            <w:pPr>
              <w:pStyle w:val="TableContents"/>
              <w:spacing w:before="0" w:after="283"/>
              <w:jc w:val="left"/>
              <w:rPr/>
            </w:pPr>
            <w:r>
              <w:rPr/>
              <w:t>    </w:t>
            </w:r>
          </w:p>
        </w:tc>
        <w:tc>
          <w:tcPr>
            <w:tcW w:w="1753" w:type="dxa"/>
            <w:tcBorders/>
            <w:shd w:fill="FFFFFF" w:val="clear"/>
            <w:vAlign w:val="bottom"/>
          </w:tcPr>
          <w:p>
            <w:pPr>
              <w:pStyle w:val="TableContents"/>
              <w:spacing w:before="0" w:after="283"/>
              <w:jc w:val="left"/>
              <w:rPr>
                <w:rFonts w:ascii="Arial" w:hAnsi="Arial"/>
              </w:rPr>
            </w:pPr>
            <w:r>
              <w:rPr>
                <w:rFonts w:ascii="Arial" w:hAnsi="Arial"/>
              </w:rPr>
              <w:t>Delaware</w:t>
            </w:r>
          </w:p>
        </w:tc>
        <w:tc>
          <w:tcPr>
            <w:tcW w:w="241" w:type="dxa"/>
            <w:tcBorders/>
            <w:shd w:fill="FFFFFF" w:val="clear"/>
            <w:vAlign w:val="bottom"/>
          </w:tcPr>
          <w:p>
            <w:pPr>
              <w:pStyle w:val="TableContents"/>
              <w:spacing w:before="0" w:after="283"/>
              <w:jc w:val="center"/>
              <w:rPr/>
            </w:pPr>
            <w:r>
              <w:rPr/>
              <w:t>    </w:t>
            </w:r>
          </w:p>
        </w:tc>
        <w:tc>
          <w:tcPr>
            <w:tcW w:w="1662" w:type="dxa"/>
            <w:tcBorders/>
            <w:shd w:fill="FFFFFF" w:val="clear"/>
            <w:vAlign w:val="bottom"/>
          </w:tcPr>
          <w:p>
            <w:pPr>
              <w:pStyle w:val="TableContents"/>
              <w:spacing w:before="0" w:after="283"/>
              <w:jc w:val="center"/>
              <w:rPr>
                <w:rFonts w:ascii="Arial" w:hAnsi="Arial"/>
              </w:rPr>
            </w:pPr>
            <w:r>
              <w:rPr>
                <w:rFonts w:ascii="Arial" w:hAnsi="Arial"/>
              </w:rPr>
              <w:t>Common Stock</w:t>
            </w:r>
          </w:p>
        </w:tc>
        <w:tc>
          <w:tcPr>
            <w:tcW w:w="241" w:type="dxa"/>
            <w:tcBorders/>
            <w:shd w:fill="FFFFFF" w:val="clear"/>
            <w:vAlign w:val="bottom"/>
          </w:tcPr>
          <w:p>
            <w:pPr>
              <w:pStyle w:val="TableContents"/>
              <w:spacing w:before="0" w:after="283"/>
              <w:jc w:val="right"/>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bottom"/>
          </w:tcPr>
          <w:p>
            <w:pPr>
              <w:pStyle w:val="TableContents"/>
              <w:spacing w:before="0" w:after="283"/>
              <w:jc w:val="right"/>
              <w:rPr>
                <w:rFonts w:ascii="Arial" w:hAnsi="Arial"/>
              </w:rPr>
            </w:pPr>
            <w:r>
              <w:rPr>
                <w:rFonts w:ascii="Arial" w:hAnsi="Arial"/>
              </w:rPr>
              <w:t>100</w:t>
            </w:r>
          </w:p>
        </w:tc>
        <w:tc>
          <w:tcPr>
            <w:tcW w:w="140" w:type="dxa"/>
            <w:tcBorders/>
            <w:shd w:fill="FFFFFF" w:val="clear"/>
            <w:vAlign w:val="center"/>
          </w:tcPr>
          <w:p>
            <w:pPr>
              <w:pStyle w:val="TableContents"/>
              <w:spacing w:before="0" w:after="283"/>
              <w:rPr/>
            </w:pPr>
            <w:r>
              <w:rPr/>
              <w:t> </w:t>
            </w:r>
          </w:p>
        </w:tc>
      </w:tr>
      <w:tr>
        <w:trPr/>
        <w:tc>
          <w:tcPr>
            <w:tcW w:w="4811" w:type="dxa"/>
            <w:tcBorders/>
            <w:shd w:fill="E5FFFF" w:val="clear"/>
            <w:vAlign w:val="bottom"/>
          </w:tcPr>
          <w:p>
            <w:pPr>
              <w:pStyle w:val="TableContents"/>
              <w:spacing w:before="0" w:after="283"/>
              <w:rPr>
                <w:sz w:val="4"/>
                <w:szCs w:val="4"/>
              </w:rPr>
            </w:pPr>
            <w:r>
              <w:rPr>
                <w:sz w:val="4"/>
                <w:szCs w:val="4"/>
              </w:rPr>
            </w:r>
          </w:p>
        </w:tc>
        <w:tc>
          <w:tcPr>
            <w:tcW w:w="241" w:type="dxa"/>
            <w:tcBorders/>
            <w:shd w:fill="E5FFFF" w:val="clear"/>
            <w:vAlign w:val="center"/>
          </w:tcPr>
          <w:p>
            <w:pPr>
              <w:pStyle w:val="TableContents"/>
              <w:spacing w:before="0" w:after="283"/>
              <w:rPr/>
            </w:pPr>
            <w:r>
              <w:rPr/>
              <w:t> </w:t>
            </w:r>
          </w:p>
        </w:tc>
        <w:tc>
          <w:tcPr>
            <w:tcW w:w="1753" w:type="dxa"/>
            <w:tcBorders/>
            <w:shd w:fill="E5FFFF" w:val="clear"/>
            <w:vAlign w:val="center"/>
          </w:tcPr>
          <w:p>
            <w:pPr>
              <w:pStyle w:val="TableContents"/>
              <w:spacing w:before="0" w:after="283"/>
              <w:rPr/>
            </w:pPr>
            <w:r>
              <w:rPr/>
              <w:t> </w:t>
            </w:r>
          </w:p>
        </w:tc>
        <w:tc>
          <w:tcPr>
            <w:tcW w:w="241" w:type="dxa"/>
            <w:tcBorders/>
            <w:shd w:fill="E5FFFF" w:val="clear"/>
            <w:vAlign w:val="center"/>
          </w:tcPr>
          <w:p>
            <w:pPr>
              <w:pStyle w:val="TableContents"/>
              <w:spacing w:before="0" w:after="283"/>
              <w:rPr/>
            </w:pPr>
            <w:r>
              <w:rPr/>
              <w:t> </w:t>
            </w:r>
          </w:p>
        </w:tc>
        <w:tc>
          <w:tcPr>
            <w:tcW w:w="1662" w:type="dxa"/>
            <w:tcBorders/>
            <w:shd w:fill="E5FFFF" w:val="clear"/>
            <w:vAlign w:val="center"/>
          </w:tcPr>
          <w:p>
            <w:pPr>
              <w:pStyle w:val="TableContents"/>
              <w:spacing w:before="0" w:after="283"/>
              <w:rPr/>
            </w:pPr>
            <w:r>
              <w:rPr/>
              <w:t> </w:t>
            </w:r>
          </w:p>
        </w:tc>
        <w:tc>
          <w:tcPr>
            <w:tcW w:w="241" w:type="dxa"/>
            <w:tcBorders/>
            <w:shd w:fill="E5FFFF" w:val="clear"/>
            <w:vAlign w:val="center"/>
          </w:tcPr>
          <w:p>
            <w:pPr>
              <w:pStyle w:val="TableContents"/>
              <w:spacing w:before="0" w:after="283"/>
              <w:rPr/>
            </w:pPr>
            <w:r>
              <w:rPr/>
              <w:t> </w:t>
            </w:r>
          </w:p>
        </w:tc>
        <w:tc>
          <w:tcPr>
            <w:tcW w:w="138" w:type="dxa"/>
            <w:tcBorders/>
            <w:shd w:fill="E5FFFF" w:val="clear"/>
            <w:vAlign w:val="center"/>
          </w:tcPr>
          <w:p>
            <w:pPr>
              <w:pStyle w:val="TableContents"/>
              <w:spacing w:before="0" w:after="283"/>
              <w:rPr/>
            </w:pPr>
            <w:r>
              <w:rPr/>
              <w:t> </w:t>
            </w:r>
          </w:p>
        </w:tc>
        <w:tc>
          <w:tcPr>
            <w:tcW w:w="978" w:type="dxa"/>
            <w:tcBorders/>
            <w:shd w:fill="E5FFFF" w:val="clear"/>
            <w:vAlign w:val="center"/>
          </w:tcPr>
          <w:p>
            <w:pPr>
              <w:pStyle w:val="TableContents"/>
              <w:spacing w:before="0" w:after="283"/>
              <w:rPr/>
            </w:pPr>
            <w:r>
              <w:rPr/>
              <w:t> </w:t>
            </w:r>
          </w:p>
        </w:tc>
        <w:tc>
          <w:tcPr>
            <w:tcW w:w="140" w:type="dxa"/>
            <w:tcBorders/>
            <w:shd w:fill="E5FFFF" w:val="clear"/>
            <w:vAlign w:val="center"/>
          </w:tcPr>
          <w:p>
            <w:pPr>
              <w:pStyle w:val="TableContents"/>
              <w:spacing w:before="0" w:after="283"/>
              <w:rPr/>
            </w:pPr>
            <w:r>
              <w:rPr/>
              <w:t> </w:t>
            </w:r>
          </w:p>
        </w:tc>
      </w:tr>
      <w:tr>
        <w:trPr/>
        <w:tc>
          <w:tcPr>
            <w:tcW w:w="4811" w:type="dxa"/>
            <w:tcBorders/>
            <w:shd w:fill="FFFFFF" w:val="clear"/>
            <w:vAlign w:val="bottom"/>
          </w:tcPr>
          <w:p>
            <w:pPr>
              <w:pStyle w:val="TableContents"/>
              <w:spacing w:before="0" w:after="283"/>
              <w:rPr>
                <w:sz w:val="4"/>
                <w:szCs w:val="4"/>
              </w:rPr>
            </w:pPr>
            <w:r>
              <w:rPr>
                <w:sz w:val="4"/>
                <w:szCs w:val="4"/>
              </w:rPr>
            </w:r>
          </w:p>
        </w:tc>
        <w:tc>
          <w:tcPr>
            <w:tcW w:w="241" w:type="dxa"/>
            <w:tcBorders/>
            <w:shd w:fill="FFFFFF" w:val="clear"/>
            <w:vAlign w:val="center"/>
          </w:tcPr>
          <w:p>
            <w:pPr>
              <w:pStyle w:val="TableContents"/>
              <w:spacing w:before="0" w:after="283"/>
              <w:rPr/>
            </w:pPr>
            <w:r>
              <w:rPr/>
              <w:t> </w:t>
            </w:r>
          </w:p>
        </w:tc>
        <w:tc>
          <w:tcPr>
            <w:tcW w:w="1753"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662" w:type="dxa"/>
            <w:tcBorders/>
            <w:shd w:fill="FFFFFF" w:val="clear"/>
            <w:vAlign w:val="center"/>
          </w:tcPr>
          <w:p>
            <w:pPr>
              <w:pStyle w:val="TableContents"/>
              <w:spacing w:before="0" w:after="283"/>
              <w:rPr/>
            </w:pPr>
            <w:r>
              <w:rPr/>
              <w:t> </w:t>
            </w:r>
          </w:p>
        </w:tc>
        <w:tc>
          <w:tcPr>
            <w:tcW w:w="241" w:type="dxa"/>
            <w:tcBorders/>
            <w:shd w:fill="FFFFFF" w:val="clear"/>
            <w:vAlign w:val="center"/>
          </w:tcPr>
          <w:p>
            <w:pPr>
              <w:pStyle w:val="TableContents"/>
              <w:spacing w:before="0" w:after="283"/>
              <w:rPr/>
            </w:pPr>
            <w:r>
              <w:rPr/>
              <w:t> </w:t>
            </w:r>
          </w:p>
        </w:tc>
        <w:tc>
          <w:tcPr>
            <w:tcW w:w="138" w:type="dxa"/>
            <w:tcBorders/>
            <w:shd w:fill="FFFFFF" w:val="clear"/>
            <w:vAlign w:val="center"/>
          </w:tcPr>
          <w:p>
            <w:pPr>
              <w:pStyle w:val="TableContents"/>
              <w:spacing w:before="0" w:after="283"/>
              <w:rPr/>
            </w:pPr>
            <w:r>
              <w:rPr/>
              <w:t> </w:t>
            </w:r>
          </w:p>
        </w:tc>
        <w:tc>
          <w:tcPr>
            <w:tcW w:w="978"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r>
    </w:tbl>
    <w:p>
      <w:pPr>
        <w:pStyle w:val="HorizontalLine"/>
        <w:pBdr>
          <w:bottom w:val="single" w:sz="20" w:space="0" w:color="000000"/>
        </w:pBdr>
        <w:jc w:val="center"/>
        <w:rPr/>
      </w:pPr>
      <w:r>
        <w:rPr/>
      </w:r>
    </w:p>
    <w:p>
      <w:pPr>
        <w:pStyle w:val="TextBody"/>
        <w:jc w:val="left"/>
        <w:rPr/>
      </w:pPr>
      <w:r>
        <w:rPr/>
        <w:t>      </w:t>
      </w:r>
      <w:r>
        <w:rPr>
          <w:rFonts w:ascii="Arial" w:hAnsi="Arial"/>
        </w:rPr>
        <w:t>The names of Honeywell's other consolidated subsidiaries, which are primarily totally-held by Honeywell, are not listed because all such subsidiaries, considered in the aggregate as a single subsidiary, would not constitute a significant subsidiary.</w:t>
      </w:r>
    </w:p>
    <w:p>
      <w:pPr>
        <w:pStyle w:val="HorizontalLine"/>
        <w:pBdr>
          <w:bottom w:val="single" w:sz="20" w:space="0" w:color="000000"/>
        </w:pBdr>
        <w:rPr/>
      </w:pPr>
      <w:r>
        <w:rPr/>
      </w:r>
      <w:r>
        <w:br w:type="page"/>
      </w:r>
    </w:p>
    <w:p>
      <w:pPr>
        <w:pStyle w:val="TextBody"/>
        <w:jc w:val="right"/>
        <w:rPr>
          <w:rFonts w:ascii="Arial" w:hAnsi="Arial"/>
          <w:b/>
        </w:rPr>
      </w:pPr>
      <w:bookmarkStart w:id="102" w:name="c44492_ex23.htm"/>
      <w:bookmarkStart w:id="103" w:name="ksc44492_ex23"/>
      <w:bookmarkEnd w:id="102"/>
      <w:bookmarkEnd w:id="103"/>
      <w:r>
        <w:rPr>
          <w:rFonts w:ascii="Arial" w:hAnsi="Arial"/>
          <w:b/>
        </w:rPr>
        <w:t>EXHIBIT 23</w:t>
      </w:r>
    </w:p>
    <w:p>
      <w:pPr>
        <w:pStyle w:val="TextBody"/>
        <w:jc w:val="center"/>
        <w:rPr>
          <w:rFonts w:ascii="Arial" w:hAnsi="Arial"/>
          <w:b/>
        </w:rPr>
      </w:pPr>
      <w:r>
        <w:rPr>
          <w:rFonts w:ascii="Arial" w:hAnsi="Arial"/>
          <w:b/>
        </w:rPr>
        <w:t>CONSENT OF INDEPENDENT REGISTERED PUBLIC ACCOUNTING FIRM</w:t>
      </w:r>
    </w:p>
    <w:p>
      <w:pPr>
        <w:pStyle w:val="TextBody"/>
        <w:jc w:val="left"/>
        <w:rPr/>
      </w:pPr>
      <w:r>
        <w:rPr/>
        <w:t>      </w:t>
      </w:r>
      <w:r>
        <w:rPr>
          <w:rFonts w:ascii="Arial" w:hAnsi="Arial"/>
        </w:rPr>
        <w:t>We hereby consent to the incorporation by reference in the Registration Statements on Form S-3 (Nos. 033-14071, 033-55425, 333-22355, 333-49455, 333-68847, 333-74075, 333-34760, 333-86874 and 333-101455), Form S-8 (Nos. 033-09896, 033-51455, 033-55410, 033-58347, 333-57515, 333-57517, 333-57519, 333-83511, 333-34764, 333-49280, 333-57868, 333-91582, 333-91736, 333-105065, 333-108461, 333-136083, and 333-136086), and Form S-4 (No. 333-82049) of Honeywell International Inc. of our report dated February 15, 2007 relating to the financial statements, financial statement schedule, management's assessment of the effectiveness of internal control over financial reporting and the effectiveness of internal control over financial reporting, which appears in this Form 10-K.</w:t>
      </w:r>
    </w:p>
    <w:p>
      <w:pPr>
        <w:pStyle w:val="TextBody"/>
        <w:jc w:val="left"/>
        <w:rPr/>
      </w:pPr>
      <w:r>
        <w:rPr>
          <w:rFonts w:ascii="Arial" w:hAnsi="Arial"/>
        </w:rPr>
        <w:t>/</w:t>
      </w:r>
      <w:r>
        <w:rPr>
          <w:rFonts w:ascii="Arial" w:hAnsi="Arial"/>
          <w:sz w:val="14"/>
        </w:rPr>
        <w:t>S</w:t>
      </w:r>
      <w:r>
        <w:rPr>
          <w:rFonts w:ascii="Arial" w:hAnsi="Arial"/>
        </w:rPr>
        <w:t>/ P</w:t>
      </w:r>
      <w:r>
        <w:rPr>
          <w:rFonts w:ascii="Arial" w:hAnsi="Arial"/>
          <w:sz w:val="14"/>
        </w:rPr>
        <w:t>RICEWATERHOUSE</w:t>
      </w:r>
      <w:r>
        <w:rPr>
          <w:rFonts w:ascii="Arial" w:hAnsi="Arial"/>
        </w:rPr>
        <w:t>C</w:t>
      </w:r>
      <w:r>
        <w:rPr>
          <w:rFonts w:ascii="Arial" w:hAnsi="Arial"/>
          <w:sz w:val="14"/>
        </w:rPr>
        <w:t>OOPERS</w:t>
      </w:r>
      <w:r>
        <w:rPr/>
        <w:t xml:space="preserve"> </w:t>
      </w:r>
      <w:r>
        <w:rPr>
          <w:rFonts w:ascii="Arial" w:hAnsi="Arial"/>
        </w:rPr>
        <w:t>LLP</w:t>
      </w:r>
    </w:p>
    <w:p>
      <w:pPr>
        <w:pStyle w:val="TextBody"/>
        <w:jc w:val="left"/>
        <w:rPr>
          <w:rFonts w:ascii="Arial" w:hAnsi="Arial"/>
        </w:rPr>
      </w:pPr>
      <w:r>
        <w:rPr>
          <w:rFonts w:ascii="Arial" w:hAnsi="Arial"/>
        </w:rPr>
        <w:t>Florham Park, New Jersey</w:t>
        <w:br/>
        <w:t>February 15, 2007</w:t>
      </w:r>
    </w:p>
    <w:p>
      <w:pPr>
        <w:pStyle w:val="HorizontalLine"/>
        <w:pBdr>
          <w:bottom w:val="single" w:sz="20" w:space="0" w:color="000000"/>
        </w:pBdr>
        <w:rPr/>
      </w:pPr>
      <w:r>
        <w:rPr/>
      </w:r>
      <w:r>
        <w:br w:type="page"/>
      </w:r>
    </w:p>
    <w:p>
      <w:pPr>
        <w:pStyle w:val="TextBody"/>
        <w:spacing w:before="0" w:after="0"/>
        <w:jc w:val="right"/>
        <w:rPr>
          <w:b/>
          <w:sz w:val="20"/>
        </w:rPr>
      </w:pPr>
      <w:bookmarkStart w:id="104" w:name="c44492_ex-24.htm"/>
      <w:bookmarkStart w:id="105" w:name="ksc44492_ex24"/>
      <w:bookmarkEnd w:id="104"/>
      <w:bookmarkEnd w:id="105"/>
      <w:r>
        <w:rPr>
          <w:b/>
          <w:sz w:val="20"/>
        </w:rPr>
        <w:t>Exhibit 24</w:t>
      </w:r>
    </w:p>
    <w:p>
      <w:pPr>
        <w:pStyle w:val="TextBody"/>
        <w:spacing w:before="0" w:after="0"/>
        <w:jc w:val="center"/>
        <w:rPr>
          <w:b/>
          <w:sz w:val="20"/>
          <w:u w:val="single"/>
        </w:rPr>
      </w:pPr>
      <w:r>
        <w:rPr>
          <w:b/>
          <w:sz w:val="20"/>
          <w:u w:val="single"/>
        </w:rPr>
        <w:t>POWER OF ATTORNEY</w:t>
      </w:r>
    </w:p>
    <w:p>
      <w:pPr>
        <w:pStyle w:val="TextBody"/>
        <w:spacing w:before="0" w:after="0"/>
        <w:jc w:val="left"/>
        <w:rPr/>
      </w:pPr>
      <w:r>
        <w:rPr/>
        <w:t> </w:t>
      </w:r>
    </w:p>
    <w:p>
      <w:pPr>
        <w:pStyle w:val="TextBody"/>
        <w:spacing w:before="0" w:after="0"/>
        <w:jc w:val="left"/>
        <w:rPr>
          <w:sz w:val="20"/>
        </w:rPr>
      </w:pPr>
      <w:r>
        <w:rPr>
          <w:sz w:val="20"/>
        </w:rPr>
        <w:t>Each of the undersigned, as a director of Honeywell International Inc. (the Company), a Delaware corporation, hereby appoint David M. Cote, Peter M. Kreindler, David J. Anderson, Thomas F. Larkins and John J. Tus, each with power to act without the other and with power of substitution and resubstitution, as my attorney-in-fact and agent for me and in my name, place and stead in any and all capacities,</w:t>
      </w:r>
    </w:p>
    <w:p>
      <w:pPr>
        <w:pStyle w:val="TextBody"/>
        <w:spacing w:before="0" w:after="0"/>
        <w:jc w:val="left"/>
        <w:rPr/>
      </w:pPr>
      <w:r>
        <w:rPr/>
        <w:t>         </w:t>
      </w:r>
    </w:p>
    <w:p>
      <w:pPr>
        <w:pStyle w:val="TextBody"/>
        <w:spacing w:before="0" w:after="0"/>
        <w:jc w:val="left"/>
        <w:rPr/>
      </w:pPr>
      <w:r>
        <w:rPr/>
        <w:t> </w:t>
      </w:r>
    </w:p>
    <w:tbl>
      <w:tblPr>
        <w:tblW w:w="11470" w:type="dxa"/>
        <w:jc w:val="left"/>
        <w:tblInd w:w="0" w:type="dxa"/>
        <w:tblCellMar>
          <w:top w:w="0" w:type="dxa"/>
          <w:left w:w="0" w:type="dxa"/>
          <w:bottom w:w="0" w:type="dxa"/>
          <w:right w:w="0" w:type="dxa"/>
        </w:tblCellMar>
      </w:tblPr>
      <w:tblGrid>
        <w:gridCol w:w="60"/>
        <w:gridCol w:w="320"/>
        <w:gridCol w:w="11090"/>
      </w:tblGrid>
      <w:tr>
        <w:trPr/>
        <w:tc>
          <w:tcPr>
            <w:tcW w:w="60" w:type="dxa"/>
            <w:tcBorders/>
            <w:shd w:fill="auto" w:val="clear"/>
          </w:tcPr>
          <w:p>
            <w:pPr>
              <w:pStyle w:val="TableContents"/>
              <w:spacing w:before="0" w:after="283"/>
              <w:rPr/>
            </w:pPr>
            <w:r>
              <w:rPr/>
              <w:t> </w:t>
            </w:r>
          </w:p>
        </w:tc>
        <w:tc>
          <w:tcPr>
            <w:tcW w:w="320" w:type="dxa"/>
            <w:tcBorders/>
            <w:shd w:fill="auto" w:val="clear"/>
          </w:tcPr>
          <w:p>
            <w:pPr>
              <w:pStyle w:val="TableContents"/>
              <w:spacing w:before="0" w:after="283"/>
              <w:rPr/>
            </w:pPr>
            <w:r>
              <w:rPr>
                <w:sz w:val="20"/>
              </w:rPr>
              <w:t>(i)</w:t>
            </w:r>
            <w:r>
              <w:rPr/>
              <w:t>  </w:t>
            </w:r>
          </w:p>
        </w:tc>
        <w:tc>
          <w:tcPr>
            <w:tcW w:w="11090" w:type="dxa"/>
            <w:tcBorders/>
            <w:shd w:fill="auto" w:val="clear"/>
          </w:tcPr>
          <w:p>
            <w:pPr>
              <w:pStyle w:val="TableContents"/>
              <w:spacing w:before="0" w:after="283"/>
              <w:rPr/>
            </w:pPr>
            <w:r>
              <w:rPr/>
              <w:t> </w:t>
            </w:r>
            <w:r>
              <w:rPr>
                <w:sz w:val="20"/>
              </w:rPr>
              <w:t>to sign the Companys Annual Report on Form 10-K under the Securities Exchange Act of 1934 for the year ended December 31, 2006,</w:t>
            </w:r>
          </w:p>
        </w:tc>
      </w:tr>
      <w:tr>
        <w:trPr/>
        <w:tc>
          <w:tcPr>
            <w:tcW w:w="60" w:type="dxa"/>
            <w:tcBorders/>
            <w:shd w:fill="auto" w:val="clear"/>
          </w:tcPr>
          <w:p>
            <w:pPr>
              <w:pStyle w:val="TableContents"/>
              <w:spacing w:before="0" w:after="283"/>
              <w:rPr/>
            </w:pPr>
            <w:r>
              <w:rPr/>
              <w:t> </w:t>
            </w:r>
          </w:p>
        </w:tc>
        <w:tc>
          <w:tcPr>
            <w:tcW w:w="320" w:type="dxa"/>
            <w:tcBorders/>
            <w:shd w:fill="auto" w:val="clear"/>
          </w:tcPr>
          <w:p>
            <w:pPr>
              <w:pStyle w:val="TableContents"/>
              <w:spacing w:before="0" w:after="283"/>
              <w:rPr/>
            </w:pPr>
            <w:r>
              <w:rPr/>
              <w:t> </w:t>
            </w:r>
          </w:p>
        </w:tc>
        <w:tc>
          <w:tcPr>
            <w:tcW w:w="11090" w:type="dxa"/>
            <w:tcBorders/>
            <w:shd w:fill="auto" w:val="clear"/>
          </w:tcPr>
          <w:p>
            <w:pPr>
              <w:pStyle w:val="TableContents"/>
              <w:spacing w:before="0" w:after="283"/>
              <w:rPr/>
            </w:pPr>
            <w:r>
              <w:rPr/>
              <w:t> </w:t>
            </w:r>
          </w:p>
        </w:tc>
      </w:tr>
      <w:tr>
        <w:trPr/>
        <w:tc>
          <w:tcPr>
            <w:tcW w:w="60" w:type="dxa"/>
            <w:tcBorders/>
            <w:shd w:fill="auto" w:val="clear"/>
          </w:tcPr>
          <w:p>
            <w:pPr>
              <w:pStyle w:val="TableContents"/>
              <w:spacing w:before="0" w:after="283"/>
              <w:rPr/>
            </w:pPr>
            <w:r>
              <w:rPr/>
              <w:t> </w:t>
            </w:r>
          </w:p>
        </w:tc>
        <w:tc>
          <w:tcPr>
            <w:tcW w:w="320" w:type="dxa"/>
            <w:tcBorders/>
            <w:shd w:fill="auto" w:val="clear"/>
          </w:tcPr>
          <w:p>
            <w:pPr>
              <w:pStyle w:val="TableContents"/>
              <w:spacing w:before="0" w:after="283"/>
              <w:rPr>
                <w:sz w:val="20"/>
              </w:rPr>
            </w:pPr>
            <w:r>
              <w:rPr>
                <w:sz w:val="20"/>
              </w:rPr>
              <w:t>(ii)</w:t>
            </w:r>
          </w:p>
        </w:tc>
        <w:tc>
          <w:tcPr>
            <w:tcW w:w="11090" w:type="dxa"/>
            <w:tcBorders/>
            <w:shd w:fill="auto" w:val="clear"/>
          </w:tcPr>
          <w:p>
            <w:pPr>
              <w:pStyle w:val="TableContents"/>
              <w:spacing w:before="0" w:after="283"/>
              <w:rPr>
                <w:sz w:val="20"/>
              </w:rPr>
            </w:pPr>
            <w:r>
              <w:rPr>
                <w:sz w:val="20"/>
              </w:rPr>
              <w:t>to sign any amendment to the Annual Report referred to in (i) above, and</w:t>
            </w:r>
          </w:p>
        </w:tc>
      </w:tr>
      <w:tr>
        <w:trPr/>
        <w:tc>
          <w:tcPr>
            <w:tcW w:w="60" w:type="dxa"/>
            <w:tcBorders/>
            <w:shd w:fill="auto" w:val="clear"/>
          </w:tcPr>
          <w:p>
            <w:pPr>
              <w:pStyle w:val="TableContents"/>
              <w:spacing w:before="0" w:after="283"/>
              <w:rPr/>
            </w:pPr>
            <w:r>
              <w:rPr/>
              <w:t> </w:t>
            </w:r>
          </w:p>
        </w:tc>
        <w:tc>
          <w:tcPr>
            <w:tcW w:w="320" w:type="dxa"/>
            <w:tcBorders/>
            <w:shd w:fill="auto" w:val="clear"/>
          </w:tcPr>
          <w:p>
            <w:pPr>
              <w:pStyle w:val="TableContents"/>
              <w:spacing w:before="0" w:after="283"/>
              <w:rPr/>
            </w:pPr>
            <w:r>
              <w:rPr/>
              <w:t> </w:t>
            </w:r>
          </w:p>
        </w:tc>
        <w:tc>
          <w:tcPr>
            <w:tcW w:w="11090" w:type="dxa"/>
            <w:tcBorders/>
            <w:shd w:fill="auto" w:val="clear"/>
          </w:tcPr>
          <w:p>
            <w:pPr>
              <w:pStyle w:val="TableContents"/>
              <w:spacing w:before="0" w:after="283"/>
              <w:rPr/>
            </w:pPr>
            <w:r>
              <w:rPr/>
              <w:t> </w:t>
            </w:r>
          </w:p>
        </w:tc>
      </w:tr>
      <w:tr>
        <w:trPr/>
        <w:tc>
          <w:tcPr>
            <w:tcW w:w="60" w:type="dxa"/>
            <w:tcBorders/>
            <w:shd w:fill="auto" w:val="clear"/>
          </w:tcPr>
          <w:p>
            <w:pPr>
              <w:pStyle w:val="TableContents"/>
              <w:spacing w:before="0" w:after="0"/>
              <w:ind w:left="0" w:right="0" w:hanging="0"/>
              <w:jc w:val="left"/>
              <w:rPr/>
            </w:pPr>
            <w:r>
              <w:rPr/>
              <w:t> </w:t>
            </w:r>
          </w:p>
        </w:tc>
        <w:tc>
          <w:tcPr>
            <w:tcW w:w="320" w:type="dxa"/>
            <w:tcBorders/>
            <w:shd w:fill="auto" w:val="clear"/>
          </w:tcPr>
          <w:p>
            <w:pPr>
              <w:pStyle w:val="TableContents"/>
              <w:spacing w:before="0" w:after="0"/>
              <w:ind w:left="0" w:right="0" w:hanging="0"/>
              <w:jc w:val="left"/>
              <w:rPr>
                <w:sz w:val="20"/>
              </w:rPr>
            </w:pPr>
            <w:r>
              <w:rPr>
                <w:sz w:val="20"/>
              </w:rPr>
              <w:t>(iii)</w:t>
            </w:r>
          </w:p>
        </w:tc>
        <w:tc>
          <w:tcPr>
            <w:tcW w:w="11090" w:type="dxa"/>
            <w:tcBorders/>
            <w:shd w:fill="auto" w:val="clear"/>
          </w:tcPr>
          <w:p>
            <w:pPr>
              <w:pStyle w:val="TableContents"/>
              <w:spacing w:before="0" w:after="0"/>
              <w:ind w:left="0" w:right="0" w:hanging="0"/>
              <w:jc w:val="left"/>
              <w:rPr>
                <w:sz w:val="20"/>
              </w:rPr>
            </w:pPr>
            <w:r>
              <w:rPr>
                <w:sz w:val="20"/>
              </w:rPr>
              <w:t>to file the documents described in (i) and (ii) above and all exhibits thereto and any and all other documents in connection therewith,</w:t>
            </w:r>
          </w:p>
        </w:tc>
      </w:tr>
    </w:tbl>
    <w:p>
      <w:pPr>
        <w:pStyle w:val="TextBody"/>
        <w:spacing w:before="0" w:after="0"/>
        <w:jc w:val="left"/>
        <w:rPr/>
      </w:pPr>
      <w:r>
        <w:rPr/>
        <w:t> </w:t>
      </w:r>
    </w:p>
    <w:p>
      <w:pPr>
        <w:pStyle w:val="TextBody"/>
        <w:spacing w:before="0" w:after="0"/>
        <w:jc w:val="left"/>
        <w:rPr>
          <w:sz w:val="20"/>
        </w:rPr>
      </w:pPr>
      <w:r>
        <w:rPr>
          <w:sz w:val="20"/>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pStyle w:val="TextBody"/>
        <w:spacing w:before="0" w:after="0"/>
        <w:jc w:val="left"/>
        <w:rPr/>
      </w:pPr>
      <w:r>
        <w:rPr/>
        <w:t> </w:t>
      </w:r>
    </w:p>
    <w:p>
      <w:pPr>
        <w:pStyle w:val="TextBody"/>
        <w:spacing w:before="0" w:after="0"/>
        <w:jc w:val="left"/>
        <w:rPr>
          <w:sz w:val="20"/>
        </w:rPr>
      </w:pPr>
      <w:r>
        <w:rPr>
          <w:sz w:val="20"/>
        </w:rPr>
        <w:t xml:space="preserve">This Power of Attorney may be signed in any number of counterparts, each of which shall be an original, with the same effect as if the signatures thereto and hereto were upon the same instrument. </w:t>
      </w:r>
    </w:p>
    <w:p>
      <w:pPr>
        <w:pStyle w:val="TextBody"/>
        <w:spacing w:before="0" w:after="0"/>
        <w:rPr/>
      </w:pPr>
      <w:r>
        <w:rPr/>
      </w:r>
    </w:p>
    <w:tbl>
      <w:tblPr>
        <w:tblW w:w="5000" w:type="pct"/>
        <w:jc w:val="left"/>
        <w:tblInd w:w="0" w:type="dxa"/>
        <w:tblCellMar>
          <w:top w:w="0" w:type="dxa"/>
          <w:left w:w="0" w:type="dxa"/>
          <w:bottom w:w="28" w:type="dxa"/>
          <w:right w:w="0" w:type="dxa"/>
        </w:tblCellMar>
      </w:tblPr>
      <w:tblGrid>
        <w:gridCol w:w="4695"/>
        <w:gridCol w:w="1019"/>
        <w:gridCol w:w="4491"/>
      </w:tblGrid>
      <w:tr>
        <w:trPr/>
        <w:tc>
          <w:tcPr>
            <w:tcW w:w="4695" w:type="dxa"/>
            <w:tcBorders>
              <w:bottom w:val="single" w:sz="2" w:space="0" w:color="000000"/>
            </w:tcBorders>
            <w:shd w:fill="auto" w:val="clear"/>
            <w:vAlign w:val="center"/>
          </w:tcPr>
          <w:p>
            <w:pPr>
              <w:pStyle w:val="TableContents"/>
              <w:spacing w:before="0" w:after="283"/>
              <w:rPr>
                <w:sz w:val="20"/>
              </w:rPr>
            </w:pPr>
            <w:r>
              <w:rPr>
                <w:sz w:val="20"/>
              </w:rPr>
              <w:t>/s/ Gordon M. Bethune</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Russell E. Palmer</w:t>
            </w:r>
          </w:p>
        </w:tc>
      </w:tr>
      <w:tr>
        <w:trPr/>
        <w:tc>
          <w:tcPr>
            <w:tcW w:w="4695" w:type="dxa"/>
            <w:tcBorders/>
            <w:shd w:fill="auto" w:val="clear"/>
            <w:tcMar>
              <w:bottom w:w="0" w:type="dxa"/>
            </w:tcMar>
            <w:vAlign w:val="center"/>
          </w:tcPr>
          <w:p>
            <w:pPr>
              <w:pStyle w:val="TableContents"/>
              <w:spacing w:before="0" w:after="283"/>
              <w:rPr>
                <w:sz w:val="20"/>
              </w:rPr>
            </w:pPr>
            <w:r>
              <w:rPr>
                <w:sz w:val="20"/>
              </w:rPr>
              <w:t>Gordon M. Bethune,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Russell E. Palmer,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pPr>
            <w:r>
              <w:rPr>
                <w:sz w:val="20"/>
              </w:rPr>
              <w:t>/s/</w:t>
            </w:r>
            <w:r>
              <w:rPr/>
              <w:t xml:space="preserve"> </w:t>
            </w:r>
            <w:r>
              <w:rPr>
                <w:sz w:val="20"/>
              </w:rPr>
              <w:t>Jaime Chico Pardo</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Ivan G. Seidenberg</w:t>
            </w:r>
          </w:p>
        </w:tc>
      </w:tr>
      <w:tr>
        <w:trPr/>
        <w:tc>
          <w:tcPr>
            <w:tcW w:w="4695" w:type="dxa"/>
            <w:tcBorders/>
            <w:shd w:fill="auto" w:val="clear"/>
            <w:tcMar>
              <w:bottom w:w="0" w:type="dxa"/>
            </w:tcMar>
            <w:vAlign w:val="center"/>
          </w:tcPr>
          <w:p>
            <w:pPr>
              <w:pStyle w:val="TableContents"/>
              <w:spacing w:before="0" w:after="283"/>
              <w:rPr>
                <w:sz w:val="20"/>
              </w:rPr>
            </w:pPr>
            <w:r>
              <w:rPr>
                <w:sz w:val="20"/>
              </w:rPr>
              <w:t>Jaime Chico Pardo,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Ivan G. Seidenberg,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D. Scott Davis</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Bradley T. Sheares</w:t>
            </w:r>
          </w:p>
        </w:tc>
      </w:tr>
      <w:tr>
        <w:trPr/>
        <w:tc>
          <w:tcPr>
            <w:tcW w:w="4695" w:type="dxa"/>
            <w:tcBorders/>
            <w:shd w:fill="auto" w:val="clear"/>
            <w:tcMar>
              <w:bottom w:w="0" w:type="dxa"/>
            </w:tcMar>
            <w:vAlign w:val="center"/>
          </w:tcPr>
          <w:p>
            <w:pPr>
              <w:pStyle w:val="TableContents"/>
              <w:spacing w:before="0" w:after="283"/>
              <w:rPr>
                <w:sz w:val="20"/>
              </w:rPr>
            </w:pPr>
            <w:r>
              <w:rPr>
                <w:sz w:val="20"/>
              </w:rPr>
              <w:t>D. Scott Davis,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Bradley T. Sheares,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Linnet F. Deily</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Eric K. Shinseki</w:t>
            </w:r>
          </w:p>
        </w:tc>
      </w:tr>
      <w:tr>
        <w:trPr/>
        <w:tc>
          <w:tcPr>
            <w:tcW w:w="4695" w:type="dxa"/>
            <w:tcBorders/>
            <w:shd w:fill="auto" w:val="clear"/>
            <w:tcMar>
              <w:bottom w:w="0" w:type="dxa"/>
            </w:tcMar>
            <w:vAlign w:val="center"/>
          </w:tcPr>
          <w:p>
            <w:pPr>
              <w:pStyle w:val="TableContents"/>
              <w:spacing w:before="0" w:after="283"/>
              <w:rPr>
                <w:sz w:val="20"/>
              </w:rPr>
            </w:pPr>
            <w:r>
              <w:rPr>
                <w:sz w:val="20"/>
              </w:rPr>
              <w:t>Linnet F. Deily,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Eric K. Shinseki,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Clive R. Hollick</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John R. Stafford</w:t>
            </w:r>
          </w:p>
        </w:tc>
      </w:tr>
      <w:tr>
        <w:trPr/>
        <w:tc>
          <w:tcPr>
            <w:tcW w:w="4695" w:type="dxa"/>
            <w:tcBorders/>
            <w:shd w:fill="auto" w:val="clear"/>
            <w:tcMar>
              <w:bottom w:w="0" w:type="dxa"/>
            </w:tcMar>
            <w:vAlign w:val="center"/>
          </w:tcPr>
          <w:p>
            <w:pPr>
              <w:pStyle w:val="TableContents"/>
              <w:spacing w:before="0" w:after="283"/>
              <w:rPr>
                <w:sz w:val="20"/>
              </w:rPr>
            </w:pPr>
            <w:r>
              <w:rPr>
                <w:sz w:val="20"/>
              </w:rPr>
              <w:t>Clive R. Hollick,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John R. Stafford,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James J. Howard</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Michael W. Wright</w:t>
            </w:r>
          </w:p>
        </w:tc>
      </w:tr>
      <w:tr>
        <w:trPr/>
        <w:tc>
          <w:tcPr>
            <w:tcW w:w="4695" w:type="dxa"/>
            <w:tcBorders/>
            <w:shd w:fill="auto" w:val="clear"/>
            <w:tcMar>
              <w:bottom w:w="0" w:type="dxa"/>
            </w:tcMar>
            <w:vAlign w:val="center"/>
          </w:tcPr>
          <w:p>
            <w:pPr>
              <w:pStyle w:val="TableContents"/>
              <w:spacing w:before="0" w:after="283"/>
              <w:rPr>
                <w:sz w:val="20"/>
              </w:rPr>
            </w:pPr>
            <w:r>
              <w:rPr>
                <w:sz w:val="20"/>
              </w:rPr>
              <w:t>James J. Howard,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Michael W. Wright,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sz w:val="20"/>
        </w:rPr>
      </w:pPr>
      <w:r>
        <w:rPr>
          <w:sz w:val="20"/>
        </w:rPr>
        <w:t>Dated: February 16, 2007</w:t>
      </w:r>
    </w:p>
    <w:p>
      <w:pPr>
        <w:pStyle w:val="TextBody"/>
        <w:spacing w:before="0" w:after="0"/>
        <w:jc w:val="left"/>
        <w:rPr/>
      </w:pPr>
      <w:r>
        <w:rPr/>
        <w:t> </w:t>
      </w:r>
    </w:p>
    <w:p>
      <w:pPr>
        <w:pStyle w:val="HorizontalLine"/>
        <w:pBdr>
          <w:bottom w:val="single" w:sz="12" w:space="0" w:color="808080"/>
        </w:pBdr>
        <w:rPr/>
      </w:pPr>
      <w:r>
        <w:rPr/>
      </w:r>
      <w:r>
        <w:br w:type="page"/>
      </w:r>
    </w:p>
    <w:p>
      <w:pPr>
        <w:pStyle w:val="TextBody"/>
        <w:spacing w:before="0" w:after="0"/>
        <w:jc w:val="center"/>
        <w:rPr/>
      </w:pPr>
      <w:r>
        <w:rPr/>
        <w:t>                </w:t>
      </w:r>
    </w:p>
    <w:p>
      <w:pPr>
        <w:pStyle w:val="TextBody"/>
        <w:spacing w:before="0" w:after="0"/>
        <w:jc w:val="center"/>
        <w:rPr>
          <w:b/>
          <w:sz w:val="20"/>
          <w:u w:val="single"/>
        </w:rPr>
      </w:pPr>
      <w:r>
        <w:rPr>
          <w:b/>
          <w:sz w:val="20"/>
          <w:u w:val="single"/>
        </w:rPr>
        <w:t>POWER OF ATTORNEY</w:t>
      </w:r>
    </w:p>
    <w:p>
      <w:pPr>
        <w:pStyle w:val="TextBody"/>
        <w:spacing w:before="0" w:after="0"/>
        <w:jc w:val="left"/>
        <w:rPr/>
      </w:pPr>
      <w:r>
        <w:rPr/>
        <w:t> </w:t>
      </w:r>
    </w:p>
    <w:p>
      <w:pPr>
        <w:pStyle w:val="TextBody"/>
        <w:spacing w:before="0" w:after="0"/>
        <w:jc w:val="left"/>
        <w:rPr>
          <w:sz w:val="20"/>
        </w:rPr>
      </w:pPr>
      <w:r>
        <w:rPr>
          <w:sz w:val="20"/>
        </w:rPr>
        <w:t>Each of the undersigned, as a director of Honeywell International Inc. (the Company), a Delaware corporation, hereby appoint David M. Cote, Peter M. Kreindler, David J. Anderson,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w:t>
      </w:r>
    </w:p>
    <w:p>
      <w:pPr>
        <w:pStyle w:val="TextBody"/>
        <w:spacing w:before="0" w:after="0"/>
        <w:jc w:val="left"/>
        <w:rPr/>
      </w:pPr>
      <w:r>
        <w:rPr/>
        <w:t> </w:t>
      </w:r>
    </w:p>
    <w:p>
      <w:pPr>
        <w:pStyle w:val="TextBody"/>
        <w:spacing w:before="0" w:after="0"/>
        <w:jc w:val="left"/>
        <w:rPr/>
      </w:pPr>
      <w:r>
        <w:rPr>
          <w:sz w:val="20"/>
        </w:rPr>
        <w:t>(a)</w:t>
      </w:r>
      <w:r>
        <w:rPr/>
        <w:t>    </w:t>
      </w:r>
      <w:r>
        <w:rPr>
          <w:sz w:val="20"/>
        </w:rPr>
        <w:t xml:space="preserve">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and any plan which is a successor to such plans or is a validly authorized plan pursuant to which securities of the Company are issued to employees, and </w:t>
      </w:r>
    </w:p>
    <w:p>
      <w:pPr>
        <w:pStyle w:val="TextBody"/>
        <w:spacing w:before="0" w:after="0"/>
        <w:jc w:val="left"/>
        <w:rPr/>
      </w:pPr>
      <w:r>
        <w:rPr/>
        <w:t> </w:t>
      </w:r>
    </w:p>
    <w:p>
      <w:pPr>
        <w:pStyle w:val="TextBody"/>
        <w:spacing w:before="0" w:after="0"/>
        <w:jc w:val="left"/>
        <w:rPr/>
      </w:pPr>
      <w:r>
        <w:rPr>
          <w:sz w:val="20"/>
        </w:rPr>
        <w:t>(b)</w:t>
      </w:r>
      <w:r>
        <w:rPr/>
        <w:t>    </w:t>
      </w:r>
      <w:r>
        <w:rPr>
          <w:sz w:val="20"/>
        </w:rPr>
        <w:t>on Form S-3 (or other appropriate form) for the registration of shares of the Company's Common Stock to be offered under the Dividend Reinvestment and Share Purchase Plan of the Company and any plan which is a successor to such plan.</w:t>
      </w:r>
    </w:p>
    <w:p>
      <w:pPr>
        <w:pStyle w:val="TextBody"/>
        <w:spacing w:before="0" w:after="0"/>
        <w:jc w:val="left"/>
        <w:rPr/>
      </w:pPr>
      <w:r>
        <w:rPr/>
        <w:t> </w:t>
      </w:r>
    </w:p>
    <w:p>
      <w:pPr>
        <w:pStyle w:val="TextBody"/>
        <w:spacing w:before="0" w:after="0"/>
        <w:jc w:val="left"/>
        <w:rPr>
          <w:sz w:val="20"/>
        </w:rPr>
      </w:pPr>
      <w:r>
        <w:rPr>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spacing w:before="0" w:after="0"/>
        <w:jc w:val="left"/>
        <w:rPr/>
      </w:pPr>
      <w:r>
        <w:rPr/>
        <w:t> </w:t>
      </w:r>
    </w:p>
    <w:p>
      <w:pPr>
        <w:pStyle w:val="TextBody"/>
        <w:spacing w:before="0" w:after="0"/>
        <w:jc w:val="left"/>
        <w:rPr>
          <w:sz w:val="20"/>
        </w:rPr>
      </w:pPr>
      <w:r>
        <w:rPr>
          <w:sz w:val="20"/>
        </w:rPr>
        <w:t>I hereby revoke any or all prior appointments of attorneys-in-fact to sign the above-described documents.</w:t>
      </w:r>
    </w:p>
    <w:p>
      <w:pPr>
        <w:pStyle w:val="TextBody"/>
        <w:spacing w:before="0" w:after="0"/>
        <w:jc w:val="left"/>
        <w:rPr/>
      </w:pPr>
      <w:r>
        <w:rPr/>
        <w:t> </w:t>
      </w:r>
    </w:p>
    <w:p>
      <w:pPr>
        <w:pStyle w:val="TextBody"/>
        <w:rPr/>
      </w:pPr>
      <w:r>
        <w:rPr/>
        <w:t> </w:t>
      </w:r>
    </w:p>
    <w:p>
      <w:pPr>
        <w:pStyle w:val="HorizontalLine"/>
        <w:pBdr>
          <w:bottom w:val="single" w:sz="12" w:space="0" w:color="808080"/>
        </w:pBdr>
        <w:rPr/>
      </w:pPr>
      <w:r>
        <w:rPr/>
      </w:r>
      <w:r>
        <w:br w:type="page"/>
      </w:r>
    </w:p>
    <w:p>
      <w:pPr>
        <w:pStyle w:val="TextBody"/>
        <w:spacing w:before="0" w:after="0"/>
        <w:jc w:val="left"/>
        <w:rPr/>
      </w:pPr>
      <w:r>
        <w:rPr/>
        <w:t>                </w:t>
      </w:r>
      <w:r>
        <w:rPr>
          <w:sz w:val="20"/>
        </w:rPr>
        <w:t xml:space="preserve">This Power of Attorney may be signed in any number of counterparts, each of which shall be an original, with the same effect as if the signatures thereto and hereto were upon the same instrument. </w:t>
      </w:r>
    </w:p>
    <w:p>
      <w:pPr>
        <w:pStyle w:val="TextBody"/>
        <w:spacing w:before="0" w:after="0"/>
        <w:jc w:val="left"/>
        <w:rPr/>
      </w:pPr>
      <w:r>
        <w:rPr/>
        <w:t> </w:t>
      </w:r>
    </w:p>
    <w:tbl>
      <w:tblPr>
        <w:tblW w:w="5000" w:type="pct"/>
        <w:jc w:val="left"/>
        <w:tblInd w:w="0" w:type="dxa"/>
        <w:tblCellMar>
          <w:top w:w="0" w:type="dxa"/>
          <w:left w:w="0" w:type="dxa"/>
          <w:bottom w:w="28" w:type="dxa"/>
          <w:right w:w="0" w:type="dxa"/>
        </w:tblCellMar>
      </w:tblPr>
      <w:tblGrid>
        <w:gridCol w:w="4695"/>
        <w:gridCol w:w="1019"/>
        <w:gridCol w:w="4491"/>
      </w:tblGrid>
      <w:tr>
        <w:trPr/>
        <w:tc>
          <w:tcPr>
            <w:tcW w:w="4695" w:type="dxa"/>
            <w:tcBorders>
              <w:bottom w:val="single" w:sz="2" w:space="0" w:color="000000"/>
            </w:tcBorders>
            <w:shd w:fill="auto" w:val="clear"/>
            <w:vAlign w:val="center"/>
          </w:tcPr>
          <w:p>
            <w:pPr>
              <w:pStyle w:val="TableContents"/>
              <w:spacing w:before="0" w:after="283"/>
              <w:rPr>
                <w:sz w:val="20"/>
              </w:rPr>
            </w:pPr>
            <w:r>
              <w:rPr>
                <w:sz w:val="20"/>
              </w:rPr>
              <w:t>/s/ Gordon M. Bethune</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Russell E. Palmer</w:t>
            </w:r>
          </w:p>
        </w:tc>
      </w:tr>
      <w:tr>
        <w:trPr/>
        <w:tc>
          <w:tcPr>
            <w:tcW w:w="4695" w:type="dxa"/>
            <w:tcBorders/>
            <w:shd w:fill="auto" w:val="clear"/>
            <w:tcMar>
              <w:bottom w:w="0" w:type="dxa"/>
            </w:tcMar>
            <w:vAlign w:val="center"/>
          </w:tcPr>
          <w:p>
            <w:pPr>
              <w:pStyle w:val="TableContents"/>
              <w:spacing w:before="0" w:after="283"/>
              <w:rPr>
                <w:sz w:val="20"/>
              </w:rPr>
            </w:pPr>
            <w:r>
              <w:rPr>
                <w:sz w:val="20"/>
              </w:rPr>
              <w:t>Gordon M. Bethune,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Russell E. Palmer,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Jaime Chico Pardo</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Ivan G. Seidenberg</w:t>
            </w:r>
          </w:p>
        </w:tc>
      </w:tr>
      <w:tr>
        <w:trPr/>
        <w:tc>
          <w:tcPr>
            <w:tcW w:w="4695" w:type="dxa"/>
            <w:tcBorders/>
            <w:shd w:fill="auto" w:val="clear"/>
            <w:tcMar>
              <w:bottom w:w="0" w:type="dxa"/>
            </w:tcMar>
            <w:vAlign w:val="center"/>
          </w:tcPr>
          <w:p>
            <w:pPr>
              <w:pStyle w:val="TableContents"/>
              <w:spacing w:before="0" w:after="283"/>
              <w:rPr>
                <w:sz w:val="20"/>
              </w:rPr>
            </w:pPr>
            <w:r>
              <w:rPr>
                <w:sz w:val="20"/>
              </w:rPr>
              <w:t>Jaime Chico Pardo,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Ivan G. Seidenberg,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D. Scott Davis</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Bradley T. Sheares</w:t>
            </w:r>
          </w:p>
        </w:tc>
      </w:tr>
      <w:tr>
        <w:trPr/>
        <w:tc>
          <w:tcPr>
            <w:tcW w:w="4695" w:type="dxa"/>
            <w:tcBorders/>
            <w:shd w:fill="auto" w:val="clear"/>
            <w:tcMar>
              <w:bottom w:w="0" w:type="dxa"/>
            </w:tcMar>
            <w:vAlign w:val="center"/>
          </w:tcPr>
          <w:p>
            <w:pPr>
              <w:pStyle w:val="TableContents"/>
              <w:spacing w:before="0" w:after="283"/>
              <w:rPr>
                <w:sz w:val="20"/>
              </w:rPr>
            </w:pPr>
            <w:r>
              <w:rPr>
                <w:sz w:val="20"/>
              </w:rPr>
              <w:t>D. Scott Davis,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Bradley T. Sheares,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Linnet F. Deily</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Eric K. Shinseki</w:t>
            </w:r>
          </w:p>
        </w:tc>
      </w:tr>
      <w:tr>
        <w:trPr/>
        <w:tc>
          <w:tcPr>
            <w:tcW w:w="4695" w:type="dxa"/>
            <w:tcBorders/>
            <w:shd w:fill="auto" w:val="clear"/>
            <w:tcMar>
              <w:bottom w:w="0" w:type="dxa"/>
            </w:tcMar>
            <w:vAlign w:val="center"/>
          </w:tcPr>
          <w:p>
            <w:pPr>
              <w:pStyle w:val="TableContents"/>
              <w:spacing w:before="0" w:after="283"/>
              <w:rPr>
                <w:sz w:val="20"/>
              </w:rPr>
            </w:pPr>
            <w:r>
              <w:rPr>
                <w:sz w:val="20"/>
              </w:rPr>
              <w:t>Linnet F. Deily,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Eric K. Shinseki,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Clive R. Hollick</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John R. Stafford</w:t>
            </w:r>
          </w:p>
        </w:tc>
      </w:tr>
      <w:tr>
        <w:trPr/>
        <w:tc>
          <w:tcPr>
            <w:tcW w:w="4695" w:type="dxa"/>
            <w:tcBorders/>
            <w:shd w:fill="auto" w:val="clear"/>
            <w:tcMar>
              <w:bottom w:w="0" w:type="dxa"/>
            </w:tcMar>
            <w:vAlign w:val="center"/>
          </w:tcPr>
          <w:p>
            <w:pPr>
              <w:pStyle w:val="TableContents"/>
              <w:spacing w:before="0" w:after="283"/>
              <w:rPr>
                <w:sz w:val="20"/>
              </w:rPr>
            </w:pPr>
            <w:r>
              <w:rPr>
                <w:sz w:val="20"/>
              </w:rPr>
              <w:t>Clive R. Hollick,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John R. Stafford,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James J. Howard</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Michael W. Wright</w:t>
            </w:r>
          </w:p>
        </w:tc>
      </w:tr>
      <w:tr>
        <w:trPr/>
        <w:tc>
          <w:tcPr>
            <w:tcW w:w="4695" w:type="dxa"/>
            <w:tcBorders/>
            <w:shd w:fill="auto" w:val="clear"/>
            <w:tcMar>
              <w:bottom w:w="0" w:type="dxa"/>
            </w:tcMar>
            <w:vAlign w:val="center"/>
          </w:tcPr>
          <w:p>
            <w:pPr>
              <w:pStyle w:val="TableContents"/>
              <w:spacing w:before="0" w:after="283"/>
              <w:rPr>
                <w:sz w:val="20"/>
              </w:rPr>
            </w:pPr>
            <w:r>
              <w:rPr>
                <w:sz w:val="20"/>
              </w:rPr>
              <w:t>James J. Howard,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Michael W. Wright,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sz w:val="20"/>
        </w:rPr>
      </w:pPr>
      <w:r>
        <w:rPr>
          <w:sz w:val="20"/>
        </w:rPr>
        <w:t>Dated: February 16, 2007</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single" w:sz="12" w:space="0" w:color="808080"/>
        </w:pBdr>
        <w:rPr/>
      </w:pPr>
      <w:r>
        <w:rPr/>
      </w:r>
      <w:r>
        <w:br w:type="page"/>
      </w:r>
    </w:p>
    <w:p>
      <w:pPr>
        <w:pStyle w:val="TextBody"/>
        <w:spacing w:before="0" w:after="0"/>
        <w:jc w:val="center"/>
        <w:rPr>
          <w:b/>
          <w:sz w:val="20"/>
          <w:u w:val="single"/>
        </w:rPr>
      </w:pPr>
      <w:r>
        <w:rPr>
          <w:b/>
          <w:sz w:val="20"/>
          <w:u w:val="single"/>
        </w:rPr>
        <w:t>POWER OF ATTORNEY</w:t>
      </w:r>
    </w:p>
    <w:p>
      <w:pPr>
        <w:pStyle w:val="TextBody"/>
        <w:spacing w:before="0" w:after="0"/>
        <w:jc w:val="left"/>
        <w:rPr/>
      </w:pPr>
      <w:r>
        <w:rPr/>
        <w:t> </w:t>
      </w:r>
    </w:p>
    <w:p>
      <w:pPr>
        <w:pStyle w:val="TextBody"/>
        <w:spacing w:before="0" w:after="0"/>
        <w:jc w:val="left"/>
        <w:rPr>
          <w:sz w:val="20"/>
        </w:rPr>
      </w:pPr>
      <w:r>
        <w:rPr>
          <w:sz w:val="20"/>
        </w:rPr>
        <w:t>Each of the undersigned, as a director of Honeywell International Inc. (the Company), a Delaware corporation, hereby appoint David M. Cote, Peter M. Kreindler, David J. Anderson,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pStyle w:val="TextBody"/>
        <w:spacing w:before="0" w:after="0"/>
        <w:jc w:val="left"/>
        <w:rPr/>
      </w:pPr>
      <w:r>
        <w:rPr/>
        <w:t> </w:t>
      </w:r>
    </w:p>
    <w:p>
      <w:pPr>
        <w:pStyle w:val="TextBody"/>
        <w:spacing w:before="0" w:after="0"/>
        <w:jc w:val="left"/>
        <w:rPr>
          <w:sz w:val="20"/>
        </w:rPr>
      </w:pPr>
      <w:r>
        <w:rPr>
          <w:sz w:val="20"/>
        </w:rPr>
        <w:t>(i) debt securities of the Company, with such terms as may be from time to time specified in such registration statement or any amendment or post-effective amendment;</w:t>
      </w:r>
    </w:p>
    <w:p>
      <w:pPr>
        <w:pStyle w:val="TextBody"/>
        <w:spacing w:before="0" w:after="0"/>
        <w:jc w:val="left"/>
        <w:rPr/>
      </w:pPr>
      <w:r>
        <w:rPr/>
        <w:t> </w:t>
      </w:r>
    </w:p>
    <w:p>
      <w:pPr>
        <w:pStyle w:val="TextBody"/>
        <w:spacing w:before="0" w:after="0"/>
        <w:jc w:val="left"/>
        <w:rPr>
          <w:sz w:val="20"/>
        </w:rPr>
      </w:pPr>
      <w:r>
        <w:rPr>
          <w:sz w:val="20"/>
        </w:rPr>
        <w:t>(ii) shares of the Companys common stock, par value, $1.00 per share;</w:t>
      </w:r>
    </w:p>
    <w:p>
      <w:pPr>
        <w:pStyle w:val="TextBody"/>
        <w:spacing w:before="0" w:after="0"/>
        <w:jc w:val="left"/>
        <w:rPr/>
      </w:pPr>
      <w:r>
        <w:rPr/>
        <w:t> </w:t>
      </w:r>
    </w:p>
    <w:p>
      <w:pPr>
        <w:pStyle w:val="TextBody"/>
        <w:spacing w:before="0" w:after="0"/>
        <w:jc w:val="left"/>
        <w:rPr>
          <w:sz w:val="20"/>
        </w:rPr>
      </w:pPr>
      <w:r>
        <w:rPr>
          <w:sz w:val="20"/>
        </w:rPr>
        <w:t>(iii) shares of the Companys preferred stock, without par value; and</w:t>
      </w:r>
    </w:p>
    <w:p>
      <w:pPr>
        <w:pStyle w:val="TextBody"/>
        <w:spacing w:before="0" w:after="0"/>
        <w:jc w:val="left"/>
        <w:rPr/>
      </w:pPr>
      <w:r>
        <w:rPr/>
        <w:t> </w:t>
      </w:r>
    </w:p>
    <w:p>
      <w:pPr>
        <w:pStyle w:val="TextBody"/>
        <w:spacing w:before="0" w:after="0"/>
        <w:jc w:val="left"/>
        <w:rPr>
          <w:sz w:val="20"/>
        </w:rPr>
      </w:pPr>
      <w:r>
        <w:rPr>
          <w:sz w:val="20"/>
        </w:rPr>
        <w:t>(iv) 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pStyle w:val="TextBody"/>
        <w:spacing w:before="0" w:after="0"/>
        <w:jc w:val="left"/>
        <w:rPr/>
      </w:pPr>
      <w:r>
        <w:rPr/>
        <w:t> </w:t>
      </w:r>
    </w:p>
    <w:p>
      <w:pPr>
        <w:pStyle w:val="TextBody"/>
        <w:spacing w:before="0" w:after="0"/>
        <w:jc w:val="left"/>
        <w:rPr>
          <w:sz w:val="20"/>
        </w:rPr>
      </w:pPr>
      <w:r>
        <w:rPr>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spacing w:before="0" w:after="0"/>
        <w:jc w:val="left"/>
        <w:rPr/>
      </w:pPr>
      <w:r>
        <w:rPr/>
        <w:t> </w:t>
      </w:r>
    </w:p>
    <w:p>
      <w:pPr>
        <w:pStyle w:val="TextBody"/>
        <w:spacing w:before="0" w:after="0"/>
        <w:jc w:val="left"/>
        <w:rPr>
          <w:sz w:val="20"/>
        </w:rPr>
      </w:pPr>
      <w:r>
        <w:rPr>
          <w:sz w:val="20"/>
        </w:rPr>
        <w:t>I hereby revoke any or all prior appointments of attorneys-in-fact to the extent that they confer authority to sign the above-described documents.</w:t>
      </w:r>
    </w:p>
    <w:p>
      <w:pPr>
        <w:pStyle w:val="TextBody"/>
        <w:spacing w:before="0" w:after="0"/>
        <w:jc w:val="left"/>
        <w:rPr/>
      </w:pPr>
      <w:r>
        <w:rPr/>
        <w:t> </w:t>
      </w:r>
    </w:p>
    <w:p>
      <w:pPr>
        <w:pStyle w:val="HorizontalLine"/>
        <w:pBdr>
          <w:bottom w:val="single" w:sz="12" w:space="0" w:color="808080"/>
        </w:pBdr>
        <w:rPr/>
      </w:pPr>
      <w:r>
        <w:rPr/>
      </w:r>
      <w:r>
        <w:br w:type="page"/>
      </w:r>
    </w:p>
    <w:p>
      <w:pPr>
        <w:pStyle w:val="TextBody"/>
        <w:spacing w:before="100" w:after="100"/>
        <w:jc w:val="left"/>
        <w:rPr>
          <w:sz w:val="20"/>
        </w:rPr>
      </w:pPr>
      <w:r>
        <w:rPr>
          <w:sz w:val="20"/>
        </w:rPr>
        <w:t xml:space="preserve">This Power of Attorney may be signed in any number of counterparts, each of which shall be an original, with the same effect as if the signatures thereto and hereto were upon the same instrument. </w:t>
      </w:r>
    </w:p>
    <w:p>
      <w:pPr>
        <w:pStyle w:val="TextBody"/>
        <w:spacing w:before="0" w:after="0"/>
        <w:jc w:val="left"/>
        <w:rPr/>
      </w:pPr>
      <w:r>
        <w:rPr/>
        <w:t> </w:t>
      </w:r>
    </w:p>
    <w:tbl>
      <w:tblPr>
        <w:tblW w:w="5000" w:type="pct"/>
        <w:jc w:val="left"/>
        <w:tblInd w:w="0" w:type="dxa"/>
        <w:tblCellMar>
          <w:top w:w="0" w:type="dxa"/>
          <w:left w:w="0" w:type="dxa"/>
          <w:bottom w:w="28" w:type="dxa"/>
          <w:right w:w="0" w:type="dxa"/>
        </w:tblCellMar>
      </w:tblPr>
      <w:tblGrid>
        <w:gridCol w:w="4695"/>
        <w:gridCol w:w="1019"/>
        <w:gridCol w:w="4491"/>
      </w:tblGrid>
      <w:tr>
        <w:trPr/>
        <w:tc>
          <w:tcPr>
            <w:tcW w:w="4695" w:type="dxa"/>
            <w:tcBorders>
              <w:bottom w:val="single" w:sz="2" w:space="0" w:color="000000"/>
            </w:tcBorders>
            <w:shd w:fill="auto" w:val="clear"/>
            <w:vAlign w:val="center"/>
          </w:tcPr>
          <w:p>
            <w:pPr>
              <w:pStyle w:val="TableContents"/>
              <w:spacing w:before="0" w:after="283"/>
              <w:rPr>
                <w:sz w:val="20"/>
              </w:rPr>
            </w:pPr>
            <w:r>
              <w:rPr>
                <w:sz w:val="20"/>
              </w:rPr>
              <w:t>/s/ Gordon M. Bethune</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Russell E. Palmer</w:t>
            </w:r>
          </w:p>
        </w:tc>
      </w:tr>
      <w:tr>
        <w:trPr/>
        <w:tc>
          <w:tcPr>
            <w:tcW w:w="4695" w:type="dxa"/>
            <w:tcBorders/>
            <w:shd w:fill="auto" w:val="clear"/>
            <w:tcMar>
              <w:bottom w:w="0" w:type="dxa"/>
            </w:tcMar>
            <w:vAlign w:val="center"/>
          </w:tcPr>
          <w:p>
            <w:pPr>
              <w:pStyle w:val="TableContents"/>
              <w:spacing w:before="0" w:after="283"/>
              <w:rPr>
                <w:sz w:val="20"/>
              </w:rPr>
            </w:pPr>
            <w:r>
              <w:rPr>
                <w:sz w:val="20"/>
              </w:rPr>
              <w:t>Gordon M. Bethune,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Russell E. Palmer,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Jaime Chico Pardo</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Ivan G. Seidenberg</w:t>
            </w:r>
          </w:p>
        </w:tc>
      </w:tr>
      <w:tr>
        <w:trPr/>
        <w:tc>
          <w:tcPr>
            <w:tcW w:w="4695" w:type="dxa"/>
            <w:tcBorders/>
            <w:shd w:fill="auto" w:val="clear"/>
            <w:tcMar>
              <w:bottom w:w="0" w:type="dxa"/>
            </w:tcMar>
            <w:vAlign w:val="center"/>
          </w:tcPr>
          <w:p>
            <w:pPr>
              <w:pStyle w:val="TableContents"/>
              <w:spacing w:before="0" w:after="283"/>
              <w:rPr>
                <w:sz w:val="20"/>
              </w:rPr>
            </w:pPr>
            <w:r>
              <w:rPr>
                <w:sz w:val="20"/>
              </w:rPr>
              <w:t>Jaime Chico Pardo,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Ivan G. Seidenberg,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D. Scott Davis</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Bradley T. Sheares</w:t>
            </w:r>
          </w:p>
        </w:tc>
      </w:tr>
      <w:tr>
        <w:trPr/>
        <w:tc>
          <w:tcPr>
            <w:tcW w:w="4695" w:type="dxa"/>
            <w:tcBorders/>
            <w:shd w:fill="auto" w:val="clear"/>
            <w:tcMar>
              <w:bottom w:w="0" w:type="dxa"/>
            </w:tcMar>
            <w:vAlign w:val="center"/>
          </w:tcPr>
          <w:p>
            <w:pPr>
              <w:pStyle w:val="TableContents"/>
              <w:spacing w:before="0" w:after="283"/>
              <w:rPr>
                <w:sz w:val="20"/>
              </w:rPr>
            </w:pPr>
            <w:r>
              <w:rPr>
                <w:sz w:val="20"/>
              </w:rPr>
              <w:t>D. Scott Davis,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Bradley T. Sheares,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Linnet F. Deily</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Eric K. Shinseki</w:t>
            </w:r>
          </w:p>
        </w:tc>
      </w:tr>
      <w:tr>
        <w:trPr/>
        <w:tc>
          <w:tcPr>
            <w:tcW w:w="4695" w:type="dxa"/>
            <w:tcBorders/>
            <w:shd w:fill="auto" w:val="clear"/>
            <w:tcMar>
              <w:bottom w:w="0" w:type="dxa"/>
            </w:tcMar>
            <w:vAlign w:val="center"/>
          </w:tcPr>
          <w:p>
            <w:pPr>
              <w:pStyle w:val="TableContents"/>
              <w:spacing w:before="0" w:after="283"/>
              <w:rPr>
                <w:sz w:val="20"/>
              </w:rPr>
            </w:pPr>
            <w:r>
              <w:rPr>
                <w:sz w:val="20"/>
              </w:rPr>
              <w:t>Linnet F. Deily,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Eric K. Shinseki,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Clive R. Hollick</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John R. Stafford</w:t>
            </w:r>
          </w:p>
        </w:tc>
      </w:tr>
      <w:tr>
        <w:trPr/>
        <w:tc>
          <w:tcPr>
            <w:tcW w:w="4695" w:type="dxa"/>
            <w:tcBorders/>
            <w:shd w:fill="auto" w:val="clear"/>
            <w:tcMar>
              <w:bottom w:w="0" w:type="dxa"/>
            </w:tcMar>
            <w:vAlign w:val="center"/>
          </w:tcPr>
          <w:p>
            <w:pPr>
              <w:pStyle w:val="TableContents"/>
              <w:spacing w:before="0" w:after="283"/>
              <w:rPr>
                <w:sz w:val="20"/>
              </w:rPr>
            </w:pPr>
            <w:r>
              <w:rPr>
                <w:sz w:val="20"/>
              </w:rPr>
              <w:t>Clive R. Hollick,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John R. Stafford,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r>
        <w:trPr/>
        <w:tc>
          <w:tcPr>
            <w:tcW w:w="4695" w:type="dxa"/>
            <w:tcBorders>
              <w:bottom w:val="single" w:sz="2" w:space="0" w:color="000000"/>
            </w:tcBorders>
            <w:shd w:fill="auto" w:val="clear"/>
            <w:vAlign w:val="center"/>
          </w:tcPr>
          <w:p>
            <w:pPr>
              <w:pStyle w:val="TableContents"/>
              <w:spacing w:before="0" w:after="283"/>
              <w:rPr>
                <w:sz w:val="20"/>
              </w:rPr>
            </w:pPr>
            <w:r>
              <w:rPr>
                <w:sz w:val="20"/>
              </w:rPr>
              <w:t>/s/ James J. Howard</w:t>
            </w:r>
          </w:p>
        </w:tc>
        <w:tc>
          <w:tcPr>
            <w:tcW w:w="1019" w:type="dxa"/>
            <w:tcBorders/>
            <w:shd w:fill="auto" w:val="clear"/>
            <w:tcMar>
              <w:bottom w:w="0" w:type="dxa"/>
            </w:tcMar>
            <w:vAlign w:val="center"/>
          </w:tcPr>
          <w:p>
            <w:pPr>
              <w:pStyle w:val="TableContents"/>
              <w:spacing w:before="0" w:after="283"/>
              <w:rPr/>
            </w:pPr>
            <w:r>
              <w:rPr/>
              <w:t> </w:t>
            </w:r>
          </w:p>
        </w:tc>
        <w:tc>
          <w:tcPr>
            <w:tcW w:w="4491" w:type="dxa"/>
            <w:tcBorders>
              <w:bottom w:val="single" w:sz="2" w:space="0" w:color="000000"/>
            </w:tcBorders>
            <w:shd w:fill="auto" w:val="clear"/>
            <w:vAlign w:val="center"/>
          </w:tcPr>
          <w:p>
            <w:pPr>
              <w:pStyle w:val="TableContents"/>
              <w:spacing w:before="0" w:after="283"/>
              <w:rPr>
                <w:sz w:val="20"/>
              </w:rPr>
            </w:pPr>
            <w:r>
              <w:rPr>
                <w:sz w:val="20"/>
              </w:rPr>
              <w:t>/s/ Michael W. Wright</w:t>
            </w:r>
          </w:p>
        </w:tc>
      </w:tr>
      <w:tr>
        <w:trPr/>
        <w:tc>
          <w:tcPr>
            <w:tcW w:w="4695" w:type="dxa"/>
            <w:tcBorders/>
            <w:shd w:fill="auto" w:val="clear"/>
            <w:tcMar>
              <w:bottom w:w="0" w:type="dxa"/>
            </w:tcMar>
            <w:vAlign w:val="center"/>
          </w:tcPr>
          <w:p>
            <w:pPr>
              <w:pStyle w:val="TableContents"/>
              <w:spacing w:before="0" w:after="283"/>
              <w:rPr>
                <w:sz w:val="20"/>
              </w:rPr>
            </w:pPr>
            <w:r>
              <w:rPr>
                <w:sz w:val="20"/>
              </w:rPr>
              <w:t>James J. Howard, Director</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sz w:val="20"/>
              </w:rPr>
            </w:pPr>
            <w:r>
              <w:rPr>
                <w:sz w:val="20"/>
              </w:rPr>
              <w:t>Michael W. Wright, Director</w:t>
            </w:r>
          </w:p>
        </w:tc>
      </w:tr>
      <w:tr>
        <w:trPr/>
        <w:tc>
          <w:tcPr>
            <w:tcW w:w="4695" w:type="dxa"/>
            <w:tcBorders/>
            <w:shd w:fill="auto" w:val="clear"/>
            <w:tcMar>
              <w:bottom w:w="0" w:type="dxa"/>
            </w:tcMar>
            <w:vAlign w:val="center"/>
          </w:tcPr>
          <w:p>
            <w:pPr>
              <w:pStyle w:val="TableContents"/>
              <w:spacing w:before="0" w:after="283"/>
              <w:rPr/>
            </w:pPr>
            <w:r>
              <w:rPr/>
              <w:t> </w:t>
            </w:r>
          </w:p>
        </w:tc>
        <w:tc>
          <w:tcPr>
            <w:tcW w:w="1019" w:type="dxa"/>
            <w:tcBorders/>
            <w:shd w:fill="auto" w:val="clear"/>
            <w:tcMar>
              <w:bottom w:w="0" w:type="dxa"/>
            </w:tcMar>
            <w:vAlign w:val="center"/>
          </w:tcPr>
          <w:p>
            <w:pPr>
              <w:pStyle w:val="TableContents"/>
              <w:spacing w:before="0" w:after="283"/>
              <w:rPr/>
            </w:pPr>
            <w:r>
              <w:rPr/>
              <w:t> </w:t>
            </w:r>
          </w:p>
        </w:tc>
        <w:tc>
          <w:tcPr>
            <w:tcW w:w="4491" w:type="dxa"/>
            <w:tcBorders/>
            <w:shd w:fill="auto" w:val="clear"/>
            <w:tcMar>
              <w:bottom w:w="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sz w:val="20"/>
        </w:rPr>
      </w:pPr>
      <w:r>
        <w:rPr>
          <w:sz w:val="20"/>
        </w:rPr>
        <w:t>Dated: February 16, 2007</w:t>
      </w:r>
    </w:p>
    <w:p>
      <w:pPr>
        <w:pStyle w:val="TextBody"/>
        <w:spacing w:before="10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single" w:sz="12" w:space="0" w:color="808080"/>
        </w:pBdr>
        <w:rPr/>
      </w:pPr>
      <w:r>
        <w:rPr/>
      </w:r>
      <w:r>
        <w:br w:type="page"/>
      </w:r>
    </w:p>
    <w:p>
      <w:pPr>
        <w:pStyle w:val="TextBody"/>
        <w:spacing w:before="0" w:after="0"/>
        <w:jc w:val="center"/>
        <w:rPr>
          <w:b/>
          <w:sz w:val="20"/>
          <w:u w:val="single"/>
        </w:rPr>
      </w:pPr>
      <w:r>
        <w:rPr>
          <w:b/>
          <w:sz w:val="20"/>
          <w:u w:val="single"/>
        </w:rPr>
        <w:t>POWER OF ATTORNEY</w:t>
      </w:r>
    </w:p>
    <w:p>
      <w:pPr>
        <w:pStyle w:val="TextBody"/>
        <w:spacing w:before="0" w:after="0"/>
        <w:jc w:val="left"/>
        <w:rPr/>
      </w:pPr>
      <w:r>
        <w:rPr/>
        <w:t> </w:t>
      </w:r>
    </w:p>
    <w:p>
      <w:pPr>
        <w:pStyle w:val="TextBody"/>
        <w:spacing w:before="0" w:after="0"/>
        <w:jc w:val="left"/>
        <w:rPr>
          <w:sz w:val="20"/>
        </w:rPr>
      </w:pPr>
      <w:r>
        <w:rPr>
          <w:sz w:val="20"/>
        </w:rPr>
        <w:t>I, David M. Cote, a director of Honeywell International Inc. (the Company), a Delaware corporation, hereby appoint David J. Anderson, Peter M. Kreindler,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pStyle w:val="TextBody"/>
        <w:spacing w:before="0" w:after="0"/>
        <w:jc w:val="left"/>
        <w:rPr/>
      </w:pPr>
      <w:r>
        <w:rPr/>
        <w:t> </w:t>
      </w:r>
    </w:p>
    <w:p>
      <w:pPr>
        <w:pStyle w:val="TextBody"/>
        <w:spacing w:before="0" w:after="0"/>
        <w:jc w:val="left"/>
        <w:rPr>
          <w:sz w:val="20"/>
        </w:rPr>
      </w:pPr>
      <w:r>
        <w:rPr>
          <w:sz w:val="20"/>
        </w:rPr>
        <w:t>(i) debt securities of the Company, with such terms as may be from time to time specified in such registration statement or any amendment or post-effective amendment;</w:t>
      </w:r>
    </w:p>
    <w:p>
      <w:pPr>
        <w:pStyle w:val="TextBody"/>
        <w:spacing w:before="0" w:after="0"/>
        <w:jc w:val="left"/>
        <w:rPr/>
      </w:pPr>
      <w:r>
        <w:rPr/>
        <w:t> </w:t>
      </w:r>
    </w:p>
    <w:p>
      <w:pPr>
        <w:pStyle w:val="TextBody"/>
        <w:spacing w:before="0" w:after="0"/>
        <w:jc w:val="left"/>
        <w:rPr>
          <w:sz w:val="20"/>
        </w:rPr>
      </w:pPr>
      <w:r>
        <w:rPr>
          <w:sz w:val="20"/>
        </w:rPr>
        <w:t>(ii) shares of the Companys common stock, par value, $1.00 per share;</w:t>
      </w:r>
    </w:p>
    <w:p>
      <w:pPr>
        <w:pStyle w:val="TextBody"/>
        <w:spacing w:before="0" w:after="0"/>
        <w:jc w:val="left"/>
        <w:rPr/>
      </w:pPr>
      <w:r>
        <w:rPr/>
        <w:t> </w:t>
      </w:r>
    </w:p>
    <w:p>
      <w:pPr>
        <w:pStyle w:val="TextBody"/>
        <w:spacing w:before="0" w:after="0"/>
        <w:jc w:val="left"/>
        <w:rPr>
          <w:sz w:val="20"/>
        </w:rPr>
      </w:pPr>
      <w:r>
        <w:rPr>
          <w:sz w:val="20"/>
        </w:rPr>
        <w:t>(iii) shares of the Companys preferred stock, without par value; and</w:t>
      </w:r>
    </w:p>
    <w:p>
      <w:pPr>
        <w:pStyle w:val="TextBody"/>
        <w:spacing w:before="0" w:after="0"/>
        <w:jc w:val="left"/>
        <w:rPr/>
      </w:pPr>
      <w:r>
        <w:rPr/>
        <w:t> </w:t>
      </w:r>
    </w:p>
    <w:p>
      <w:pPr>
        <w:pStyle w:val="TextBody"/>
        <w:spacing w:before="0" w:after="0"/>
        <w:jc w:val="left"/>
        <w:rPr>
          <w:sz w:val="20"/>
        </w:rPr>
      </w:pPr>
      <w:r>
        <w:rPr>
          <w:sz w:val="20"/>
        </w:rPr>
        <w:t>(iv) 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pStyle w:val="TextBody"/>
        <w:spacing w:before="0" w:after="0"/>
        <w:jc w:val="left"/>
        <w:rPr/>
      </w:pPr>
      <w:r>
        <w:rPr/>
        <w:t> </w:t>
      </w:r>
    </w:p>
    <w:p>
      <w:pPr>
        <w:pStyle w:val="TextBody"/>
        <w:spacing w:before="0" w:after="0"/>
        <w:jc w:val="left"/>
        <w:rPr>
          <w:sz w:val="20"/>
        </w:rPr>
      </w:pPr>
      <w:r>
        <w:rPr>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spacing w:before="0" w:after="0"/>
        <w:jc w:val="left"/>
        <w:rPr/>
      </w:pPr>
      <w:r>
        <w:rPr/>
        <w:t> </w:t>
      </w:r>
    </w:p>
    <w:p>
      <w:pPr>
        <w:pStyle w:val="TextBody"/>
        <w:spacing w:before="0" w:after="0"/>
        <w:jc w:val="left"/>
        <w:rPr>
          <w:sz w:val="20"/>
        </w:rPr>
      </w:pPr>
      <w:r>
        <w:rPr>
          <w:sz w:val="20"/>
        </w:rPr>
        <w:t>I hereby revoke any or all prior appointments of attorneys-in-fact to the extent that they confer authority to sign the above-described documents.</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93"/>
        <w:gridCol w:w="1017"/>
        <w:gridCol w:w="4495"/>
      </w:tblGrid>
      <w:tr>
        <w:trPr/>
        <w:tc>
          <w:tcPr>
            <w:tcW w:w="4693"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4495" w:type="dxa"/>
            <w:tcBorders>
              <w:bottom w:val="single" w:sz="2" w:space="0" w:color="000000"/>
            </w:tcBorders>
            <w:shd w:fill="auto" w:val="clear"/>
            <w:tcMar>
              <w:bottom w:w="28" w:type="dxa"/>
            </w:tcMar>
            <w:vAlign w:val="center"/>
          </w:tcPr>
          <w:p>
            <w:pPr>
              <w:pStyle w:val="TableContents"/>
              <w:spacing w:before="0" w:after="283"/>
              <w:rPr>
                <w:sz w:val="20"/>
              </w:rPr>
            </w:pPr>
            <w:r>
              <w:rPr>
                <w:sz w:val="20"/>
              </w:rPr>
              <w:t>/s/ David M. Cote</w:t>
            </w:r>
          </w:p>
        </w:tc>
      </w:tr>
      <w:tr>
        <w:trPr/>
        <w:tc>
          <w:tcPr>
            <w:tcW w:w="4693"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4495" w:type="dxa"/>
            <w:tcBorders/>
            <w:shd w:fill="auto" w:val="clear"/>
            <w:vAlign w:val="center"/>
          </w:tcPr>
          <w:p>
            <w:pPr>
              <w:pStyle w:val="TableContents"/>
              <w:spacing w:before="0" w:after="283"/>
              <w:rPr>
                <w:sz w:val="20"/>
              </w:rPr>
            </w:pPr>
            <w:r>
              <w:rPr>
                <w:sz w:val="20"/>
              </w:rPr>
              <w:t>David M. Cote</w:t>
            </w:r>
          </w:p>
        </w:tc>
      </w:tr>
    </w:tbl>
    <w:p>
      <w:pPr>
        <w:pStyle w:val="TextBody"/>
        <w:spacing w:before="100" w:after="0"/>
        <w:jc w:val="left"/>
        <w:rPr/>
      </w:pPr>
      <w:r>
        <w:rPr/>
        <w:t> </w:t>
      </w:r>
    </w:p>
    <w:p>
      <w:pPr>
        <w:pStyle w:val="TextBody"/>
        <w:spacing w:before="0" w:after="0"/>
        <w:jc w:val="left"/>
        <w:rPr>
          <w:sz w:val="20"/>
        </w:rPr>
      </w:pPr>
      <w:r>
        <w:rPr>
          <w:sz w:val="20"/>
        </w:rPr>
        <w:t>Dated: February 16, 2007</w:t>
      </w:r>
    </w:p>
    <w:p>
      <w:pPr>
        <w:pStyle w:val="TextBody"/>
        <w:spacing w:before="0" w:after="0"/>
        <w:jc w:val="left"/>
        <w:rPr/>
      </w:pPr>
      <w:r>
        <w:rPr/>
        <w:t> </w:t>
      </w:r>
    </w:p>
    <w:p>
      <w:pPr>
        <w:pStyle w:val="HorizontalLine"/>
        <w:pBdr>
          <w:bottom w:val="single" w:sz="12" w:space="0" w:color="808080"/>
        </w:pBdr>
        <w:rPr/>
      </w:pPr>
      <w:r>
        <w:rPr/>
      </w:r>
      <w:r>
        <w:br w:type="page"/>
      </w:r>
    </w:p>
    <w:p>
      <w:pPr>
        <w:pStyle w:val="TextBody"/>
        <w:spacing w:before="0" w:after="0"/>
        <w:jc w:val="center"/>
        <w:rPr>
          <w:b/>
          <w:sz w:val="20"/>
          <w:u w:val="single"/>
        </w:rPr>
      </w:pPr>
      <w:r>
        <w:rPr>
          <w:b/>
          <w:sz w:val="20"/>
          <w:u w:val="single"/>
        </w:rPr>
        <w:t>POWER OF ATTORNEY</w:t>
      </w:r>
    </w:p>
    <w:p>
      <w:pPr>
        <w:pStyle w:val="TextBody"/>
        <w:spacing w:before="0" w:after="0"/>
        <w:jc w:val="left"/>
        <w:rPr/>
      </w:pPr>
      <w:r>
        <w:rPr/>
        <w:t> </w:t>
      </w:r>
    </w:p>
    <w:p>
      <w:pPr>
        <w:pStyle w:val="TextBody"/>
        <w:spacing w:before="0" w:after="0"/>
        <w:jc w:val="left"/>
        <w:rPr>
          <w:sz w:val="20"/>
        </w:rPr>
      </w:pPr>
      <w:r>
        <w:rPr>
          <w:sz w:val="20"/>
        </w:rPr>
        <w:t>I, David M. Cote, a director of Honeywell International Inc. (the Company), a Delaware corporation, hereby appoint David J. Anderson, Peter M. Kreindler, Thomas F. Larkins and John J. Tus, each with power to act without the other and with power of substitution and resubstitution, as my attorney-in-fact and agent for me and in my name, place and stead in any and all capacities,</w:t>
      </w:r>
    </w:p>
    <w:p>
      <w:pPr>
        <w:pStyle w:val="TextBody"/>
        <w:spacing w:before="0" w:after="0"/>
        <w:jc w:val="left"/>
        <w:rPr/>
      </w:pPr>
      <w:r>
        <w:rPr/>
        <w:t> </w:t>
      </w:r>
    </w:p>
    <w:tbl>
      <w:tblPr>
        <w:tblW w:w="11290" w:type="dxa"/>
        <w:jc w:val="left"/>
        <w:tblInd w:w="0" w:type="dxa"/>
        <w:tblCellMar>
          <w:top w:w="0" w:type="dxa"/>
          <w:left w:w="0" w:type="dxa"/>
          <w:bottom w:w="0" w:type="dxa"/>
          <w:right w:w="0" w:type="dxa"/>
        </w:tblCellMar>
      </w:tblPr>
      <w:tblGrid>
        <w:gridCol w:w="60"/>
        <w:gridCol w:w="200"/>
        <w:gridCol w:w="11030"/>
      </w:tblGrid>
      <w:tr>
        <w:trPr/>
        <w:tc>
          <w:tcPr>
            <w:tcW w:w="60" w:type="dxa"/>
            <w:tcBorders/>
            <w:shd w:fill="auto" w:val="clear"/>
          </w:tcPr>
          <w:p>
            <w:pPr>
              <w:pStyle w:val="TableContents"/>
              <w:spacing w:before="0" w:after="0"/>
              <w:ind w:left="0" w:right="0" w:hanging="0"/>
              <w:jc w:val="left"/>
              <w:rPr/>
            </w:pPr>
            <w:r>
              <w:rPr/>
              <w:t> </w:t>
            </w:r>
          </w:p>
        </w:tc>
        <w:tc>
          <w:tcPr>
            <w:tcW w:w="200" w:type="dxa"/>
            <w:tcBorders/>
            <w:shd w:fill="auto" w:val="clear"/>
          </w:tcPr>
          <w:p>
            <w:pPr>
              <w:pStyle w:val="TableContents"/>
              <w:spacing w:before="0" w:after="0"/>
              <w:ind w:left="0" w:right="0" w:hanging="0"/>
              <w:jc w:val="left"/>
              <w:rPr>
                <w:sz w:val="20"/>
              </w:rPr>
            </w:pPr>
            <w:r>
              <w:rPr>
                <w:sz w:val="20"/>
              </w:rPr>
              <w:t>(i)</w:t>
            </w:r>
          </w:p>
        </w:tc>
        <w:tc>
          <w:tcPr>
            <w:tcW w:w="11030" w:type="dxa"/>
            <w:tcBorders/>
            <w:shd w:fill="auto" w:val="clear"/>
          </w:tcPr>
          <w:p>
            <w:pPr>
              <w:pStyle w:val="TableContents"/>
              <w:spacing w:before="0" w:after="0"/>
              <w:ind w:left="0" w:right="0" w:hanging="0"/>
              <w:jc w:val="left"/>
              <w:rPr>
                <w:sz w:val="20"/>
              </w:rPr>
            </w:pPr>
            <w:r>
              <w:rPr>
                <w:sz w:val="20"/>
              </w:rPr>
              <w:t>to sign the Companys Annual Report on Form 10-K under the Securities Exchange Act of 1934 for the year ended December 31, 2006,</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815"/>
        <w:gridCol w:w="407"/>
        <w:gridCol w:w="8983"/>
      </w:tblGrid>
      <w:tr>
        <w:trPr/>
        <w:tc>
          <w:tcPr>
            <w:tcW w:w="815" w:type="dxa"/>
            <w:tcBorders/>
            <w:shd w:fill="auto" w:val="clear"/>
          </w:tcPr>
          <w:p>
            <w:pPr>
              <w:pStyle w:val="TableContents"/>
              <w:spacing w:before="0" w:after="0"/>
              <w:ind w:left="0" w:right="0" w:hanging="0"/>
              <w:jc w:val="left"/>
              <w:rPr/>
            </w:pPr>
            <w:r>
              <w:rPr/>
              <w:t> </w:t>
            </w:r>
          </w:p>
        </w:tc>
        <w:tc>
          <w:tcPr>
            <w:tcW w:w="407" w:type="dxa"/>
            <w:tcBorders/>
            <w:shd w:fill="auto" w:val="clear"/>
          </w:tcPr>
          <w:p>
            <w:pPr>
              <w:pStyle w:val="TableContents"/>
              <w:spacing w:before="0" w:after="0"/>
              <w:ind w:left="0" w:right="0" w:hanging="0"/>
              <w:jc w:val="left"/>
              <w:rPr>
                <w:sz w:val="20"/>
              </w:rPr>
            </w:pPr>
            <w:r>
              <w:rPr>
                <w:sz w:val="20"/>
              </w:rPr>
              <w:t>(ii)</w:t>
            </w:r>
          </w:p>
        </w:tc>
        <w:tc>
          <w:tcPr>
            <w:tcW w:w="8983" w:type="dxa"/>
            <w:tcBorders/>
            <w:shd w:fill="auto" w:val="clear"/>
          </w:tcPr>
          <w:p>
            <w:pPr>
              <w:pStyle w:val="TableContents"/>
              <w:spacing w:before="0" w:after="0"/>
              <w:ind w:left="0" w:right="0" w:hanging="0"/>
              <w:jc w:val="left"/>
              <w:rPr>
                <w:sz w:val="20"/>
              </w:rPr>
            </w:pPr>
            <w:r>
              <w:rPr>
                <w:sz w:val="20"/>
              </w:rPr>
              <w:t>to sign any amendment to the Annual Report referred to in (i) above, and</w:t>
            </w:r>
          </w:p>
        </w:tc>
      </w:tr>
    </w:tbl>
    <w:p>
      <w:pPr>
        <w:pStyle w:val="TextBody"/>
        <w:spacing w:before="0" w:after="0"/>
        <w:rPr/>
      </w:pPr>
      <w:r>
        <w:rPr/>
      </w:r>
    </w:p>
    <w:tbl>
      <w:tblPr>
        <w:tblW w:w="11230" w:type="dxa"/>
        <w:jc w:val="left"/>
        <w:tblInd w:w="0" w:type="dxa"/>
        <w:tblCellMar>
          <w:top w:w="0" w:type="dxa"/>
          <w:left w:w="0" w:type="dxa"/>
          <w:bottom w:w="0" w:type="dxa"/>
          <w:right w:w="0" w:type="dxa"/>
        </w:tblCellMar>
      </w:tblPr>
      <w:tblGrid>
        <w:gridCol w:w="60"/>
        <w:gridCol w:w="380"/>
        <w:gridCol w:w="10790"/>
      </w:tblGrid>
      <w:tr>
        <w:trPr/>
        <w:tc>
          <w:tcPr>
            <w:tcW w:w="60" w:type="dxa"/>
            <w:tcBorders/>
            <w:shd w:fill="auto" w:val="clear"/>
          </w:tcPr>
          <w:p>
            <w:pPr>
              <w:pStyle w:val="TableContents"/>
              <w:spacing w:before="0" w:after="0"/>
              <w:ind w:left="0" w:right="0" w:hanging="0"/>
              <w:jc w:val="left"/>
              <w:rPr/>
            </w:pPr>
            <w:r>
              <w:rPr/>
              <w:t> </w:t>
            </w:r>
          </w:p>
        </w:tc>
        <w:tc>
          <w:tcPr>
            <w:tcW w:w="380" w:type="dxa"/>
            <w:tcBorders/>
            <w:shd w:fill="auto" w:val="clear"/>
          </w:tcPr>
          <w:p>
            <w:pPr>
              <w:pStyle w:val="TableContents"/>
              <w:spacing w:before="0" w:after="0"/>
              <w:ind w:left="0" w:right="0" w:hanging="0"/>
              <w:jc w:val="left"/>
              <w:rPr/>
            </w:pPr>
            <w:r>
              <w:rPr>
                <w:sz w:val="20"/>
              </w:rPr>
              <w:t>(iii)</w:t>
            </w:r>
            <w:r>
              <w:rPr/>
              <w:t> </w:t>
            </w:r>
          </w:p>
        </w:tc>
        <w:tc>
          <w:tcPr>
            <w:tcW w:w="10790" w:type="dxa"/>
            <w:tcBorders/>
            <w:shd w:fill="auto" w:val="clear"/>
          </w:tcPr>
          <w:p>
            <w:pPr>
              <w:pStyle w:val="TableContents"/>
              <w:spacing w:before="0" w:after="0"/>
              <w:ind w:left="0" w:right="0" w:hanging="0"/>
              <w:jc w:val="left"/>
              <w:rPr>
                <w:sz w:val="20"/>
              </w:rPr>
            </w:pPr>
            <w:r>
              <w:rPr>
                <w:sz w:val="20"/>
              </w:rPr>
              <w:t>to file the documents described in (i) and (ii) above and all exhibits thereto and any and all other documents in connection therewith,</w:t>
            </w:r>
          </w:p>
        </w:tc>
      </w:tr>
    </w:tbl>
    <w:p>
      <w:pPr>
        <w:pStyle w:val="TextBody"/>
        <w:spacing w:before="0" w:after="0"/>
        <w:jc w:val="left"/>
        <w:rPr/>
      </w:pPr>
      <w:r>
        <w:rPr/>
        <w:t> </w:t>
      </w:r>
    </w:p>
    <w:p>
      <w:pPr>
        <w:pStyle w:val="TextBody"/>
        <w:spacing w:before="0" w:after="0"/>
        <w:jc w:val="left"/>
        <w:rPr>
          <w:sz w:val="20"/>
        </w:rPr>
      </w:pPr>
      <w:r>
        <w:rPr>
          <w:sz w:val="20"/>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93"/>
        <w:gridCol w:w="1017"/>
        <w:gridCol w:w="4495"/>
      </w:tblGrid>
      <w:tr>
        <w:trPr/>
        <w:tc>
          <w:tcPr>
            <w:tcW w:w="4693"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4495" w:type="dxa"/>
            <w:tcBorders>
              <w:bottom w:val="single" w:sz="2" w:space="0" w:color="000000"/>
            </w:tcBorders>
            <w:shd w:fill="auto" w:val="clear"/>
            <w:tcMar>
              <w:bottom w:w="28" w:type="dxa"/>
            </w:tcMar>
            <w:vAlign w:val="center"/>
          </w:tcPr>
          <w:p>
            <w:pPr>
              <w:pStyle w:val="TableContents"/>
              <w:spacing w:before="0" w:after="283"/>
              <w:rPr>
                <w:sz w:val="20"/>
              </w:rPr>
            </w:pPr>
            <w:r>
              <w:rPr>
                <w:sz w:val="20"/>
              </w:rPr>
              <w:t>/s/ David M. Cote</w:t>
            </w:r>
          </w:p>
        </w:tc>
      </w:tr>
      <w:tr>
        <w:trPr/>
        <w:tc>
          <w:tcPr>
            <w:tcW w:w="4693"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4495" w:type="dxa"/>
            <w:tcBorders/>
            <w:shd w:fill="auto" w:val="clear"/>
            <w:vAlign w:val="center"/>
          </w:tcPr>
          <w:p>
            <w:pPr>
              <w:pStyle w:val="TableContents"/>
              <w:spacing w:before="0" w:after="283"/>
              <w:rPr>
                <w:sz w:val="20"/>
              </w:rPr>
            </w:pPr>
            <w:r>
              <w:rPr>
                <w:sz w:val="20"/>
              </w:rPr>
              <w:t>David M. Cote</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sz w:val="20"/>
        </w:rPr>
      </w:pPr>
      <w:r>
        <w:rPr>
          <w:sz w:val="20"/>
        </w:rPr>
        <w:t>February 16, 2007</w:t>
      </w:r>
    </w:p>
    <w:p>
      <w:pPr>
        <w:pStyle w:val="TextBody"/>
        <w:spacing w:before="0" w:after="0"/>
        <w:jc w:val="left"/>
        <w:rPr/>
      </w:pPr>
      <w:r>
        <w:rPr/>
        <w:t> </w:t>
      </w:r>
    </w:p>
    <w:p>
      <w:pPr>
        <w:pStyle w:val="TextBody"/>
        <w:spacing w:before="0" w:after="0"/>
        <w:jc w:val="left"/>
        <w:rPr/>
      </w:pPr>
      <w:r>
        <w:rPr/>
        <w:t> </w:t>
      </w:r>
    </w:p>
    <w:p>
      <w:pPr>
        <w:pStyle w:val="HorizontalLine"/>
        <w:pBdr>
          <w:bottom w:val="single" w:sz="12" w:space="0" w:color="808080"/>
        </w:pBdr>
        <w:rPr/>
      </w:pPr>
      <w:r>
        <w:rPr/>
      </w:r>
      <w:r>
        <w:br w:type="page"/>
      </w:r>
    </w:p>
    <w:p>
      <w:pPr>
        <w:pStyle w:val="TextBody"/>
        <w:spacing w:before="0" w:after="0"/>
        <w:jc w:val="center"/>
        <w:rPr/>
      </w:pPr>
      <w:r>
        <w:rPr/>
        <w:t>            </w:t>
      </w:r>
    </w:p>
    <w:p>
      <w:pPr>
        <w:pStyle w:val="TextBody"/>
        <w:spacing w:before="0" w:after="0"/>
        <w:jc w:val="center"/>
        <w:rPr>
          <w:b/>
          <w:sz w:val="20"/>
          <w:u w:val="single"/>
        </w:rPr>
      </w:pPr>
      <w:r>
        <w:rPr>
          <w:b/>
          <w:sz w:val="20"/>
          <w:u w:val="single"/>
        </w:rPr>
        <w:t>POWER OF ATTORNEY</w:t>
      </w:r>
    </w:p>
    <w:p>
      <w:pPr>
        <w:pStyle w:val="TextBody"/>
        <w:spacing w:before="0" w:after="0"/>
        <w:jc w:val="left"/>
        <w:rPr/>
      </w:pPr>
      <w:r>
        <w:rPr/>
        <w:t> </w:t>
      </w:r>
    </w:p>
    <w:p>
      <w:pPr>
        <w:pStyle w:val="TextBody"/>
        <w:spacing w:before="0" w:after="0"/>
        <w:jc w:val="left"/>
        <w:rPr>
          <w:sz w:val="20"/>
        </w:rPr>
      </w:pPr>
      <w:r>
        <w:rPr>
          <w:sz w:val="20"/>
        </w:rPr>
        <w:t>I, David M. Cote, a director of Honeywell International Inc. (the Company), a Delaware corporation, hereby appoint David J. Anderson, Peter M. Kreindler,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w:t>
      </w:r>
    </w:p>
    <w:p>
      <w:pPr>
        <w:pStyle w:val="TextBody"/>
        <w:spacing w:before="0" w:after="0"/>
        <w:jc w:val="left"/>
        <w:rPr/>
      </w:pPr>
      <w:r>
        <w:rPr/>
        <w:t> </w:t>
      </w:r>
    </w:p>
    <w:p>
      <w:pPr>
        <w:pStyle w:val="TextBody"/>
        <w:spacing w:before="0" w:after="0"/>
        <w:jc w:val="left"/>
        <w:rPr/>
      </w:pPr>
      <w:r>
        <w:rPr>
          <w:sz w:val="20"/>
        </w:rPr>
        <w:t>(a)</w:t>
      </w:r>
      <w:r>
        <w:rPr/>
        <w:t>    </w:t>
      </w:r>
      <w:r>
        <w:rPr>
          <w:sz w:val="20"/>
        </w:rPr>
        <w:t>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and any plan which is a successor to such plans or is a validly authorized plan pursuant to which securities of the Company are issued to employees, and</w:t>
      </w:r>
    </w:p>
    <w:p>
      <w:pPr>
        <w:pStyle w:val="TextBody"/>
        <w:spacing w:before="0" w:after="0"/>
        <w:jc w:val="left"/>
        <w:rPr/>
      </w:pPr>
      <w:r>
        <w:rPr/>
        <w:t> </w:t>
      </w:r>
    </w:p>
    <w:p>
      <w:pPr>
        <w:pStyle w:val="TextBody"/>
        <w:spacing w:before="0" w:after="0"/>
        <w:jc w:val="left"/>
        <w:rPr/>
      </w:pPr>
      <w:r>
        <w:rPr>
          <w:sz w:val="20"/>
        </w:rPr>
        <w:t>(b)</w:t>
      </w:r>
      <w:r>
        <w:rPr/>
        <w:t>    </w:t>
      </w:r>
      <w:r>
        <w:rPr>
          <w:sz w:val="20"/>
        </w:rPr>
        <w:t>on Form S-3 (or other appropriate form) for the registration of shares of the Company's Common Stock to be offered under the Dividend Reinvestment and Share Purchase Plan of the Company and any plan which is a successor to such plan.</w:t>
      </w:r>
    </w:p>
    <w:p>
      <w:pPr>
        <w:pStyle w:val="TextBody"/>
        <w:spacing w:before="0" w:after="0"/>
        <w:jc w:val="left"/>
        <w:rPr/>
      </w:pPr>
      <w:r>
        <w:rPr/>
        <w:t> </w:t>
      </w:r>
    </w:p>
    <w:p>
      <w:pPr>
        <w:pStyle w:val="TextBody"/>
        <w:spacing w:before="0" w:after="0"/>
        <w:jc w:val="left"/>
        <w:rPr>
          <w:sz w:val="20"/>
        </w:rPr>
      </w:pPr>
      <w:r>
        <w:rPr>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spacing w:before="0" w:after="0"/>
        <w:jc w:val="left"/>
        <w:rPr/>
      </w:pPr>
      <w:r>
        <w:rPr/>
        <w:t> </w:t>
      </w:r>
    </w:p>
    <w:p>
      <w:pPr>
        <w:pStyle w:val="TextBody"/>
        <w:spacing w:before="0" w:after="0"/>
        <w:jc w:val="left"/>
        <w:rPr>
          <w:sz w:val="20"/>
        </w:rPr>
      </w:pPr>
      <w:r>
        <w:rPr>
          <w:sz w:val="20"/>
        </w:rPr>
        <w:t>I hereby revoke any or all prior appointments of attorneys-in-fact to sign the above-described documents.</w:t>
      </w:r>
    </w:p>
    <w:p>
      <w:pPr>
        <w:pStyle w:val="TextBody"/>
        <w:spacing w:before="0" w:after="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93"/>
        <w:gridCol w:w="1017"/>
        <w:gridCol w:w="4495"/>
      </w:tblGrid>
      <w:tr>
        <w:trPr/>
        <w:tc>
          <w:tcPr>
            <w:tcW w:w="4693"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4495" w:type="dxa"/>
            <w:tcBorders>
              <w:bottom w:val="single" w:sz="2" w:space="0" w:color="000000"/>
            </w:tcBorders>
            <w:shd w:fill="auto" w:val="clear"/>
            <w:tcMar>
              <w:bottom w:w="28" w:type="dxa"/>
            </w:tcMar>
            <w:vAlign w:val="center"/>
          </w:tcPr>
          <w:p>
            <w:pPr>
              <w:pStyle w:val="TableContents"/>
              <w:spacing w:before="0" w:after="283"/>
              <w:rPr>
                <w:sz w:val="20"/>
              </w:rPr>
            </w:pPr>
            <w:r>
              <w:rPr>
                <w:sz w:val="20"/>
              </w:rPr>
              <w:t>/s/ David M. Cote</w:t>
            </w:r>
          </w:p>
        </w:tc>
      </w:tr>
      <w:tr>
        <w:trPr/>
        <w:tc>
          <w:tcPr>
            <w:tcW w:w="4693"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4495" w:type="dxa"/>
            <w:tcBorders/>
            <w:shd w:fill="auto" w:val="clear"/>
            <w:vAlign w:val="center"/>
          </w:tcPr>
          <w:p>
            <w:pPr>
              <w:pStyle w:val="TableContents"/>
              <w:spacing w:before="0" w:after="283"/>
              <w:rPr>
                <w:sz w:val="20"/>
              </w:rPr>
            </w:pPr>
            <w:r>
              <w:rPr>
                <w:sz w:val="20"/>
              </w:rPr>
              <w:t>David M. Cote</w:t>
            </w:r>
          </w:p>
        </w:tc>
      </w:tr>
    </w:tbl>
    <w:p>
      <w:pPr>
        <w:pStyle w:val="TextBody"/>
        <w:spacing w:before="0" w:after="0"/>
        <w:jc w:val="left"/>
        <w:rPr/>
      </w:pPr>
      <w:r>
        <w:rPr/>
        <w:t> </w:t>
      </w:r>
    </w:p>
    <w:p>
      <w:pPr>
        <w:pStyle w:val="TextBody"/>
        <w:spacing w:before="0" w:after="0"/>
        <w:jc w:val="left"/>
        <w:rPr>
          <w:sz w:val="20"/>
        </w:rPr>
      </w:pPr>
      <w:r>
        <w:rPr>
          <w:sz w:val="20"/>
        </w:rPr>
        <w:t>February 16, 2007</w:t>
      </w:r>
    </w:p>
    <w:p>
      <w:pPr>
        <w:pStyle w:val="TextBody"/>
        <w:spacing w:before="0" w:after="0"/>
        <w:jc w:val="left"/>
        <w:rPr/>
      </w:pPr>
      <w:r>
        <w:rPr/>
        <w:t> </w:t>
      </w:r>
    </w:p>
    <w:p>
      <w:pPr>
        <w:pStyle w:val="TextBody"/>
        <w:rPr/>
      </w:pPr>
      <w:r>
        <w:rPr/>
        <w:t> </w:t>
      </w:r>
    </w:p>
    <w:p>
      <w:pPr>
        <w:pStyle w:val="HorizontalLine"/>
        <w:pBdr>
          <w:bottom w:val="single" w:sz="12" w:space="0" w:color="808080"/>
        </w:pBdr>
        <w:rPr/>
      </w:pPr>
      <w:r>
        <w:rPr/>
      </w:r>
      <w:r>
        <w:br w:type="page"/>
      </w:r>
    </w:p>
    <w:p>
      <w:pPr>
        <w:pStyle w:val="TextBody"/>
        <w:jc w:val="right"/>
        <w:rPr>
          <w:rFonts w:ascii="Arial" w:hAnsi="Arial"/>
          <w:b/>
        </w:rPr>
      </w:pPr>
      <w:bookmarkStart w:id="106" w:name="c44492_ex31-1.htm"/>
      <w:bookmarkStart w:id="107" w:name="ksc44492_ex311"/>
      <w:bookmarkEnd w:id="106"/>
      <w:bookmarkEnd w:id="107"/>
      <w:r>
        <w:rPr>
          <w:rFonts w:ascii="Arial" w:hAnsi="Arial"/>
          <w:b/>
        </w:rPr>
        <w:t>EXHIBIT 31.1</w:t>
      </w:r>
    </w:p>
    <w:p>
      <w:pPr>
        <w:pStyle w:val="TextBody"/>
        <w:jc w:val="center"/>
        <w:rPr>
          <w:rFonts w:ascii="Arial" w:hAnsi="Arial"/>
          <w:b/>
        </w:rPr>
      </w:pPr>
      <w:r>
        <w:rPr>
          <w:rFonts w:ascii="Arial" w:hAnsi="Arial"/>
          <w:b/>
        </w:rPr>
        <w:t>CERTIFICATION PURSUANT TO SECTION 302</w:t>
        <w:br/>
        <w:t>OF THE SARBANES-OXLEY ACT OF 2002</w:t>
      </w:r>
    </w:p>
    <w:p>
      <w:pPr>
        <w:pStyle w:val="TextBody"/>
        <w:jc w:val="left"/>
        <w:rPr/>
      </w:pPr>
      <w:r>
        <w:rPr/>
        <w:t>      </w:t>
      </w:r>
      <w:r>
        <w:rPr>
          <w:rFonts w:ascii="Arial" w:hAnsi="Arial"/>
        </w:rPr>
        <w:t>I, David M. Cote, Chief Executive Officer, certify that:</w:t>
      </w:r>
    </w:p>
    <w:p>
      <w:pPr>
        <w:pStyle w:val="TextBody"/>
        <w:jc w:val="left"/>
        <w:rPr/>
      </w:pPr>
      <w:r>
        <w:rPr/>
        <w:t>      </w:t>
      </w:r>
      <w:r>
        <w:rPr>
          <w:rFonts w:ascii="Arial" w:hAnsi="Arial"/>
        </w:rPr>
        <w:t>1. I have reviewed this Annual Report on Form 10-K of Honeywell International Inc.;</w:t>
      </w:r>
    </w:p>
    <w:p>
      <w:pPr>
        <w:pStyle w:val="TextBody"/>
        <w:jc w:val="left"/>
        <w:rPr/>
      </w:pPr>
      <w:r>
        <w:rPr/>
        <w:t>      </w:t>
      </w:r>
      <w:r>
        <w:rPr>
          <w:rFonts w:ascii="Arial" w:hAnsi="Arial"/>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jc w:val="left"/>
        <w:rPr/>
      </w:pPr>
      <w:r>
        <w:rPr/>
        <w:t>      </w:t>
      </w:r>
      <w:r>
        <w:rPr>
          <w:rFonts w:ascii="Arial" w:hAnsi="Arial"/>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jc w:val="left"/>
        <w:rPr/>
      </w:pPr>
      <w:r>
        <w:rPr/>
        <w:t>      </w:t>
      </w:r>
      <w:r>
        <w:rPr>
          <w:rFonts w:ascii="Arial" w:hAnsi="Arial"/>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jc w:val="left"/>
        <w:rPr/>
      </w:pPr>
      <w:r>
        <w:rPr/>
        <w:t>      </w:t>
      </w:r>
      <w:r>
        <w:rPr>
          <w:rFonts w:ascii="Arial" w:hAnsi="Arial"/>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(b) 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696"/>
        <w:gridCol w:w="433"/>
        <w:gridCol w:w="5076"/>
      </w:tblGrid>
      <w:tr>
        <w:trPr/>
        <w:tc>
          <w:tcPr>
            <w:tcW w:w="4696" w:type="dxa"/>
            <w:tcBorders/>
            <w:shd w:fill="auto" w:val="clear"/>
          </w:tcPr>
          <w:p>
            <w:pPr>
              <w:pStyle w:val="TableContents"/>
              <w:spacing w:before="0" w:after="283"/>
              <w:jc w:val="left"/>
              <w:rPr>
                <w:rFonts w:ascii="Arial" w:hAnsi="Arial"/>
              </w:rPr>
            </w:pPr>
            <w:r>
              <w:rPr>
                <w:rFonts w:ascii="Arial" w:hAnsi="Arial"/>
              </w:rPr>
              <w:t>Date: February 15, 2007</w:t>
            </w:r>
          </w:p>
        </w:tc>
        <w:tc>
          <w:tcPr>
            <w:tcW w:w="433" w:type="dxa"/>
            <w:tcBorders/>
            <w:shd w:fill="auto" w:val="clear"/>
            <w:vAlign w:val="bottom"/>
          </w:tcPr>
          <w:p>
            <w:pPr>
              <w:pStyle w:val="TableContents"/>
              <w:spacing w:before="0" w:after="283"/>
              <w:jc w:val="center"/>
              <w:rPr/>
            </w:pPr>
            <w:r>
              <w:rPr/>
              <w:t>    </w:t>
            </w:r>
          </w:p>
        </w:tc>
        <w:tc>
          <w:tcPr>
            <w:tcW w:w="5076" w:type="dxa"/>
            <w:tcBorders/>
            <w:shd w:fill="auto" w:val="clear"/>
            <w:vAlign w:val="bottom"/>
          </w:tcPr>
          <w:p>
            <w:pPr>
              <w:pStyle w:val="TableContents"/>
              <w:spacing w:before="0" w:after="0"/>
              <w:jc w:val="center"/>
              <w:rPr/>
            </w:pPr>
            <w:r>
              <w:rPr>
                <w:rFonts w:ascii="Arial" w:hAnsi="Arial"/>
              </w:rPr>
              <w:t>By:       /s/ D</w:t>
            </w:r>
            <w:r>
              <w:rPr>
                <w:rFonts w:ascii="Arial" w:hAnsi="Arial"/>
                <w:sz w:val="14"/>
              </w:rPr>
              <w:t>AVID</w:t>
            </w:r>
            <w:r>
              <w:rPr/>
              <w:t xml:space="preserve"> </w:t>
            </w:r>
            <w:r>
              <w:rPr>
                <w:rFonts w:ascii="Arial" w:hAnsi="Arial"/>
              </w:rPr>
              <w:t>M. C</w:t>
            </w:r>
            <w:r>
              <w:rPr>
                <w:rFonts w:ascii="Arial" w:hAnsi="Arial"/>
                <w:sz w:val="14"/>
              </w:rPr>
              <w:t>OTE</w:t>
            </w:r>
            <w:r>
              <w:rPr/>
              <w:t>      </w:t>
            </w:r>
            <w:r>
              <w:rPr>
                <w:rFonts w:ascii="Arial" w:hAnsi="Arial"/>
              </w:rPr>
              <w:b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David M. Cote</w:t>
              <w:br/>
              <w:t>      Chief Executive Officer</w:t>
            </w:r>
          </w:p>
        </w:tc>
      </w:tr>
    </w:tbl>
    <w:p>
      <w:pPr>
        <w:pStyle w:val="HorizontalLine"/>
        <w:pBdr>
          <w:bottom w:val="single" w:sz="20" w:space="0" w:color="000000"/>
        </w:pBdr>
        <w:rPr/>
      </w:pPr>
      <w:r>
        <w:rPr/>
      </w:r>
      <w:r>
        <w:br w:type="page"/>
      </w:r>
    </w:p>
    <w:p>
      <w:pPr>
        <w:pStyle w:val="TextBody"/>
        <w:jc w:val="right"/>
        <w:rPr>
          <w:rFonts w:ascii="Arial" w:hAnsi="Arial"/>
          <w:b/>
        </w:rPr>
      </w:pPr>
      <w:bookmarkStart w:id="108" w:name="c44492_ex31-2.htm"/>
      <w:bookmarkStart w:id="109" w:name="ksc44492_ex312"/>
      <w:bookmarkEnd w:id="108"/>
      <w:bookmarkEnd w:id="109"/>
      <w:r>
        <w:rPr>
          <w:rFonts w:ascii="Arial" w:hAnsi="Arial"/>
          <w:b/>
        </w:rPr>
        <w:t>EXHIBIT 31.2</w:t>
      </w:r>
    </w:p>
    <w:p>
      <w:pPr>
        <w:pStyle w:val="TextBody"/>
        <w:jc w:val="center"/>
        <w:rPr>
          <w:rFonts w:ascii="Arial" w:hAnsi="Arial"/>
          <w:b/>
        </w:rPr>
      </w:pPr>
      <w:r>
        <w:rPr>
          <w:rFonts w:ascii="Arial" w:hAnsi="Arial"/>
          <w:b/>
        </w:rPr>
        <w:t>CERTIFICATION PURSUANT TO SECTION 302</w:t>
        <w:br/>
        <w:t>OF THE SARBANES-OXLEY ACT OF 2002</w:t>
      </w:r>
    </w:p>
    <w:p>
      <w:pPr>
        <w:pStyle w:val="TextBody"/>
        <w:jc w:val="left"/>
        <w:rPr/>
      </w:pPr>
      <w:r>
        <w:rPr/>
        <w:t>      </w:t>
      </w:r>
      <w:r>
        <w:rPr>
          <w:rFonts w:ascii="Arial" w:hAnsi="Arial"/>
        </w:rPr>
        <w:t>I, David J. Anderson, Chief Financial Officer, certify that:</w:t>
      </w:r>
    </w:p>
    <w:p>
      <w:pPr>
        <w:pStyle w:val="TextBody"/>
        <w:jc w:val="left"/>
        <w:rPr/>
      </w:pPr>
      <w:r>
        <w:rPr/>
        <w:t>      </w:t>
      </w:r>
      <w:r>
        <w:rPr>
          <w:rFonts w:ascii="Arial" w:hAnsi="Arial"/>
        </w:rPr>
        <w:t>1. I have reviewed this Annual Report on Form 10-K of Honeywell International Inc.;</w:t>
      </w:r>
    </w:p>
    <w:p>
      <w:pPr>
        <w:pStyle w:val="TextBody"/>
        <w:jc w:val="left"/>
        <w:rPr/>
      </w:pPr>
      <w:r>
        <w:rPr/>
        <w:t>      </w:t>
      </w:r>
      <w:r>
        <w:rPr>
          <w:rFonts w:ascii="Arial" w:hAnsi="Arial"/>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jc w:val="left"/>
        <w:rPr/>
      </w:pPr>
      <w:r>
        <w:rPr/>
        <w:t>      </w:t>
      </w:r>
      <w:r>
        <w:rPr>
          <w:rFonts w:ascii="Arial" w:hAnsi="Arial"/>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jc w:val="left"/>
        <w:rPr/>
      </w:pPr>
      <w:r>
        <w:rPr/>
        <w:t>      </w:t>
      </w:r>
      <w:r>
        <w:rPr>
          <w:rFonts w:ascii="Arial" w:hAnsi="Arial"/>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jc w:val="left"/>
        <w:rPr/>
      </w:pPr>
      <w:r>
        <w:rPr/>
        <w:t>      </w:t>
      </w:r>
      <w:r>
        <w:rPr>
          <w:rFonts w:ascii="Arial" w:hAnsi="Arial"/>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(b) 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504"/>
        <w:gridCol w:w="416"/>
        <w:gridCol w:w="5285"/>
      </w:tblGrid>
      <w:tr>
        <w:trPr/>
        <w:tc>
          <w:tcPr>
            <w:tcW w:w="4504" w:type="dxa"/>
            <w:tcBorders/>
            <w:shd w:fill="auto" w:val="clear"/>
          </w:tcPr>
          <w:p>
            <w:pPr>
              <w:pStyle w:val="TableContents"/>
              <w:spacing w:before="0" w:after="283"/>
              <w:jc w:val="left"/>
              <w:rPr>
                <w:rFonts w:ascii="Arial" w:hAnsi="Arial"/>
              </w:rPr>
            </w:pPr>
            <w:r>
              <w:rPr>
                <w:rFonts w:ascii="Arial" w:hAnsi="Arial"/>
              </w:rPr>
              <w:t>Date: February 15, 2007</w:t>
            </w:r>
          </w:p>
        </w:tc>
        <w:tc>
          <w:tcPr>
            <w:tcW w:w="416" w:type="dxa"/>
            <w:tcBorders/>
            <w:shd w:fill="auto" w:val="clear"/>
            <w:vAlign w:val="bottom"/>
          </w:tcPr>
          <w:p>
            <w:pPr>
              <w:pStyle w:val="TableContents"/>
              <w:spacing w:before="0" w:after="283"/>
              <w:jc w:val="center"/>
              <w:rPr/>
            </w:pPr>
            <w:r>
              <w:rPr/>
              <w:t>    </w:t>
            </w:r>
          </w:p>
        </w:tc>
        <w:tc>
          <w:tcPr>
            <w:tcW w:w="5285" w:type="dxa"/>
            <w:tcBorders/>
            <w:shd w:fill="auto" w:val="clear"/>
            <w:vAlign w:val="bottom"/>
          </w:tcPr>
          <w:p>
            <w:pPr>
              <w:pStyle w:val="TableContents"/>
              <w:spacing w:before="0" w:after="0"/>
              <w:jc w:val="center"/>
              <w:rPr/>
            </w:pPr>
            <w:r>
              <w:rPr>
                <w:rFonts w:ascii="Arial" w:hAnsi="Arial"/>
              </w:rPr>
              <w:t>By:       /s/ D</w:t>
            </w:r>
            <w:r>
              <w:rPr>
                <w:rFonts w:ascii="Arial" w:hAnsi="Arial"/>
                <w:sz w:val="14"/>
              </w:rPr>
              <w:t>AVID</w:t>
            </w:r>
            <w:r>
              <w:rPr/>
              <w:t xml:space="preserve"> </w:t>
            </w:r>
            <w:r>
              <w:rPr>
                <w:rFonts w:ascii="Arial" w:hAnsi="Arial"/>
              </w:rPr>
              <w:t>J. A</w:t>
            </w:r>
            <w:r>
              <w:rPr>
                <w:rFonts w:ascii="Arial" w:hAnsi="Arial"/>
                <w:sz w:val="14"/>
              </w:rPr>
              <w:t>NDERSON</w:t>
            </w:r>
            <w:r>
              <w:rPr/>
              <w:t>      </w:t>
            </w:r>
            <w:r>
              <w:rPr>
                <w:rFonts w:ascii="Arial" w:hAnsi="Arial"/>
              </w:rPr>
              <w:b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David J. Anderson</w:t>
              <w:br/>
              <w:t>      Chief Financial Officer</w:t>
            </w:r>
          </w:p>
        </w:tc>
      </w:tr>
    </w:tbl>
    <w:p>
      <w:pPr>
        <w:pStyle w:val="HorizontalLine"/>
        <w:pBdr>
          <w:bottom w:val="single" w:sz="20" w:space="0" w:color="000000"/>
        </w:pBdr>
        <w:rPr/>
      </w:pPr>
      <w:r>
        <w:rPr/>
      </w:r>
      <w:r>
        <w:br w:type="page"/>
      </w:r>
    </w:p>
    <w:p>
      <w:pPr>
        <w:pStyle w:val="TextBody"/>
        <w:jc w:val="right"/>
        <w:rPr>
          <w:rFonts w:ascii="Arial" w:hAnsi="Arial"/>
          <w:b/>
        </w:rPr>
      </w:pPr>
      <w:bookmarkStart w:id="110" w:name="c44492_ex32-1.htm"/>
      <w:bookmarkStart w:id="111" w:name="ksc44492_ex321"/>
      <w:bookmarkEnd w:id="110"/>
      <w:bookmarkEnd w:id="111"/>
      <w:r>
        <w:rPr>
          <w:rFonts w:ascii="Arial" w:hAnsi="Arial"/>
          <w:b/>
        </w:rPr>
        <w:t>EXHIBIT 32.1</w:t>
      </w:r>
    </w:p>
    <w:p>
      <w:pPr>
        <w:pStyle w:val="TextBody"/>
        <w:jc w:val="center"/>
        <w:rPr>
          <w:rFonts w:ascii="Arial" w:hAnsi="Arial"/>
          <w:b/>
        </w:rPr>
      </w:pPr>
      <w:r>
        <w:rPr>
          <w:rFonts w:ascii="Arial" w:hAnsi="Arial"/>
          <w:b/>
        </w:rPr>
        <w:t>CERTIFICATION PURSUANT TO</w:t>
        <w:br/>
        <w:t>18 U.S.C. SECTION 1350,</w:t>
        <w:br/>
        <w:t>AS ADOPTED PURSUANT TO</w:t>
        <w:br/>
        <w:t>SECTION 906 OF THE SARBANES-OXLEY ACT OF 2002</w:t>
      </w:r>
    </w:p>
    <w:p>
      <w:pPr>
        <w:pStyle w:val="TextBody"/>
        <w:jc w:val="left"/>
        <w:rPr/>
      </w:pPr>
      <w:r>
        <w:rPr/>
        <w:t>      </w:t>
      </w:r>
      <w:r>
        <w:rPr>
          <w:rFonts w:ascii="Arial" w:hAnsi="Arial"/>
        </w:rPr>
        <w:t>In connection with the Annual Report of Honeywell International Inc. (the Company) on Form 10-K for the year ending December 31, 2006 as filed with the Securities and Exchange Commission on the date hereof (the Report), I, David M. Cote, Chief Executive Officer of the Company, certify, pursuant to 18 U.S.C. Section 1350, as adopted pursuant to Section 906 of the Sarbanes-Oxley Act of 2002, that:</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(1) 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(2) The information contained in the Report fairly presents, in all material respects, the financial condition and results of operations of the Company.</w:t>
            </w:r>
          </w:p>
        </w:tc>
      </w:tr>
    </w:tbl>
    <w:tbl>
      <w:tblPr>
        <w:tblW w:w="5000" w:type="pct"/>
        <w:jc w:val="left"/>
        <w:tblInd w:w="0" w:type="dxa"/>
        <w:tblCellMar>
          <w:top w:w="0" w:type="dxa"/>
          <w:left w:w="0" w:type="dxa"/>
          <w:bottom w:w="0" w:type="dxa"/>
          <w:right w:w="0" w:type="dxa"/>
        </w:tblCellMar>
      </w:tblPr>
      <w:tblGrid>
        <w:gridCol w:w="4004"/>
        <w:gridCol w:w="488"/>
        <w:gridCol w:w="5713"/>
      </w:tblGrid>
      <w:tr>
        <w:trPr/>
        <w:tc>
          <w:tcPr>
            <w:tcW w:w="4004" w:type="dxa"/>
            <w:tcBorders/>
            <w:shd w:fill="FFFFFF" w:val="clear"/>
            <w:vAlign w:val="center"/>
          </w:tcPr>
          <w:p>
            <w:pPr>
              <w:pStyle w:val="TableContents"/>
              <w:spacing w:before="0" w:after="283"/>
              <w:rPr/>
            </w:pPr>
            <w:r>
              <w:rPr/>
              <w:t> </w:t>
            </w:r>
          </w:p>
        </w:tc>
        <w:tc>
          <w:tcPr>
            <w:tcW w:w="488" w:type="dxa"/>
            <w:tcBorders/>
            <w:shd w:fill="FFFFFF" w:val="clear"/>
            <w:vAlign w:val="bottom"/>
          </w:tcPr>
          <w:p>
            <w:pPr>
              <w:pStyle w:val="TableContents"/>
              <w:spacing w:before="0" w:after="283"/>
              <w:jc w:val="center"/>
              <w:rPr/>
            </w:pPr>
            <w:r>
              <w:rPr/>
              <w:t>    </w:t>
            </w:r>
          </w:p>
        </w:tc>
        <w:tc>
          <w:tcPr>
            <w:tcW w:w="5713" w:type="dxa"/>
            <w:tcBorders/>
            <w:shd w:fill="FFFFFF" w:val="clear"/>
            <w:vAlign w:val="bottom"/>
          </w:tcPr>
          <w:p>
            <w:pPr>
              <w:pStyle w:val="TableContents"/>
              <w:spacing w:before="0" w:after="0"/>
              <w:jc w:val="center"/>
              <w:rPr/>
            </w:pPr>
            <w:r>
              <w:rPr>
                <w:rFonts w:ascii="Arial" w:hAnsi="Arial"/>
              </w:rPr>
              <w:t>By:       /s/ D</w:t>
            </w:r>
            <w:r>
              <w:rPr>
                <w:rFonts w:ascii="Arial" w:hAnsi="Arial"/>
                <w:sz w:val="14"/>
              </w:rPr>
              <w:t>AVID</w:t>
            </w:r>
            <w:r>
              <w:rPr/>
              <w:t xml:space="preserve"> </w:t>
            </w:r>
            <w:r>
              <w:rPr>
                <w:rFonts w:ascii="Arial" w:hAnsi="Arial"/>
              </w:rPr>
              <w:t>M. C</w:t>
            </w:r>
            <w:r>
              <w:rPr>
                <w:rFonts w:ascii="Arial" w:hAnsi="Arial"/>
                <w:sz w:val="14"/>
              </w:rPr>
              <w:t>OTE</w:t>
            </w:r>
            <w:r>
              <w:rPr/>
              <w:t>      </w:t>
            </w:r>
            <w:r>
              <w:rPr>
                <w:rFonts w:ascii="Arial" w:hAnsi="Arial"/>
              </w:rPr>
              <w:b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David M. Cote</w:t>
              <w:br/>
              <w:t>      Chief Executive Officer</w:t>
            </w:r>
          </w:p>
        </w:tc>
      </w:tr>
      <w:tr>
        <w:trPr/>
        <w:tc>
          <w:tcPr>
            <w:tcW w:w="4004" w:type="dxa"/>
            <w:tcBorders/>
            <w:shd w:fill="FFFFFF" w:val="clear"/>
            <w:vAlign w:val="bottom"/>
          </w:tcPr>
          <w:p>
            <w:pPr>
              <w:pStyle w:val="TableContents"/>
              <w:spacing w:before="0" w:after="283"/>
              <w:jc w:val="left"/>
              <w:rPr>
                <w:rFonts w:ascii="Arial" w:hAnsi="Arial"/>
              </w:rPr>
            </w:pPr>
            <w:r>
              <w:rPr>
                <w:rFonts w:ascii="Arial" w:hAnsi="Arial"/>
              </w:rPr>
              <w:t>February 15, 2007</w:t>
            </w:r>
          </w:p>
        </w:tc>
        <w:tc>
          <w:tcPr>
            <w:tcW w:w="488" w:type="dxa"/>
            <w:tcBorders/>
            <w:shd w:fill="FFFFFF" w:val="clear"/>
            <w:vAlign w:val="center"/>
          </w:tcPr>
          <w:p>
            <w:pPr>
              <w:pStyle w:val="TableContents"/>
              <w:spacing w:before="0" w:after="283"/>
              <w:rPr/>
            </w:pPr>
            <w:r>
              <w:rPr/>
              <w:t> </w:t>
            </w:r>
          </w:p>
        </w:tc>
        <w:tc>
          <w:tcPr>
            <w:tcW w:w="5713" w:type="dxa"/>
            <w:tcBorders/>
            <w:shd w:fill="FFFFFF" w:val="clear"/>
            <w:vAlign w:val="center"/>
          </w:tcPr>
          <w:p>
            <w:pPr>
              <w:pStyle w:val="TableContents"/>
              <w:spacing w:before="0" w:after="283"/>
              <w:rPr/>
            </w:pPr>
            <w:r>
              <w:rPr/>
              <w:t> </w:t>
            </w:r>
          </w:p>
        </w:tc>
      </w:tr>
    </w:tbl>
    <w:p>
      <w:pPr>
        <w:pStyle w:val="HorizontalLine"/>
        <w:pBdr>
          <w:bottom w:val="single" w:sz="20" w:space="0" w:color="000000"/>
        </w:pBdr>
        <w:rPr/>
      </w:pPr>
      <w:r>
        <w:rPr/>
      </w:r>
      <w:r>
        <w:br w:type="page"/>
      </w:r>
    </w:p>
    <w:p>
      <w:pPr>
        <w:pStyle w:val="TextBody"/>
        <w:jc w:val="right"/>
        <w:rPr>
          <w:rFonts w:ascii="Arial" w:hAnsi="Arial"/>
          <w:b/>
        </w:rPr>
      </w:pPr>
      <w:bookmarkStart w:id="112" w:name="c44492_ex32-2.htm"/>
      <w:bookmarkStart w:id="113" w:name="ksc44492_ex322"/>
      <w:bookmarkEnd w:id="112"/>
      <w:bookmarkEnd w:id="113"/>
      <w:r>
        <w:rPr>
          <w:rFonts w:ascii="Arial" w:hAnsi="Arial"/>
          <w:b/>
        </w:rPr>
        <w:t>EXHIBIT 32.2</w:t>
      </w:r>
    </w:p>
    <w:p>
      <w:pPr>
        <w:pStyle w:val="TextBody"/>
        <w:jc w:val="center"/>
        <w:rPr>
          <w:rFonts w:ascii="Arial" w:hAnsi="Arial"/>
          <w:b/>
        </w:rPr>
      </w:pPr>
      <w:r>
        <w:rPr>
          <w:rFonts w:ascii="Arial" w:hAnsi="Arial"/>
          <w:b/>
        </w:rPr>
        <w:t>CERTIFICATION PURSUANT TO</w:t>
        <w:br/>
        <w:t>18 U.S.C. SECTION 1350,</w:t>
        <w:br/>
        <w:t>AS ADOPTED PURSUANT TO</w:t>
        <w:br/>
        <w:t>SECTION 906 OF THE SARBANES-OXLEY ACT OF 2002</w:t>
      </w:r>
    </w:p>
    <w:p>
      <w:pPr>
        <w:pStyle w:val="TextBody"/>
        <w:jc w:val="left"/>
        <w:rPr/>
      </w:pPr>
      <w:r>
        <w:rPr/>
        <w:t>      </w:t>
      </w:r>
      <w:r>
        <w:rPr>
          <w:rFonts w:ascii="Arial" w:hAnsi="Arial"/>
        </w:rPr>
        <w:t>In connection with the Annual Report of Honeywell International Inc. (the Company) on Form 10-K for the year ending December 31, 2006 as filed with the Securities and Exchange Commission on the date hereof (the Report), I, David J. Anderson, Chief Financial Officer of the Company, certify, pursuant to 18 U.S.C. Section 1350, as adopted pursuant to Section 906 of the Sarbanes-Oxley Act of 2002, that:</w:t>
      </w:r>
    </w:p>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(1) 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461"/>
        <w:gridCol w:w="9744"/>
      </w:tblGrid>
      <w:tr>
        <w:trPr/>
        <w:tc>
          <w:tcPr>
            <w:tcW w:w="461" w:type="dxa"/>
            <w:tcBorders/>
            <w:shd w:fill="auto" w:val="clear"/>
            <w:vAlign w:val="center"/>
          </w:tcPr>
          <w:p>
            <w:pPr>
              <w:pStyle w:val="TableContents"/>
              <w:spacing w:before="0" w:after="283"/>
              <w:rPr/>
            </w:pPr>
            <w:r>
              <w:rPr/>
              <w:t>      </w:t>
            </w:r>
          </w:p>
        </w:tc>
        <w:tc>
          <w:tcPr>
            <w:tcW w:w="9744" w:type="dxa"/>
            <w:tcBorders/>
            <w:shd w:fill="auto" w:val="clear"/>
            <w:vAlign w:val="center"/>
          </w:tcPr>
          <w:p>
            <w:pPr>
              <w:pStyle w:val="TableContents"/>
              <w:spacing w:before="0" w:after="283"/>
              <w:rPr/>
            </w:pPr>
            <w:r>
              <w:rPr/>
              <w:t>      </w:t>
            </w:r>
            <w:r>
              <w:rPr>
                <w:rFonts w:ascii="Arial" w:hAnsi="Arial"/>
              </w:rPr>
              <w:t>(2) The information contained in the Report fairly presents, in all material respects, the financial condition and results of operations of the Company.</w:t>
            </w:r>
          </w:p>
        </w:tc>
      </w:tr>
    </w:tbl>
    <w:tbl>
      <w:tblPr>
        <w:tblW w:w="5000" w:type="pct"/>
        <w:jc w:val="left"/>
        <w:tblInd w:w="0" w:type="dxa"/>
        <w:tblCellMar>
          <w:top w:w="0" w:type="dxa"/>
          <w:left w:w="0" w:type="dxa"/>
          <w:bottom w:w="0" w:type="dxa"/>
          <w:right w:w="0" w:type="dxa"/>
        </w:tblCellMar>
      </w:tblPr>
      <w:tblGrid>
        <w:gridCol w:w="3822"/>
        <w:gridCol w:w="465"/>
        <w:gridCol w:w="5918"/>
      </w:tblGrid>
      <w:tr>
        <w:trPr/>
        <w:tc>
          <w:tcPr>
            <w:tcW w:w="3822" w:type="dxa"/>
            <w:tcBorders/>
            <w:shd w:fill="FFFFFF" w:val="clear"/>
            <w:vAlign w:val="center"/>
          </w:tcPr>
          <w:p>
            <w:pPr>
              <w:pStyle w:val="TableContents"/>
              <w:spacing w:before="0" w:after="283"/>
              <w:rPr/>
            </w:pPr>
            <w:r>
              <w:rPr/>
              <w:t> </w:t>
            </w:r>
          </w:p>
        </w:tc>
        <w:tc>
          <w:tcPr>
            <w:tcW w:w="465" w:type="dxa"/>
            <w:tcBorders/>
            <w:shd w:fill="FFFFFF" w:val="clear"/>
            <w:vAlign w:val="bottom"/>
          </w:tcPr>
          <w:p>
            <w:pPr>
              <w:pStyle w:val="TableContents"/>
              <w:spacing w:before="0" w:after="283"/>
              <w:jc w:val="center"/>
              <w:rPr/>
            </w:pPr>
            <w:r>
              <w:rPr/>
              <w:t>    </w:t>
            </w:r>
          </w:p>
        </w:tc>
        <w:tc>
          <w:tcPr>
            <w:tcW w:w="5918" w:type="dxa"/>
            <w:tcBorders/>
            <w:shd w:fill="FFFFFF" w:val="clear"/>
            <w:vAlign w:val="bottom"/>
          </w:tcPr>
          <w:p>
            <w:pPr>
              <w:pStyle w:val="TableContents"/>
              <w:spacing w:before="0" w:after="0"/>
              <w:jc w:val="center"/>
              <w:rPr/>
            </w:pPr>
            <w:r>
              <w:rPr>
                <w:rFonts w:ascii="Arial" w:hAnsi="Arial"/>
              </w:rPr>
              <w:t>By:       /s/ D</w:t>
            </w:r>
            <w:r>
              <w:rPr>
                <w:rFonts w:ascii="Arial" w:hAnsi="Arial"/>
                <w:sz w:val="14"/>
              </w:rPr>
              <w:t>AVID</w:t>
            </w:r>
            <w:r>
              <w:rPr/>
              <w:t xml:space="preserve"> </w:t>
            </w:r>
            <w:r>
              <w:rPr>
                <w:rFonts w:ascii="Arial" w:hAnsi="Arial"/>
              </w:rPr>
              <w:t>J. A</w:t>
            </w:r>
            <w:r>
              <w:rPr>
                <w:rFonts w:ascii="Arial" w:hAnsi="Arial"/>
                <w:sz w:val="14"/>
              </w:rPr>
              <w:t>NDERSON</w:t>
            </w:r>
            <w:r>
              <w:rPr/>
              <w:t>      </w:t>
            </w:r>
            <w:r>
              <w:rPr>
                <w:rFonts w:ascii="Arial" w:hAnsi="Arial"/>
              </w:rPr>
              <w:br/>
              <w:t>      </w:t>
            </w:r>
          </w:p>
          <w:p>
            <w:pPr>
              <w:pStyle w:val="HorizontalLine"/>
              <w:pBdr>
                <w:bottom w:val="single" w:sz="20" w:space="0" w:color="000000"/>
              </w:pBdr>
              <w:jc w:val="center"/>
              <w:rPr/>
            </w:pPr>
            <w:r>
              <w:rPr/>
            </w:r>
          </w:p>
          <w:p>
            <w:pPr>
              <w:pStyle w:val="TableContents"/>
              <w:spacing w:before="0" w:after="283"/>
              <w:jc w:val="center"/>
              <w:rPr/>
            </w:pPr>
            <w:r>
              <w:rPr/>
              <w:t>      </w:t>
            </w:r>
            <w:r>
              <w:rPr>
                <w:rFonts w:ascii="Arial" w:hAnsi="Arial"/>
              </w:rPr>
              <w:t>David J. Anderson</w:t>
              <w:br/>
              <w:t>      Chief Financial Officer</w:t>
            </w:r>
          </w:p>
        </w:tc>
      </w:tr>
      <w:tr>
        <w:trPr/>
        <w:tc>
          <w:tcPr>
            <w:tcW w:w="3822" w:type="dxa"/>
            <w:tcBorders/>
            <w:shd w:fill="FFFFFF" w:val="clear"/>
            <w:vAlign w:val="bottom"/>
          </w:tcPr>
          <w:p>
            <w:pPr>
              <w:pStyle w:val="TableContents"/>
              <w:spacing w:before="0" w:after="283"/>
              <w:jc w:val="left"/>
              <w:rPr>
                <w:rFonts w:ascii="Arial" w:hAnsi="Arial"/>
              </w:rPr>
            </w:pPr>
            <w:r>
              <w:rPr>
                <w:rFonts w:ascii="Arial" w:hAnsi="Arial"/>
              </w:rPr>
              <w:t>February 15, 2007</w:t>
            </w:r>
          </w:p>
        </w:tc>
        <w:tc>
          <w:tcPr>
            <w:tcW w:w="465" w:type="dxa"/>
            <w:tcBorders/>
            <w:shd w:fill="FFFFFF" w:val="clear"/>
            <w:vAlign w:val="center"/>
          </w:tcPr>
          <w:p>
            <w:pPr>
              <w:pStyle w:val="TableContents"/>
              <w:spacing w:before="0" w:after="283"/>
              <w:rPr/>
            </w:pPr>
            <w:r>
              <w:rPr/>
              <w:t> </w:t>
            </w:r>
          </w:p>
        </w:tc>
        <w:tc>
          <w:tcPr>
            <w:tcW w:w="5918" w:type="dxa"/>
            <w:tcBorders/>
            <w:shd w:fill="FFFFFF" w:val="clear"/>
            <w:vAlign w:val="center"/>
          </w:tcPr>
          <w:p>
            <w:pPr>
              <w:pStyle w:val="TableContents"/>
              <w:spacing w:before="0" w:after="283"/>
              <w:rPr/>
            </w:pPr>
            <w:r>
              <w:rPr/>
              <w:t> </w:t>
            </w:r>
          </w:p>
        </w:tc>
      </w:tr>
    </w:tbl>
    <w:p>
      <w:pPr>
        <w:pStyle w:val="HorizontalLine"/>
        <w:pBdr>
          <w:bottom w:val="single" w:sz="20"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Wingdings 2">
    <w:charset w:val="00"/>
    <w:family w:val="auto"/>
    <w:pitch w:val="default"/>
  </w:font>
  <w:font w:name="serif">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data/linechart_44492.jpg"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182</Pages>
  <Words>77050</Words>
  <CharactersWithSpaces>525860</CharactersWithSpaces>
  <Paragraphs>22667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dc:title>
</cp:coreProperties>
</file>