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64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413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S ANNUAL REPORT PURSUANT TO SECTION 13 OR 15(d)</w:t>
      </w:r>
    </w:p>
    <w:p>
      <w:pPr>
        <w:jc w:val="center"/>
        <w:spacing w:after="0" w:line="231" w:lineRule="auto"/>
        <w:rPr>
          <w:sz w:val="20"/>
          <w:szCs w:val="20"/>
          <w:color w:val="auto"/>
        </w:rPr>
      </w:pPr>
      <w:r>
        <w:rPr>
          <w:rFonts w:ascii="Arial" w:cs="Arial" w:eastAsia="Arial" w:hAnsi="Arial"/>
          <w:sz w:val="19"/>
          <w:szCs w:val="19"/>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For the fiscal year ended </w:t>
      </w:r>
      <w:r>
        <w:rPr>
          <w:rFonts w:ascii="Arial" w:cs="Arial" w:eastAsia="Arial" w:hAnsi="Arial"/>
          <w:sz w:val="21"/>
          <w:szCs w:val="21"/>
          <w:u w:val="single" w:color="auto"/>
          <w:color w:val="auto"/>
        </w:rPr>
        <w:t>December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TRANSITION REPORT 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p>
      <w:pPr>
        <w:jc w:val="right"/>
        <w:ind w:right="4220"/>
        <w:spacing w:after="0"/>
        <w:tabs>
          <w:tab w:leader="none" w:pos="4380" w:val="left"/>
        </w:tabs>
        <w:rPr>
          <w:sz w:val="20"/>
          <w:szCs w:val="20"/>
          <w:color w:val="auto"/>
        </w:rPr>
      </w:pPr>
      <w:r>
        <w:rPr>
          <w:rFonts w:ascii="Arial" w:cs="Arial" w:eastAsia="Arial" w:hAnsi="Arial"/>
          <w:sz w:val="21"/>
          <w:szCs w:val="21"/>
          <w:color w:val="auto"/>
        </w:rPr>
        <w:t>For the transition period from</w:t>
      </w:r>
      <w:r>
        <w:rPr>
          <w:sz w:val="20"/>
          <w:szCs w:val="20"/>
          <w:color w:val="auto"/>
        </w:rPr>
        <w:tab/>
      </w:r>
      <w:r>
        <w:rPr>
          <w:rFonts w:ascii="Arial" w:cs="Arial" w:eastAsia="Arial" w:hAnsi="Arial"/>
          <w:sz w:val="21"/>
          <w:szCs w:val="21"/>
          <w:color w:val="auto"/>
        </w:rPr>
        <w:t>to</w:t>
      </w:r>
    </w:p>
    <w:p>
      <w:pPr>
        <w:spacing w:after="0" w:line="2" w:lineRule="exact"/>
        <w:rPr>
          <w:sz w:val="24"/>
          <w:szCs w:val="24"/>
          <w:color w:val="auto"/>
        </w:rPr>
      </w:pPr>
    </w:p>
    <w:p>
      <w:pPr>
        <w:jc w:val="right"/>
        <w:ind w:right="4200"/>
        <w:spacing w:after="0"/>
        <w:rPr>
          <w:sz w:val="20"/>
          <w:szCs w:val="20"/>
          <w:color w:val="auto"/>
        </w:rPr>
      </w:pPr>
      <w:r>
        <w:rPr>
          <w:rFonts w:ascii="Arial" w:cs="Arial" w:eastAsia="Arial" w:hAnsi="Arial"/>
          <w:sz w:val="21"/>
          <w:szCs w:val="21"/>
          <w:color w:val="auto"/>
        </w:rPr>
        <w:t xml:space="preserve">Commission file number </w:t>
      </w:r>
      <w:r>
        <w:rPr>
          <w:rFonts w:ascii="Arial" w:cs="Arial" w:eastAsia="Arial" w:hAnsi="Arial"/>
          <w:sz w:val="21"/>
          <w:szCs w:val="21"/>
          <w:u w:val="single" w:color="auto"/>
          <w:color w:val="auto"/>
        </w:rPr>
        <w:t>1-8974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Honeywell International Inc.</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DELAWARE</w:t>
            </w:r>
          </w:p>
        </w:tc>
        <w:tc>
          <w:tcPr>
            <w:tcW w:w="320" w:type="dxa"/>
            <w:vAlign w:val="bottom"/>
          </w:tcPr>
          <w:p>
            <w:pPr>
              <w:spacing w:after="0"/>
              <w:rPr>
                <w:sz w:val="19"/>
                <w:szCs w:val="19"/>
                <w:color w:val="auto"/>
              </w:rPr>
            </w:pPr>
          </w:p>
        </w:tc>
        <w:tc>
          <w:tcPr>
            <w:tcW w:w="5560" w:type="dxa"/>
            <w:vAlign w:val="bottom"/>
            <w:tcBorders>
              <w:bottom w:val="single" w:sz="8" w:color="auto"/>
            </w:tcBorders>
          </w:tcPr>
          <w:p>
            <w:pPr>
              <w:jc w:val="right"/>
              <w:ind w:right="2163"/>
              <w:spacing w:after="0"/>
              <w:rPr>
                <w:sz w:val="20"/>
                <w:szCs w:val="20"/>
                <w:color w:val="auto"/>
              </w:rPr>
            </w:pPr>
            <w:r>
              <w:rPr>
                <w:rFonts w:ascii="Arial" w:cs="Arial" w:eastAsia="Arial" w:hAnsi="Arial"/>
                <w:sz w:val="19"/>
                <w:szCs w:val="19"/>
                <w:color w:val="auto"/>
              </w:rPr>
              <w:t>22-2640650</w:t>
            </w:r>
          </w:p>
        </w:tc>
      </w:tr>
      <w:tr>
        <w:trPr>
          <w:trHeight w:val="264"/>
        </w:trPr>
        <w:tc>
          <w:tcPr>
            <w:tcW w:w="900" w:type="dxa"/>
            <w:vAlign w:val="bottom"/>
          </w:tcPr>
          <w:p>
            <w:pPr>
              <w:spacing w:after="0"/>
              <w:rPr>
                <w:sz w:val="22"/>
                <w:szCs w:val="22"/>
                <w:color w:val="auto"/>
              </w:rPr>
            </w:pPr>
          </w:p>
        </w:tc>
        <w:tc>
          <w:tcPr>
            <w:tcW w:w="4960" w:type="dxa"/>
            <w:vAlign w:val="bottom"/>
            <w:gridSpan w:val="2"/>
          </w:tcPr>
          <w:p>
            <w:pPr>
              <w:jc w:val="center"/>
              <w:ind w:right="1220"/>
              <w:spacing w:after="0"/>
              <w:rPr>
                <w:sz w:val="20"/>
                <w:szCs w:val="20"/>
                <w:color w:val="auto"/>
              </w:rPr>
            </w:pPr>
            <w:r>
              <w:rPr>
                <w:rFonts w:ascii="Arial" w:cs="Arial" w:eastAsia="Arial" w:hAnsi="Arial"/>
                <w:sz w:val="19"/>
                <w:szCs w:val="19"/>
                <w:color w:val="auto"/>
              </w:rPr>
              <w:t>(State or other jurisdiction of</w:t>
            </w:r>
          </w:p>
        </w:tc>
        <w:tc>
          <w:tcPr>
            <w:tcW w:w="5560" w:type="dxa"/>
            <w:vAlign w:val="bottom"/>
          </w:tcPr>
          <w:p>
            <w:pPr>
              <w:jc w:val="center"/>
              <w:spacing w:after="0"/>
              <w:rPr>
                <w:sz w:val="20"/>
                <w:szCs w:val="20"/>
                <w:color w:val="auto"/>
              </w:rPr>
            </w:pPr>
            <w:r>
              <w:rPr>
                <w:rFonts w:ascii="Arial" w:cs="Arial" w:eastAsia="Arial" w:hAnsi="Arial"/>
                <w:sz w:val="19"/>
                <w:szCs w:val="19"/>
                <w:color w:val="auto"/>
              </w:rPr>
              <w:t>(I.R.S. Employer</w:t>
            </w:r>
          </w:p>
        </w:tc>
      </w:tr>
      <w:tr>
        <w:trPr>
          <w:trHeight w:val="234"/>
        </w:trPr>
        <w:tc>
          <w:tcPr>
            <w:tcW w:w="900" w:type="dxa"/>
            <w:vAlign w:val="bottom"/>
          </w:tcPr>
          <w:p>
            <w:pPr>
              <w:spacing w:after="0"/>
              <w:rPr>
                <w:sz w:val="20"/>
                <w:szCs w:val="20"/>
                <w:color w:val="auto"/>
              </w:rPr>
            </w:pPr>
          </w:p>
        </w:tc>
        <w:tc>
          <w:tcPr>
            <w:tcW w:w="4960" w:type="dxa"/>
            <w:vAlign w:val="bottom"/>
            <w:gridSpan w:val="2"/>
          </w:tcPr>
          <w:p>
            <w:pPr>
              <w:jc w:val="center"/>
              <w:ind w:right="1200"/>
              <w:spacing w:after="0"/>
              <w:rPr>
                <w:sz w:val="20"/>
                <w:szCs w:val="20"/>
                <w:color w:val="auto"/>
              </w:rPr>
            </w:pPr>
            <w:r>
              <w:rPr>
                <w:rFonts w:ascii="Arial" w:cs="Arial" w:eastAsia="Arial" w:hAnsi="Arial"/>
                <w:sz w:val="19"/>
                <w:szCs w:val="19"/>
                <w:color w:val="auto"/>
              </w:rPr>
              <w:t>incorporation or organization)</w:t>
            </w:r>
          </w:p>
        </w:tc>
        <w:tc>
          <w:tcPr>
            <w:tcW w:w="5560" w:type="dxa"/>
            <w:vAlign w:val="bottom"/>
          </w:tcPr>
          <w:p>
            <w:pPr>
              <w:jc w:val="center"/>
              <w:spacing w:after="0"/>
              <w:rPr>
                <w:sz w:val="20"/>
                <w:szCs w:val="20"/>
                <w:color w:val="auto"/>
              </w:rPr>
            </w:pPr>
            <w:r>
              <w:rPr>
                <w:rFonts w:ascii="Arial" w:cs="Arial" w:eastAsia="Arial" w:hAnsi="Arial"/>
                <w:sz w:val="19"/>
                <w:szCs w:val="19"/>
                <w:color w:val="auto"/>
              </w:rPr>
              <w:t>Identification No.)</w:t>
            </w:r>
          </w:p>
        </w:tc>
      </w:tr>
      <w:tr>
        <w:trPr>
          <w:trHeight w:val="226"/>
        </w:trPr>
        <w:tc>
          <w:tcPr>
            <w:tcW w:w="900" w:type="dxa"/>
            <w:vAlign w:val="bottom"/>
          </w:tcPr>
          <w:p>
            <w:pPr>
              <w:spacing w:after="0"/>
              <w:rPr>
                <w:sz w:val="19"/>
                <w:szCs w:val="19"/>
                <w:color w:val="auto"/>
              </w:rPr>
            </w:pPr>
          </w:p>
        </w:tc>
        <w:tc>
          <w:tcPr>
            <w:tcW w:w="4960" w:type="dxa"/>
            <w:vAlign w:val="bottom"/>
            <w:gridSpan w:val="2"/>
          </w:tcPr>
          <w:p>
            <w:pPr>
              <w:jc w:val="center"/>
              <w:ind w:right="1200"/>
              <w:spacing w:after="0"/>
              <w:rPr>
                <w:sz w:val="20"/>
                <w:szCs w:val="20"/>
                <w:color w:val="auto"/>
              </w:rPr>
            </w:pPr>
            <w:r>
              <w:rPr>
                <w:rFonts w:ascii="Arial" w:cs="Arial" w:eastAsia="Arial" w:hAnsi="Arial"/>
                <w:sz w:val="19"/>
                <w:szCs w:val="19"/>
                <w:color w:val="auto"/>
              </w:rPr>
              <w:t>101 Columbia Road</w:t>
            </w:r>
          </w:p>
        </w:tc>
        <w:tc>
          <w:tcPr>
            <w:tcW w:w="5560" w:type="dxa"/>
            <w:vAlign w:val="bottom"/>
          </w:tcPr>
          <w:p>
            <w:pPr>
              <w:spacing w:after="0"/>
              <w:rPr>
                <w:sz w:val="19"/>
                <w:szCs w:val="19"/>
                <w:color w:val="auto"/>
              </w:rPr>
            </w:pPr>
          </w:p>
        </w:tc>
      </w:t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Morris Township, New Jersey</w:t>
            </w:r>
          </w:p>
        </w:tc>
        <w:tc>
          <w:tcPr>
            <w:tcW w:w="320" w:type="dxa"/>
            <w:vAlign w:val="bottom"/>
          </w:tcPr>
          <w:p>
            <w:pPr>
              <w:spacing w:after="0"/>
              <w:rPr>
                <w:sz w:val="19"/>
                <w:szCs w:val="19"/>
                <w:color w:val="auto"/>
              </w:rPr>
            </w:pPr>
          </w:p>
        </w:tc>
        <w:tc>
          <w:tcPr>
            <w:tcW w:w="5560" w:type="dxa"/>
            <w:vAlign w:val="bottom"/>
            <w:tcBorders>
              <w:bottom w:val="single" w:sz="8" w:color="auto"/>
            </w:tcBorders>
          </w:tcPr>
          <w:p>
            <w:pPr>
              <w:jc w:val="right"/>
              <w:ind w:right="2403"/>
              <w:spacing w:after="0"/>
              <w:rPr>
                <w:sz w:val="20"/>
                <w:szCs w:val="20"/>
                <w:color w:val="auto"/>
              </w:rPr>
            </w:pPr>
            <w:r>
              <w:rPr>
                <w:rFonts w:ascii="Arial" w:cs="Arial" w:eastAsia="Arial" w:hAnsi="Arial"/>
                <w:sz w:val="19"/>
                <w:szCs w:val="19"/>
                <w:color w:val="auto"/>
              </w:rPr>
              <w:t>07962</w:t>
            </w:r>
          </w:p>
        </w:tc>
      </w:tr>
      <w:tr>
        <w:trPr>
          <w:trHeight w:val="308"/>
        </w:trPr>
        <w:tc>
          <w:tcPr>
            <w:tcW w:w="900" w:type="dxa"/>
            <w:vAlign w:val="bottom"/>
          </w:tcPr>
          <w:p>
            <w:pPr>
              <w:spacing w:after="0"/>
              <w:rPr>
                <w:sz w:val="24"/>
                <w:szCs w:val="24"/>
                <w:color w:val="auto"/>
              </w:rPr>
            </w:pPr>
          </w:p>
        </w:tc>
        <w:tc>
          <w:tcPr>
            <w:tcW w:w="4960" w:type="dxa"/>
            <w:vAlign w:val="bottom"/>
            <w:gridSpan w:val="2"/>
          </w:tcPr>
          <w:p>
            <w:pPr>
              <w:jc w:val="center"/>
              <w:ind w:right="1200"/>
              <w:spacing w:after="0"/>
              <w:rPr>
                <w:sz w:val="20"/>
                <w:szCs w:val="20"/>
                <w:color w:val="auto"/>
              </w:rPr>
            </w:pPr>
            <w:r>
              <w:rPr>
                <w:rFonts w:ascii="Arial" w:cs="Arial" w:eastAsia="Arial" w:hAnsi="Arial"/>
                <w:sz w:val="19"/>
                <w:szCs w:val="19"/>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9"/>
                <w:szCs w:val="19"/>
                <w:color w:val="auto"/>
              </w:rPr>
              <w:t>(Zip Code)</w:t>
            </w:r>
          </w:p>
        </w:tc>
      </w:tr>
      <w:tr>
        <w:trPr>
          <w:trHeight w:val="338"/>
        </w:trPr>
        <w:tc>
          <w:tcPr>
            <w:tcW w:w="5860" w:type="dxa"/>
            <w:vAlign w:val="bottom"/>
            <w:gridSpan w:val="3"/>
          </w:tcPr>
          <w:p>
            <w:pPr>
              <w:spacing w:after="0"/>
              <w:rPr>
                <w:sz w:val="20"/>
                <w:szCs w:val="20"/>
                <w:color w:val="auto"/>
              </w:rPr>
            </w:pPr>
            <w:r>
              <w:rPr>
                <w:rFonts w:ascii="Arial" w:cs="Arial" w:eastAsia="Arial" w:hAnsi="Arial"/>
                <w:sz w:val="19"/>
                <w:szCs w:val="19"/>
                <w:color w:val="auto"/>
              </w:rPr>
              <w:t>Registrant’s telephone number, including area code (973) 455-2000</w:t>
            </w:r>
          </w:p>
        </w:tc>
        <w:tc>
          <w:tcPr>
            <w:tcW w:w="5560" w:type="dxa"/>
            <w:vAlign w:val="bottom"/>
          </w:tcPr>
          <w:p>
            <w:pPr>
              <w:spacing w:after="0"/>
              <w:rPr>
                <w:sz w:val="24"/>
                <w:szCs w:val="24"/>
                <w:color w:val="auto"/>
              </w:rPr>
            </w:pPr>
          </w:p>
        </w:tc>
      </w:tr>
      <w:tr>
        <w:trPr>
          <w:trHeight w:val="324"/>
        </w:trPr>
        <w:tc>
          <w:tcPr>
            <w:tcW w:w="5860" w:type="dxa"/>
            <w:vAlign w:val="bottom"/>
            <w:gridSpan w:val="3"/>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5560" w:type="dxa"/>
            <w:vAlign w:val="bottom"/>
          </w:tcPr>
          <w:p>
            <w:pPr>
              <w:spacing w:after="0"/>
              <w:rPr>
                <w:sz w:val="24"/>
                <w:szCs w:val="24"/>
                <w:color w:val="auto"/>
              </w:rPr>
            </w:pPr>
          </w:p>
        </w:tc>
      </w:tr>
      <w:tr>
        <w:trPr>
          <w:trHeight w:val="266"/>
        </w:trPr>
        <w:tc>
          <w:tcPr>
            <w:tcW w:w="9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Name of Each Exchange</w:t>
            </w:r>
          </w:p>
        </w:tc>
      </w:tr>
      <w:tr>
        <w:trPr>
          <w:trHeight w:val="230"/>
        </w:trPr>
        <w:tc>
          <w:tcPr>
            <w:tcW w:w="9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center"/>
              <w:ind w:right="783"/>
              <w:spacing w:after="0"/>
              <w:rPr>
                <w:sz w:val="20"/>
                <w:szCs w:val="20"/>
                <w:color w:val="auto"/>
              </w:rPr>
            </w:pPr>
            <w:r>
              <w:rPr>
                <w:rFonts w:ascii="Arial" w:cs="Arial" w:eastAsia="Arial" w:hAnsi="Arial"/>
                <w:sz w:val="19"/>
                <w:szCs w:val="19"/>
                <w:color w:val="auto"/>
              </w:rPr>
              <w:t>Title of Each Class</w:t>
            </w:r>
          </w:p>
        </w:tc>
        <w:tc>
          <w:tcPr>
            <w:tcW w:w="320" w:type="dxa"/>
            <w:vAlign w:val="bottom"/>
          </w:tcPr>
          <w:p>
            <w:pPr>
              <w:spacing w:after="0"/>
              <w:rPr>
                <w:sz w:val="19"/>
                <w:szCs w:val="19"/>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on Which Registered</w:t>
            </w:r>
          </w:p>
        </w:tc>
      </w:tr>
      <w:tr>
        <w:trPr>
          <w:trHeight w:val="308"/>
        </w:trPr>
        <w:tc>
          <w:tcPr>
            <w:tcW w:w="5860" w:type="dxa"/>
            <w:vAlign w:val="bottom"/>
            <w:gridSpan w:val="3"/>
          </w:tcPr>
          <w:p>
            <w:pPr>
              <w:ind w:left="20"/>
              <w:spacing w:after="0"/>
              <w:rPr>
                <w:sz w:val="20"/>
                <w:szCs w:val="20"/>
                <w:color w:val="auto"/>
              </w:rPr>
            </w:pPr>
            <w:r>
              <w:rPr>
                <w:rFonts w:ascii="Arial" w:cs="Arial" w:eastAsia="Arial" w:hAnsi="Arial"/>
                <w:sz w:val="19"/>
                <w:szCs w:val="19"/>
                <w:color w:val="auto"/>
              </w:rPr>
              <w:t>Common Stock, par value $1 per share*</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70"/>
        </w:trPr>
        <w:tc>
          <w:tcPr>
            <w:tcW w:w="9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Chicago Stock Exchange</w:t>
            </w:r>
          </w:p>
        </w:tc>
      </w:tr>
      <w:tr>
        <w:trPr>
          <w:trHeight w:val="369"/>
        </w:trPr>
        <w:tc>
          <w:tcPr>
            <w:tcW w:w="5860" w:type="dxa"/>
            <w:vAlign w:val="bottom"/>
            <w:gridSpan w:val="3"/>
          </w:tcPr>
          <w:p>
            <w:pPr>
              <w:ind w:left="20"/>
              <w:spacing w:after="0"/>
              <w:rPr>
                <w:sz w:val="20"/>
                <w:szCs w:val="20"/>
                <w:color w:val="auto"/>
              </w:rPr>
            </w:pPr>
            <w:r>
              <w:rPr>
                <w:rFonts w:ascii="Arial" w:cs="Arial" w:eastAsia="Arial" w:hAnsi="Arial"/>
                <w:sz w:val="19"/>
                <w:szCs w:val="19"/>
                <w:color w:val="auto"/>
              </w:rPr>
              <w:t>9</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Debentures due June 1, 2016</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110"/>
        </w:trPr>
        <w:tc>
          <w:tcPr>
            <w:tcW w:w="900" w:type="dxa"/>
            <w:vAlign w:val="bottom"/>
            <w:tcBorders>
              <w:bottom w:val="single" w:sz="8" w:color="auto"/>
            </w:tcBorders>
          </w:tcPr>
          <w:p>
            <w:pPr>
              <w:spacing w:after="0"/>
              <w:rPr>
                <w:sz w:val="9"/>
                <w:szCs w:val="9"/>
                <w:color w:val="auto"/>
              </w:rPr>
            </w:pPr>
          </w:p>
        </w:tc>
        <w:tc>
          <w:tcPr>
            <w:tcW w:w="4960" w:type="dxa"/>
            <w:vAlign w:val="bottom"/>
            <w:gridSpan w:val="2"/>
          </w:tcPr>
          <w:p>
            <w:pPr>
              <w:spacing w:after="0"/>
              <w:rPr>
                <w:sz w:val="9"/>
                <w:szCs w:val="9"/>
                <w:color w:val="auto"/>
              </w:rPr>
            </w:pPr>
          </w:p>
        </w:tc>
        <w:tc>
          <w:tcPr>
            <w:tcW w:w="5560" w:type="dxa"/>
            <w:vAlign w:val="bottom"/>
          </w:tcPr>
          <w:p>
            <w:pPr>
              <w:spacing w:after="0"/>
              <w:rPr>
                <w:sz w:val="9"/>
                <w:szCs w:val="9"/>
                <w:color w:val="auto"/>
              </w:rPr>
            </w:pPr>
          </w:p>
        </w:tc>
      </w:tr>
      <w:tr>
        <w:trPr>
          <w:trHeight w:val="392"/>
        </w:trPr>
        <w:tc>
          <w:tcPr>
            <w:tcW w:w="5860" w:type="dxa"/>
            <w:vAlign w:val="bottom"/>
            <w:gridSpan w:val="3"/>
          </w:tcPr>
          <w:p>
            <w:pPr>
              <w:ind w:left="20"/>
              <w:spacing w:after="0"/>
              <w:rPr>
                <w:sz w:val="20"/>
                <w:szCs w:val="20"/>
                <w:color w:val="auto"/>
              </w:rPr>
            </w:pPr>
            <w:r>
              <w:rPr>
                <w:rFonts w:ascii="Arial" w:cs="Arial" w:eastAsia="Arial" w:hAnsi="Arial"/>
                <w:sz w:val="19"/>
                <w:szCs w:val="19"/>
                <w:color w:val="auto"/>
              </w:rPr>
              <w:t>* The common stock is also listed on the London Stock Exchange.</w:t>
            </w:r>
          </w:p>
        </w:tc>
        <w:tc>
          <w:tcPr>
            <w:tcW w:w="5560" w:type="dxa"/>
            <w:vAlign w:val="bottom"/>
          </w:tcPr>
          <w:p>
            <w:pPr>
              <w:spacing w:after="0"/>
              <w:rPr>
                <w:sz w:val="24"/>
                <w:szCs w:val="24"/>
                <w:color w:val="auto"/>
              </w:rPr>
            </w:pPr>
          </w:p>
        </w:tc>
      </w:tr>
      <w:tr>
        <w:trPr>
          <w:trHeight w:val="419"/>
        </w:trPr>
        <w:tc>
          <w:tcPr>
            <w:tcW w:w="5860" w:type="dxa"/>
            <w:vAlign w:val="bottom"/>
            <w:gridSpan w:val="3"/>
          </w:tcPr>
          <w:p>
            <w:pPr>
              <w:spacing w:after="0"/>
              <w:rPr>
                <w:sz w:val="20"/>
                <w:szCs w:val="20"/>
                <w:color w:val="auto"/>
              </w:rPr>
            </w:pPr>
            <w:r>
              <w:rPr>
                <w:rFonts w:ascii="Arial" w:cs="Arial" w:eastAsia="Arial" w:hAnsi="Arial"/>
                <w:sz w:val="19"/>
                <w:szCs w:val="19"/>
                <w:color w:val="auto"/>
              </w:rPr>
              <w:t>Securities registered pursuant to Section 12(g) of the Act: None</w:t>
            </w:r>
          </w:p>
        </w:tc>
        <w:tc>
          <w:tcPr>
            <w:tcW w:w="55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560705</wp:posOffset>
            </wp:positionH>
            <wp:positionV relativeFrom="paragraph">
              <wp:posOffset>-529590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a well-known seasoned issuer, as defined in Rule 405 of the Securities Act. Yes S No £</w:t>
      </w:r>
    </w:p>
    <w:p>
      <w:pPr>
        <w:spacing w:after="0" w:line="106" w:lineRule="exact"/>
        <w:rPr>
          <w:sz w:val="24"/>
          <w:szCs w:val="24"/>
          <w:color w:val="auto"/>
        </w:rPr>
      </w:pPr>
    </w:p>
    <w:p>
      <w:pPr>
        <w:ind w:right="280"/>
        <w:spacing w:after="0" w:line="253"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Exchange Act. Yes £ No S</w:t>
      </w:r>
    </w:p>
    <w:p>
      <w:pPr>
        <w:spacing w:after="0" w:line="80" w:lineRule="exact"/>
        <w:rPr>
          <w:sz w:val="24"/>
          <w:szCs w:val="24"/>
          <w:color w:val="auto"/>
        </w:rPr>
      </w:pPr>
    </w:p>
    <w:p>
      <w:pPr>
        <w:ind w:right="380"/>
        <w:spacing w:after="0" w:line="24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87" w:lineRule="exact"/>
        <w:rPr>
          <w:sz w:val="24"/>
          <w:szCs w:val="24"/>
          <w:color w:val="auto"/>
        </w:rPr>
      </w:pPr>
    </w:p>
    <w:p>
      <w:pPr>
        <w:ind w:right="200"/>
        <w:spacing w:after="0" w:line="24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S No £</w:t>
      </w:r>
    </w:p>
    <w:p>
      <w:pPr>
        <w:spacing w:after="0" w:line="87"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S</w:t>
      </w:r>
    </w:p>
    <w:p>
      <w:pPr>
        <w:spacing w:after="0" w:line="87" w:lineRule="exact"/>
        <w:rPr>
          <w:sz w:val="24"/>
          <w:szCs w:val="24"/>
          <w:color w:val="auto"/>
        </w:rPr>
      </w:pPr>
    </w:p>
    <w:p>
      <w:pPr>
        <w:ind w:right="6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87" w:lineRule="exact"/>
        <w:rPr>
          <w:sz w:val="24"/>
          <w:szCs w:val="24"/>
          <w:color w:val="auto"/>
        </w:rPr>
      </w:pPr>
    </w:p>
    <w:p>
      <w:pPr>
        <w:spacing w:after="0"/>
        <w:tabs>
          <w:tab w:leader="none" w:pos="2340" w:val="left"/>
          <w:tab w:leader="none" w:pos="4220" w:val="left"/>
          <w:tab w:leader="none" w:pos="6500" w:val="left"/>
        </w:tabs>
        <w:rPr>
          <w:sz w:val="20"/>
          <w:szCs w:val="20"/>
          <w:color w:val="auto"/>
        </w:rPr>
      </w:pPr>
      <w:r>
        <w:rPr>
          <w:rFonts w:ascii="Arial" w:cs="Arial" w:eastAsia="Arial" w:hAnsi="Arial"/>
          <w:sz w:val="19"/>
          <w:szCs w:val="19"/>
          <w:color w:val="auto"/>
        </w:rPr>
        <w:t>Large accelerated filer S</w:t>
        <w:tab/>
        <w:t>Accelerated filer £</w:t>
        <w:tab/>
        <w:t>Non-accelerated filer £</w:t>
        <w:tab/>
        <w:t>Smaller reporting company £</w:t>
      </w:r>
    </w:p>
    <w:p>
      <w:pPr>
        <w:spacing w:after="0" w:line="1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 Yes £ No S</w:t>
      </w:r>
    </w:p>
    <w:p>
      <w:pPr>
        <w:spacing w:after="0" w:line="106" w:lineRule="exact"/>
        <w:rPr>
          <w:sz w:val="24"/>
          <w:szCs w:val="24"/>
          <w:color w:val="auto"/>
        </w:rPr>
      </w:pPr>
    </w:p>
    <w:p>
      <w:pPr>
        <w:ind w:right="360"/>
        <w:spacing w:after="0" w:line="253" w:lineRule="auto"/>
        <w:rPr>
          <w:sz w:val="20"/>
          <w:szCs w:val="20"/>
          <w:color w:val="auto"/>
        </w:rPr>
      </w:pPr>
      <w:r>
        <w:rPr>
          <w:rFonts w:ascii="Arial" w:cs="Arial" w:eastAsia="Arial" w:hAnsi="Arial"/>
          <w:sz w:val="19"/>
          <w:szCs w:val="19"/>
          <w:color w:val="auto"/>
        </w:rPr>
        <w:t>The aggregate market value of the voting stock held by nonaffiliates of the Registrant was approximately $43.6 billion at June 30, 2012.</w:t>
      </w:r>
    </w:p>
    <w:p>
      <w:pPr>
        <w:spacing w:after="0" w:line="80" w:lineRule="exact"/>
        <w:rPr>
          <w:sz w:val="24"/>
          <w:szCs w:val="24"/>
          <w:color w:val="auto"/>
        </w:rPr>
      </w:pPr>
    </w:p>
    <w:p>
      <w:pPr>
        <w:jc w:val="right"/>
        <w:ind w:right="4180"/>
        <w:spacing w:after="0"/>
        <w:rPr>
          <w:sz w:val="20"/>
          <w:szCs w:val="20"/>
          <w:color w:val="auto"/>
        </w:rPr>
      </w:pPr>
      <w:r>
        <w:rPr>
          <w:rFonts w:ascii="Arial" w:cs="Arial" w:eastAsia="Arial" w:hAnsi="Arial"/>
          <w:sz w:val="19"/>
          <w:szCs w:val="19"/>
          <w:color w:val="auto"/>
        </w:rPr>
        <w:t>There were 783,787,893 shares of Common Stock outstanding at January 25, 2013.</w:t>
      </w:r>
    </w:p>
    <w:p>
      <w:pPr>
        <w:spacing w:after="0" w:line="106" w:lineRule="exact"/>
        <w:rPr>
          <w:sz w:val="24"/>
          <w:szCs w:val="24"/>
          <w:color w:val="auto"/>
        </w:rPr>
      </w:pPr>
    </w:p>
    <w:p>
      <w:pPr>
        <w:jc w:val="right"/>
        <w:ind w:right="4040"/>
        <w:spacing w:after="0"/>
        <w:rPr>
          <w:sz w:val="20"/>
          <w:szCs w:val="20"/>
          <w:color w:val="auto"/>
        </w:rPr>
      </w:pPr>
      <w:r>
        <w:rPr>
          <w:rFonts w:ascii="Arial" w:cs="Arial" w:eastAsia="Arial" w:hAnsi="Arial"/>
          <w:sz w:val="19"/>
          <w:szCs w:val="19"/>
          <w:u w:val="single" w:color="auto"/>
          <w:color w:val="auto"/>
        </w:rPr>
        <w:t>Documents Incorporated by Reference</w:t>
      </w:r>
    </w:p>
    <w:p>
      <w:pPr>
        <w:spacing w:after="0" w:line="106" w:lineRule="exact"/>
        <w:rPr>
          <w:sz w:val="24"/>
          <w:szCs w:val="24"/>
          <w:color w:val="auto"/>
        </w:rPr>
      </w:pPr>
    </w:p>
    <w:p>
      <w:pPr>
        <w:jc w:val="right"/>
        <w:ind w:right="4000"/>
        <w:spacing w:after="0"/>
        <w:rPr>
          <w:sz w:val="20"/>
          <w:szCs w:val="20"/>
          <w:color w:val="auto"/>
        </w:rPr>
      </w:pPr>
      <w:r>
        <w:rPr>
          <w:rFonts w:ascii="Arial" w:cs="Arial" w:eastAsia="Arial" w:hAnsi="Arial"/>
          <w:sz w:val="19"/>
          <w:szCs w:val="19"/>
          <w:color w:val="auto"/>
        </w:rPr>
        <w:t>Part III: Proxy Statement for Annual Meeting of Shareowners to be held April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757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55880"/>
                    </a:xfrm>
                    <a:prstGeom prst="rect">
                      <a:avLst/>
                    </a:prstGeom>
                    <a:noFill/>
                  </pic:spPr>
                </pic:pic>
              </a:graphicData>
            </a:graphic>
          </wp:anchor>
        </w:drawing>
      </w:r>
    </w:p>
    <w:p>
      <w:pPr>
        <w:sectPr>
          <w:pgSz w:w="11900" w:h="16838" w:orient="portrait"/>
          <w:cols w:equalWidth="0" w:num="1">
            <w:col w:w="11420"/>
          </w:cols>
          <w:pgMar w:left="240" w:top="648"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11"/>
          </w:tcPr>
          <w:p>
            <w:pPr>
              <w:ind w:left="180"/>
              <w:spacing w:after="0"/>
              <w:rPr>
                <w:sz w:val="20"/>
                <w:szCs w:val="20"/>
                <w:color w:val="auto"/>
              </w:rPr>
            </w:pPr>
            <w:r>
              <w:rPr>
                <w:rFonts w:ascii="Arial" w:cs="Arial" w:eastAsia="Arial" w:hAnsi="Arial"/>
                <w:sz w:val="19"/>
                <w:szCs w:val="19"/>
                <w:b w:val="1"/>
                <w:bCs w:val="1"/>
                <w:color w:val="auto"/>
              </w:rPr>
              <w:t>TABLE OF CONTENTS</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Item</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320" w:type="dxa"/>
            <w:vAlign w:val="bottom"/>
          </w:tcPr>
          <w:p>
            <w:pPr>
              <w:spacing w:after="0"/>
              <w:rPr>
                <w:sz w:val="19"/>
                <w:szCs w:val="19"/>
                <w:color w:val="auto"/>
              </w:rPr>
            </w:pPr>
          </w:p>
        </w:tc>
        <w:tc>
          <w:tcPr>
            <w:tcW w:w="8940" w:type="dxa"/>
            <w:vAlign w:val="bottom"/>
            <w:gridSpan w:val="24"/>
          </w:tcPr>
          <w:p>
            <w:pPr>
              <w:spacing w:after="0"/>
              <w:rPr>
                <w:rFonts w:ascii="Arial" w:cs="Arial" w:eastAsia="Arial" w:hAnsi="Arial"/>
                <w:sz w:val="19"/>
                <w:szCs w:val="19"/>
                <w:color w:val="0000EE"/>
              </w:rPr>
            </w:pPr>
            <w:hyperlink w:anchor="page4">
              <w:r>
                <w:rPr>
                  <w:rFonts w:ascii="Arial" w:cs="Arial" w:eastAsia="Arial" w:hAnsi="Arial"/>
                  <w:sz w:val="19"/>
                  <w:szCs w:val="19"/>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9"/>
                <w:szCs w:val="19"/>
                <w:color w:val="auto"/>
              </w:rPr>
              <w:t>1A.</w:t>
            </w: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Borders>
              <w:bottom w:val="single" w:sz="8" w:color="0000EE"/>
            </w:tcBorders>
            <w:gridSpan w:val="5"/>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Risk Factors</w:t>
              </w:r>
            </w:hyperlink>
          </w:p>
        </w:tc>
        <w:tc>
          <w:tcPr>
            <w:tcW w:w="7860" w:type="dxa"/>
            <w:vAlign w:val="bottom"/>
            <w:gridSpan w:val="19"/>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1B.</w:t>
            </w:r>
          </w:p>
        </w:tc>
        <w:tc>
          <w:tcPr>
            <w:tcW w:w="320" w:type="dxa"/>
            <w:vAlign w:val="bottom"/>
          </w:tcPr>
          <w:p>
            <w:pPr>
              <w:spacing w:after="0"/>
              <w:rPr>
                <w:sz w:val="21"/>
                <w:szCs w:val="21"/>
                <w:color w:val="auto"/>
              </w:rPr>
            </w:pPr>
          </w:p>
        </w:tc>
        <w:tc>
          <w:tcPr>
            <w:tcW w:w="2420" w:type="dxa"/>
            <w:vAlign w:val="bottom"/>
            <w:tcBorders>
              <w:bottom w:val="single" w:sz="8" w:color="0000EE"/>
            </w:tcBorders>
            <w:gridSpan w:val="13"/>
          </w:tcPr>
          <w:p>
            <w:pPr>
              <w:spacing w:after="0"/>
              <w:rPr>
                <w:rFonts w:ascii="Arial" w:cs="Arial" w:eastAsia="Arial" w:hAnsi="Arial"/>
                <w:sz w:val="19"/>
                <w:szCs w:val="19"/>
                <w:color w:val="0000EE"/>
              </w:rPr>
            </w:pPr>
            <w:hyperlink w:anchor="page23">
              <w:r>
                <w:rPr>
                  <w:rFonts w:ascii="Arial" w:cs="Arial" w:eastAsia="Arial" w:hAnsi="Arial"/>
                  <w:sz w:val="19"/>
                  <w:szCs w:val="19"/>
                  <w:color w:val="0000EE"/>
                </w:rPr>
                <w:t>Unresolved Staff Comments</w:t>
              </w:r>
            </w:hyperlink>
          </w:p>
        </w:tc>
        <w:tc>
          <w:tcPr>
            <w:tcW w:w="6520" w:type="dxa"/>
            <w:vAlign w:val="bottom"/>
            <w:gridSpan w:val="11"/>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880" w:type="dxa"/>
            <w:vAlign w:val="bottom"/>
            <w:tcBorders>
              <w:bottom w:val="single" w:sz="8" w:color="0000EE"/>
            </w:tcBorders>
            <w:gridSpan w:val="3"/>
          </w:tcPr>
          <w:p>
            <w:pPr>
              <w:spacing w:after="0"/>
              <w:rPr>
                <w:rFonts w:ascii="Arial" w:cs="Arial" w:eastAsia="Arial" w:hAnsi="Arial"/>
                <w:sz w:val="19"/>
                <w:szCs w:val="19"/>
                <w:color w:val="0000EE"/>
                <w:w w:val="99"/>
              </w:rPr>
            </w:pPr>
            <w:hyperlink w:anchor="page23">
              <w:r>
                <w:rPr>
                  <w:rFonts w:ascii="Arial" w:cs="Arial" w:eastAsia="Arial" w:hAnsi="Arial"/>
                  <w:sz w:val="19"/>
                  <w:szCs w:val="19"/>
                  <w:color w:val="0000EE"/>
                  <w:w w:val="99"/>
                </w:rPr>
                <w:t>Properties</w:t>
              </w:r>
            </w:hyperlink>
          </w:p>
        </w:tc>
        <w:tc>
          <w:tcPr>
            <w:tcW w:w="8060" w:type="dxa"/>
            <w:vAlign w:val="bottom"/>
            <w:gridSpan w:val="21"/>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4">
              <w:r>
                <w:rPr>
                  <w:rFonts w:ascii="Arial" w:cs="Arial" w:eastAsia="Arial" w:hAnsi="Arial"/>
                  <w:sz w:val="19"/>
                  <w:szCs w:val="19"/>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4.</w:t>
            </w: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Borders>
              <w:bottom w:val="single" w:sz="8" w:color="0000EE"/>
            </w:tcBorders>
            <w:gridSpan w:val="10"/>
          </w:tcPr>
          <w:p>
            <w:pPr>
              <w:spacing w:after="0"/>
              <w:rPr>
                <w:rFonts w:ascii="Arial" w:cs="Arial" w:eastAsia="Arial" w:hAnsi="Arial"/>
                <w:sz w:val="19"/>
                <w:szCs w:val="19"/>
                <w:color w:val="0000EE"/>
              </w:rPr>
            </w:pPr>
            <w:hyperlink w:anchor="page24">
              <w:r>
                <w:rPr>
                  <w:rFonts w:ascii="Arial" w:cs="Arial" w:eastAsia="Arial" w:hAnsi="Arial"/>
                  <w:sz w:val="19"/>
                  <w:szCs w:val="19"/>
                  <w:color w:val="0000EE"/>
                </w:rPr>
                <w:t>Mine Safety Disclosures</w:t>
              </w:r>
            </w:hyperlink>
          </w:p>
        </w:tc>
        <w:tc>
          <w:tcPr>
            <w:tcW w:w="6860" w:type="dxa"/>
            <w:vAlign w:val="bottom"/>
            <w:gridSpan w:val="14"/>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tcBorders>
              <w:bottom w:val="single" w:sz="8" w:color="0000EE"/>
            </w:tcBorders>
            <w:gridSpan w:val="13"/>
          </w:tcPr>
          <w:p>
            <w:pPr>
              <w:spacing w:after="0" w:line="210" w:lineRule="exact"/>
              <w:rPr>
                <w:rFonts w:ascii="Arial" w:cs="Arial" w:eastAsia="Arial" w:hAnsi="Arial"/>
                <w:sz w:val="19"/>
                <w:szCs w:val="19"/>
                <w:color w:val="0000EE"/>
              </w:rPr>
            </w:pPr>
            <w:hyperlink w:anchor="page25">
              <w:r>
                <w:rPr>
                  <w:rFonts w:ascii="Arial" w:cs="Arial" w:eastAsia="Arial" w:hAnsi="Arial"/>
                  <w:sz w:val="19"/>
                  <w:szCs w:val="19"/>
                  <w:color w:val="0000EE"/>
                </w:rPr>
                <w:t>Executive Officers of the Registrant</w:t>
              </w:r>
            </w:hyperlink>
          </w:p>
        </w:tc>
        <w:tc>
          <w:tcPr>
            <w:tcW w:w="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II.</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6">
              <w:r>
                <w:rPr>
                  <w:rFonts w:ascii="Arial" w:cs="Arial" w:eastAsia="Arial" w:hAnsi="Arial"/>
                  <w:sz w:val="19"/>
                  <w:szCs w:val="19"/>
                  <w:color w:val="0000EE"/>
                </w:rPr>
                <w:t>Market for Registrant’s Common Equity, Related Stockholder Matters and Issuer Purchases of</w:t>
              </w:r>
            </w:hyperlink>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9"/>
                <w:szCs w:val="19"/>
                <w:color w:val="0000EE"/>
              </w:rPr>
            </w:pPr>
            <w:hyperlink w:anchor="page26">
              <w:r>
                <w:rPr>
                  <w:rFonts w:ascii="Arial" w:cs="Arial" w:eastAsia="Arial" w:hAnsi="Arial"/>
                  <w:sz w:val="19"/>
                  <w:szCs w:val="19"/>
                  <w:color w:val="0000EE"/>
                </w:rPr>
                <w:t>Equity Securities</w:t>
              </w:r>
            </w:hyperlink>
          </w:p>
        </w:tc>
        <w:tc>
          <w:tcPr>
            <w:tcW w:w="6260" w:type="dxa"/>
            <w:vAlign w:val="bottom"/>
            <w:tcBorders>
              <w:top w:val="single" w:sz="8" w:color="0000EE"/>
            </w:tcBorders>
            <w:gridSpan w:val="15"/>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6.</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8">
              <w:r>
                <w:rPr>
                  <w:rFonts w:ascii="Arial" w:cs="Arial" w:eastAsia="Arial" w:hAnsi="Arial"/>
                  <w:sz w:val="19"/>
                  <w:szCs w:val="19"/>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7.</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29">
              <w:r>
                <w:rPr>
                  <w:rFonts w:ascii="Arial" w:cs="Arial" w:eastAsia="Arial" w:hAnsi="Arial"/>
                  <w:sz w:val="19"/>
                  <w:szCs w:val="19"/>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7A.</w:t>
            </w:r>
          </w:p>
        </w:tc>
        <w:tc>
          <w:tcPr>
            <w:tcW w:w="320" w:type="dxa"/>
            <w:vAlign w:val="bottom"/>
          </w:tcPr>
          <w:p>
            <w:pPr>
              <w:spacing w:after="0"/>
              <w:rPr>
                <w:sz w:val="21"/>
                <w:szCs w:val="21"/>
                <w:color w:val="auto"/>
              </w:rPr>
            </w:pPr>
          </w:p>
        </w:tc>
        <w:tc>
          <w:tcPr>
            <w:tcW w:w="5080" w:type="dxa"/>
            <w:vAlign w:val="bottom"/>
            <w:tcBorders>
              <w:top w:val="single" w:sz="8" w:color="0000EE"/>
              <w:bottom w:val="single" w:sz="8" w:color="0000EE"/>
            </w:tcBorders>
            <w:gridSpan w:val="19"/>
          </w:tcPr>
          <w:p>
            <w:pPr>
              <w:spacing w:after="0"/>
              <w:rPr>
                <w:rFonts w:ascii="Arial" w:cs="Arial" w:eastAsia="Arial" w:hAnsi="Arial"/>
                <w:sz w:val="19"/>
                <w:szCs w:val="19"/>
                <w:color w:val="0000EE"/>
              </w:rPr>
            </w:pPr>
            <w:hyperlink w:anchor="page60">
              <w:r>
                <w:rPr>
                  <w:rFonts w:ascii="Arial" w:cs="Arial" w:eastAsia="Arial" w:hAnsi="Arial"/>
                  <w:sz w:val="19"/>
                  <w:szCs w:val="19"/>
                  <w:color w:val="0000EE"/>
                </w:rPr>
                <w:t>Quantitative and Qualitative Disclosures About Market Risk</w:t>
              </w:r>
            </w:hyperlink>
          </w:p>
        </w:tc>
        <w:tc>
          <w:tcPr>
            <w:tcW w:w="2540" w:type="dxa"/>
            <w:vAlign w:val="bottom"/>
            <w:tcBorders>
              <w:top w:val="single" w:sz="8" w:color="0000EE"/>
            </w:tcBorders>
          </w:tcPr>
          <w:p>
            <w:pPr>
              <w:spacing w:after="0"/>
              <w:rPr>
                <w:sz w:val="21"/>
                <w:szCs w:val="21"/>
                <w:color w:val="auto"/>
              </w:rPr>
            </w:pPr>
          </w:p>
        </w:tc>
        <w:tc>
          <w:tcPr>
            <w:tcW w:w="1320" w:type="dxa"/>
            <w:vAlign w:val="bottom"/>
            <w:gridSpan w:val="4"/>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61">
              <w:r>
                <w:rPr>
                  <w:rFonts w:ascii="Arial" w:cs="Arial" w:eastAsia="Arial" w:hAnsi="Arial"/>
                  <w:sz w:val="19"/>
                  <w:szCs w:val="19"/>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123">
              <w:r>
                <w:rPr>
                  <w:rFonts w:ascii="Arial" w:cs="Arial" w:eastAsia="Arial" w:hAnsi="Arial"/>
                  <w:sz w:val="19"/>
                  <w:szCs w:val="19"/>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9A.</w:t>
            </w:r>
          </w:p>
        </w:tc>
        <w:tc>
          <w:tcPr>
            <w:tcW w:w="320" w:type="dxa"/>
            <w:vAlign w:val="bottom"/>
          </w:tcPr>
          <w:p>
            <w:pPr>
              <w:spacing w:after="0"/>
              <w:rPr>
                <w:sz w:val="21"/>
                <w:szCs w:val="21"/>
                <w:color w:val="auto"/>
              </w:rPr>
            </w:pPr>
          </w:p>
        </w:tc>
        <w:tc>
          <w:tcPr>
            <w:tcW w:w="2160" w:type="dxa"/>
            <w:vAlign w:val="bottom"/>
            <w:tcBorders>
              <w:top w:val="single" w:sz="8" w:color="0000EE"/>
              <w:bottom w:val="single" w:sz="8" w:color="0000EE"/>
            </w:tcBorders>
            <w:gridSpan w:val="12"/>
          </w:tcPr>
          <w:p>
            <w:pPr>
              <w:spacing w:after="0"/>
              <w:rPr>
                <w:rFonts w:ascii="Arial" w:cs="Arial" w:eastAsia="Arial" w:hAnsi="Arial"/>
                <w:sz w:val="19"/>
                <w:szCs w:val="19"/>
                <w:color w:val="0000EE"/>
              </w:rPr>
            </w:pPr>
            <w:hyperlink w:anchor="page123">
              <w:r>
                <w:rPr>
                  <w:rFonts w:ascii="Arial" w:cs="Arial" w:eastAsia="Arial" w:hAnsi="Arial"/>
                  <w:sz w:val="19"/>
                  <w:szCs w:val="19"/>
                  <w:color w:val="0000EE"/>
                </w:rPr>
                <w:t>Controls and Procedures</w:t>
              </w:r>
            </w:hyperlink>
          </w:p>
        </w:tc>
        <w:tc>
          <w:tcPr>
            <w:tcW w:w="5520" w:type="dxa"/>
            <w:vAlign w:val="bottom"/>
            <w:tcBorders>
              <w:top w:val="single" w:sz="8" w:color="0000EE"/>
            </w:tcBorders>
            <w:gridSpan w:val="9"/>
          </w:tcPr>
          <w:p>
            <w:pPr>
              <w:spacing w:after="0"/>
              <w:rPr>
                <w:sz w:val="21"/>
                <w:szCs w:val="21"/>
                <w:color w:val="auto"/>
              </w:rPr>
            </w:pPr>
          </w:p>
        </w:tc>
        <w:tc>
          <w:tcPr>
            <w:tcW w:w="1260" w:type="dxa"/>
            <w:vAlign w:val="bottom"/>
            <w:gridSpan w:val="3"/>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9B.</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124">
              <w:r>
                <w:rPr>
                  <w:rFonts w:ascii="Arial" w:cs="Arial" w:eastAsia="Arial" w:hAnsi="Arial"/>
                  <w:sz w:val="19"/>
                  <w:szCs w:val="19"/>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9"/>
                <w:szCs w:val="19"/>
                <w:color w:val="auto"/>
              </w:rPr>
              <w:t>Part III.</w:t>
            </w:r>
          </w:p>
        </w:tc>
        <w:tc>
          <w:tcPr>
            <w:tcW w:w="600" w:type="dxa"/>
            <w:vAlign w:val="bottom"/>
            <w:gridSpan w:val="2"/>
            <w:vMerge w:val="restart"/>
          </w:tcPr>
          <w:p>
            <w:pPr>
              <w:jc w:val="right"/>
              <w:spacing w:after="0"/>
              <w:rPr>
                <w:sz w:val="20"/>
                <w:szCs w:val="20"/>
                <w:color w:val="auto"/>
              </w:rPr>
            </w:pPr>
            <w:r>
              <w:rPr>
                <w:rFonts w:ascii="Arial" w:cs="Arial" w:eastAsia="Arial" w:hAnsi="Arial"/>
                <w:sz w:val="19"/>
                <w:szCs w:val="19"/>
                <w:color w:val="auto"/>
              </w:rPr>
              <w:t>10.</w:t>
            </w: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4240" w:type="dxa"/>
            <w:vAlign w:val="bottom"/>
            <w:tcBorders>
              <w:bottom w:val="single" w:sz="8" w:color="0000EE"/>
            </w:tcBorders>
            <w:gridSpan w:val="18"/>
          </w:tcPr>
          <w:p>
            <w:pPr>
              <w:spacing w:after="0"/>
              <w:rPr>
                <w:rFonts w:ascii="Arial" w:cs="Arial" w:eastAsia="Arial" w:hAnsi="Arial"/>
                <w:sz w:val="19"/>
                <w:szCs w:val="19"/>
                <w:color w:val="0000EE"/>
              </w:rPr>
            </w:pPr>
            <w:hyperlink w:anchor="page124">
              <w:r>
                <w:rPr>
                  <w:rFonts w:ascii="Arial" w:cs="Arial" w:eastAsia="Arial" w:hAnsi="Arial"/>
                  <w:sz w:val="19"/>
                  <w:szCs w:val="19"/>
                  <w:color w:val="0000EE"/>
                </w:rPr>
                <w:t>Directors and Executive Officers of the Registrant</w:t>
              </w:r>
            </w:hyperlink>
          </w:p>
        </w:tc>
        <w:tc>
          <w:tcPr>
            <w:tcW w:w="4700" w:type="dxa"/>
            <w:vAlign w:val="bottom"/>
            <w:gridSpan w:val="6"/>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11.</w:t>
            </w:r>
          </w:p>
        </w:tc>
        <w:tc>
          <w:tcPr>
            <w:tcW w:w="320" w:type="dxa"/>
            <w:vAlign w:val="bottom"/>
          </w:tcPr>
          <w:p>
            <w:pPr>
              <w:spacing w:after="0"/>
              <w:rPr>
                <w:sz w:val="21"/>
                <w:szCs w:val="21"/>
                <w:color w:val="auto"/>
              </w:rPr>
            </w:pPr>
          </w:p>
        </w:tc>
        <w:tc>
          <w:tcPr>
            <w:tcW w:w="2160" w:type="dxa"/>
            <w:vAlign w:val="bottom"/>
            <w:tcBorders>
              <w:bottom w:val="single" w:sz="8" w:color="0000EE"/>
            </w:tcBorders>
            <w:gridSpan w:val="12"/>
          </w:tcPr>
          <w:p>
            <w:pPr>
              <w:spacing w:after="0"/>
              <w:rPr>
                <w:rFonts w:ascii="Arial" w:cs="Arial" w:eastAsia="Arial" w:hAnsi="Arial"/>
                <w:sz w:val="19"/>
                <w:szCs w:val="19"/>
                <w:color w:val="0000EE"/>
              </w:rPr>
            </w:pPr>
            <w:hyperlink w:anchor="page124">
              <w:r>
                <w:rPr>
                  <w:rFonts w:ascii="Arial" w:cs="Arial" w:eastAsia="Arial" w:hAnsi="Arial"/>
                  <w:sz w:val="19"/>
                  <w:szCs w:val="19"/>
                  <w:color w:val="0000EE"/>
                </w:rPr>
                <w:t>Executive Compensation</w:t>
              </w:r>
            </w:hyperlink>
          </w:p>
        </w:tc>
        <w:tc>
          <w:tcPr>
            <w:tcW w:w="6780" w:type="dxa"/>
            <w:vAlign w:val="bottom"/>
            <w:gridSpan w:val="1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12.</w:t>
            </w:r>
          </w:p>
        </w:tc>
        <w:tc>
          <w:tcPr>
            <w:tcW w:w="320" w:type="dxa"/>
            <w:vAlign w:val="bottom"/>
          </w:tcPr>
          <w:p>
            <w:pPr>
              <w:spacing w:after="0"/>
              <w:rPr>
                <w:sz w:val="19"/>
                <w:szCs w:val="19"/>
                <w:color w:val="auto"/>
              </w:rPr>
            </w:pPr>
          </w:p>
        </w:tc>
        <w:tc>
          <w:tcPr>
            <w:tcW w:w="8940" w:type="dxa"/>
            <w:vAlign w:val="bottom"/>
            <w:gridSpan w:val="24"/>
          </w:tcPr>
          <w:p>
            <w:pPr>
              <w:spacing w:after="0"/>
              <w:rPr>
                <w:rFonts w:ascii="Arial" w:cs="Arial" w:eastAsia="Arial" w:hAnsi="Arial"/>
                <w:sz w:val="19"/>
                <w:szCs w:val="19"/>
                <w:color w:val="0000EE"/>
              </w:rPr>
            </w:pPr>
            <w:hyperlink w:anchor="page124">
              <w:r>
                <w:rPr>
                  <w:rFonts w:ascii="Arial" w:cs="Arial" w:eastAsia="Arial" w:hAnsi="Arial"/>
                  <w:sz w:val="19"/>
                  <w:szCs w:val="19"/>
                  <w:color w:val="0000EE"/>
                </w:rPr>
                <w:t>Security Ownership of Certain Beneficial Owners and Management and Related Stockholder</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w w:val="97"/>
              </w:rPr>
            </w:pPr>
            <w:hyperlink w:anchor="page124">
              <w:r>
                <w:rPr>
                  <w:rFonts w:ascii="Arial" w:cs="Arial" w:eastAsia="Arial" w:hAnsi="Arial"/>
                  <w:sz w:val="19"/>
                  <w:szCs w:val="19"/>
                  <w:color w:val="0000EE"/>
                  <w:w w:val="97"/>
                </w:rPr>
                <w:t>Matters</w:t>
              </w:r>
            </w:hyperlink>
          </w:p>
        </w:tc>
        <w:tc>
          <w:tcPr>
            <w:tcW w:w="6920" w:type="dxa"/>
            <w:vAlign w:val="bottom"/>
            <w:tcBorders>
              <w:top w:val="single" w:sz="8" w:color="0000EE"/>
            </w:tcBorders>
            <w:gridSpan w:val="18"/>
          </w:tcPr>
          <w:p>
            <w:pPr>
              <w:spacing w:after="0"/>
              <w:rPr>
                <w:sz w:val="17"/>
                <w:szCs w:val="17"/>
                <w:color w:val="auto"/>
              </w:rPr>
            </w:pPr>
          </w:p>
        </w:tc>
        <w:tc>
          <w:tcPr>
            <w:tcW w:w="10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320" w:type="dxa"/>
            <w:vAlign w:val="bottom"/>
          </w:tcPr>
          <w:p>
            <w:pPr>
              <w:spacing w:after="0"/>
              <w:rPr>
                <w:sz w:val="21"/>
                <w:szCs w:val="21"/>
                <w:color w:val="auto"/>
              </w:rPr>
            </w:pPr>
          </w:p>
        </w:tc>
        <w:tc>
          <w:tcPr>
            <w:tcW w:w="4100" w:type="dxa"/>
            <w:vAlign w:val="bottom"/>
            <w:tcBorders>
              <w:bottom w:val="single" w:sz="8" w:color="0000EE"/>
            </w:tcBorders>
            <w:gridSpan w:val="17"/>
          </w:tcPr>
          <w:p>
            <w:pPr>
              <w:spacing w:after="0"/>
              <w:rPr>
                <w:rFonts w:ascii="Arial" w:cs="Arial" w:eastAsia="Arial" w:hAnsi="Arial"/>
                <w:sz w:val="19"/>
                <w:szCs w:val="19"/>
                <w:color w:val="0000EE"/>
              </w:rPr>
            </w:pPr>
            <w:hyperlink w:anchor="page127">
              <w:r>
                <w:rPr>
                  <w:rFonts w:ascii="Arial" w:cs="Arial" w:eastAsia="Arial" w:hAnsi="Arial"/>
                  <w:sz w:val="19"/>
                  <w:szCs w:val="19"/>
                  <w:color w:val="0000EE"/>
                </w:rPr>
                <w:t>Certain Relationships and Related Transactions</w:t>
              </w:r>
            </w:hyperlink>
          </w:p>
        </w:tc>
        <w:tc>
          <w:tcPr>
            <w:tcW w:w="4840" w:type="dxa"/>
            <w:vAlign w:val="bottom"/>
            <w:gridSpan w:val="7"/>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14.</w:t>
            </w:r>
          </w:p>
        </w:tc>
        <w:tc>
          <w:tcPr>
            <w:tcW w:w="320" w:type="dxa"/>
            <w:vAlign w:val="bottom"/>
          </w:tcPr>
          <w:p>
            <w:pPr>
              <w:spacing w:after="0"/>
              <w:rPr>
                <w:sz w:val="21"/>
                <w:szCs w:val="21"/>
                <w:color w:val="auto"/>
              </w:rPr>
            </w:pPr>
          </w:p>
        </w:tc>
        <w:tc>
          <w:tcPr>
            <w:tcW w:w="3420" w:type="dxa"/>
            <w:vAlign w:val="bottom"/>
            <w:tcBorders>
              <w:bottom w:val="single" w:sz="8" w:color="0000EE"/>
            </w:tcBorders>
            <w:gridSpan w:val="14"/>
          </w:tcPr>
          <w:p>
            <w:pPr>
              <w:spacing w:after="0"/>
              <w:rPr>
                <w:rFonts w:ascii="Arial" w:cs="Arial" w:eastAsia="Arial" w:hAnsi="Arial"/>
                <w:sz w:val="19"/>
                <w:szCs w:val="19"/>
                <w:color w:val="0000EE"/>
              </w:rPr>
            </w:pPr>
            <w:hyperlink w:anchor="page127">
              <w:r>
                <w:rPr>
                  <w:rFonts w:ascii="Arial" w:cs="Arial" w:eastAsia="Arial" w:hAnsi="Arial"/>
                  <w:sz w:val="19"/>
                  <w:szCs w:val="19"/>
                  <w:color w:val="0000EE"/>
                </w:rPr>
                <w:t>Principal Accounting Fees and Services</w:t>
              </w:r>
            </w:hyperlink>
          </w:p>
        </w:tc>
        <w:tc>
          <w:tcPr>
            <w:tcW w:w="5520" w:type="dxa"/>
            <w:vAlign w:val="bottom"/>
            <w:gridSpan w:val="10"/>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Part IV.</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15.</w:t>
            </w:r>
          </w:p>
        </w:tc>
        <w:tc>
          <w:tcPr>
            <w:tcW w:w="3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9"/>
                <w:szCs w:val="19"/>
                <w:color w:val="0000EE"/>
              </w:rPr>
            </w:pPr>
            <w:hyperlink w:anchor="page127">
              <w:r>
                <w:rPr>
                  <w:rFonts w:ascii="Arial" w:cs="Arial" w:eastAsia="Arial" w:hAnsi="Arial"/>
                  <w:sz w:val="19"/>
                  <w:szCs w:val="19"/>
                  <w:color w:val="0000EE"/>
                </w:rPr>
                <w:t>Exhibits and Financial Statement Schedules</w:t>
              </w:r>
            </w:hyperlink>
          </w:p>
        </w:tc>
        <w:tc>
          <w:tcPr>
            <w:tcW w:w="400" w:type="dxa"/>
            <w:vAlign w:val="bottom"/>
          </w:tcPr>
          <w:p>
            <w:pPr>
              <w:jc w:val="right"/>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Borders>
              <w:bottom w:val="single" w:sz="8" w:color="0000EE"/>
            </w:tcBorders>
          </w:tcPr>
          <w:p>
            <w:pPr>
              <w:spacing w:after="0" w:line="204" w:lineRule="exact"/>
              <w:rPr>
                <w:rFonts w:ascii="Arial" w:cs="Arial" w:eastAsia="Arial" w:hAnsi="Arial"/>
                <w:sz w:val="19"/>
                <w:szCs w:val="19"/>
                <w:color w:val="0000EE"/>
                <w:w w:val="99"/>
              </w:rPr>
            </w:pPr>
            <w:hyperlink w:anchor="page128">
              <w:r>
                <w:rPr>
                  <w:rFonts w:ascii="Arial" w:cs="Arial" w:eastAsia="Arial" w:hAnsi="Arial"/>
                  <w:sz w:val="19"/>
                  <w:szCs w:val="19"/>
                  <w:color w:val="0000EE"/>
                  <w:w w:val="99"/>
                </w:rPr>
                <w:t>Signatures</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line="216" w:lineRule="exact"/>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74"/>
        </w:trPr>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PART I.</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147" w:lineRule="exact"/>
        <w:rPr>
          <w:sz w:val="20"/>
          <w:szCs w:val="20"/>
          <w:color w:val="auto"/>
        </w:rPr>
      </w:pPr>
    </w:p>
    <w:p>
      <w:pPr>
        <w:ind w:right="220" w:firstLine="357"/>
        <w:spacing w:after="0" w:line="241" w:lineRule="auto"/>
        <w:rPr>
          <w:sz w:val="20"/>
          <w:szCs w:val="20"/>
          <w:color w:val="auto"/>
        </w:rPr>
      </w:pPr>
      <w:r>
        <w:rPr>
          <w:rFonts w:ascii="Arial" w:cs="Arial" w:eastAsia="Arial" w:hAnsi="Arial"/>
          <w:sz w:val="19"/>
          <w:szCs w:val="19"/>
          <w:color w:val="auto"/>
        </w:rPr>
        <w:t>Honeywell International Inc. (Honeywell) is a diversified technology and manufacturing company, serving customers worldwide with aerospace products and services, control, sensing and security technologies for buildings, homes and industry, turbochargers, automotive products, specialty chemicals, electronic and advanced materials, process technology for refining and petrochemicals, and energy efficient products and solutions for homes, business and transportation. Honeywell was incorporated in Delaware in 1985.</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2013 Annual Meeting of Stockholders, which we expect to file with the SEC on or about March 7, 2013, and which will also be available free of charge on our website.</w:t>
      </w:r>
    </w:p>
    <w:p>
      <w:pPr>
        <w:spacing w:after="0" w:line="94"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Information relating to corporate governance at Honeywell, including Honeywell’s Code of Business Conduct, Corporate Governance Guidelines and Charters of the Committees of the Board of Directors are also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Businesses</w:t>
      </w:r>
    </w:p>
    <w:p>
      <w:pPr>
        <w:spacing w:after="0" w:line="130" w:lineRule="exact"/>
        <w:rPr>
          <w:sz w:val="20"/>
          <w:szCs w:val="20"/>
          <w:color w:val="auto"/>
        </w:rPr>
      </w:pPr>
    </w:p>
    <w:p>
      <w:pPr>
        <w:ind w:right="480" w:firstLine="357"/>
        <w:spacing w:after="0" w:line="242" w:lineRule="auto"/>
        <w:rPr>
          <w:sz w:val="20"/>
          <w:szCs w:val="20"/>
          <w:color w:val="auto"/>
        </w:rPr>
      </w:pPr>
      <w:r>
        <w:rPr>
          <w:rFonts w:ascii="Arial" w:cs="Arial" w:eastAsia="Arial" w:hAnsi="Arial"/>
          <w:sz w:val="19"/>
          <w:szCs w:val="19"/>
          <w:color w:val="auto"/>
        </w:rPr>
        <w:t>We globally manage our business operations through four businesses that are reported as operating segments: Aerospace, Automation and Control Solutions, Performance Materials and Technologies, and Transportation Systems. Financial information related to our operating segments is included in Note 24 of Notes to Financial Statements in “Item 8. Financial Statements and Supplementary Data.”</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major products/services, customers/uses and key competitors of each of our operating segments follows: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30"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Our Aerospace segment is a leading global provider of integrated avionics, engines, systems and service solutions for aircraft manufacturers, airlines, business and general aviation, military, space and airport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Turbine propulsion engines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TFE731 turbofan</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Business, regional, and</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Rolls Royce/Allison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TFE1042 turbofan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general aviation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Turbomeca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ATF3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helicopters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F125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Williams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F124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helicopters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ALF502 turbofan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trainer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LF507 turbofan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CFE738 turbofan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HTF 7000 turbofan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T53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T55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CTS800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HTS900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LT101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TPE 331 turboprop</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AGT1500 turboshaft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Auxiliary power units (APUs)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Airborne auxiliary power</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units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Jet fuel starters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Secondary power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Ground power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Ground power units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Environmental control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Air management 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Auxilec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Air conditioning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Barber Colman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Bleed air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Dukes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Cabin pressure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Ground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Eaton-Vickers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Air purification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Spacecraft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260"/>
              <w:spacing w:after="0" w:line="176" w:lineRule="exact"/>
              <w:rPr>
                <w:sz w:val="20"/>
                <w:szCs w:val="20"/>
                <w:color w:val="auto"/>
              </w:rPr>
            </w:pPr>
            <w:r>
              <w:rPr>
                <w:rFonts w:ascii="Arial" w:cs="Arial" w:eastAsia="Arial" w:hAnsi="Arial"/>
                <w:sz w:val="16"/>
                <w:szCs w:val="16"/>
                <w:color w:val="auto"/>
              </w:rPr>
              <w:t>treatment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Liebherr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Processing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Pacific Scientific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Heat Exchangers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Parker Hannifin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TAT</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United Technologies</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Electric power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Generators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Power distribution &amp; control</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Safran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Power conditioning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Repair, overhaul and spare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and military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parts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helicopters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Military vehicles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Engine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Electronic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 Controls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accessories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hydromechanical</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Parker Hannifin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fuel controls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Engine start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Electronic engine controls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Sensors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Valves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Electric and pneumatic</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power generation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Thrust reverser actuation,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pneumatic and electric</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Avionics, displays, flight guidance</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Flight data and cockpit voice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business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and flight management systems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recorders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Boeing/Jeppesen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Integrated avionics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Government aviation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Garmin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Flight management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Cockpit display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Kaiser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Data management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aircraft performance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Lockheed Martin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monitoring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Aircraft information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 Collins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Network file servers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Thales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Wireless network</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Trimble/Terra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transceivers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Weather information network</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Avionics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Navigation database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Weather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information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Cabin management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Vibration detection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monitoring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Mission management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Tactical data management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Maintenance and health</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monitoring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Flight control and autopilot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systems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Radios, radar, navigation</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Flight safety 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business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communication, datalink safety</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Enhanced Ground Proximity</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general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Boeing/Jeppesen</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systems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Warning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Government aviation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Garmin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(EGPWS)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Traffic Alert and Collision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Kaiser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Avoidance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(TCAS)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Lockheed Martin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Windshear detection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 Collins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Weather radar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Thales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Communication, navigation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Trimble/Terra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surveillance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Navigation and guidance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Avionics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Universal Weather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Global positioning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Satellite systems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Aircraft lighting</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Interior and exterior</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Hella/United</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aircraft lighting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business, helicopter and</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military aviation 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LSI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(operators, OEMs, parts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Luminator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distributors and MRO</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Whelen</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service providers)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Inertial sensor</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Inertial sensor systems for</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Military and commercial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Astronautics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guidance, stabilization,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vehicles</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Kearfott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navigation and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spacecraft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Gyroscopes, accelerometers,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launch vehicles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inertial measurement units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Transportation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General Electric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thermal switches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Powered, guided munitions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Attitude and heading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Munitions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KVH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reference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United Technologies</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Control products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Radar altimeters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Military aircraft</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Pressure products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Powered, guided munitions,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 data products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UAVs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Rockwell Collins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Thermal switches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applications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Rosemount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Magnetic sensors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regional,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business aircraft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Space products and subsystems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Guidance subsystems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and military</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Control subsystems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spacecraft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Ithaco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Processing subsystems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L3</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Radiation hardened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FAA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Northrop Grumman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electronics and integrated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NASA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Raytheon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circuits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GPS-based range safety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Gyroscopes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Management and technical services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Maintenance/operation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U.S. government space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Bechtel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provision of space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(NASA)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Boeing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 services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DoD (logistics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Computer Sciences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facilities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information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Dyncorp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Systems engineering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FAA</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Exelis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integration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Lockheed Martin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Information technology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governments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Raytheon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space ground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Logistics and sustainment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segment systems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The Washington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Group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Space</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Alliance</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Landing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Wheels and brakes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Commercial airline, regional,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Meggitt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Wheel and brake repair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business and military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Messier-Bugatti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overhaul services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aircraft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USAF, DoD, DoE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Boeing, Airbus, Lockheed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Martin</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w:t>
      </w:r>
    </w:p>
    <w:p>
      <w:pPr>
        <w:spacing w:after="0" w:line="130"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Our Automation and Control Solutions segment is a leading global provider of environmental and combustion controls, sensing controls, security and life safety products and services, scanning and mobility devices and process automation and building solutions and services for homes, buildings and industrial facilities.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Environmental and combustion</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Heating, ventilating</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Original equipment</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Bosch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controls; sensing controls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air conditioning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Cherry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controls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Danfoss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components for homes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Eaton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buildings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Contractors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Emerson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Indoor air quality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Endress &amp; Hauser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products including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System integrators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Freescale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zoning, air cleaners,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Semiconductor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humidification,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customers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heat and energy</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homeowners served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Holmes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recovery ventilators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by the distributor,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Controls plus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wholesaler,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Johnson Controls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integrated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contractor, retail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Omron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electronic systems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utility channels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Schneider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for burners, boilers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Package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furnaces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materials handling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Consumer household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operations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Yamatake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products including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Appliance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Measurement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humidifiers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Specialties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thermostats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Transportation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Electrical devices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switches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Aviation 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Water controls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Food and beverage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Sensors,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processors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measurement,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Medical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control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Heat treat processors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industrial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Computer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components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business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Energy demand/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response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management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products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services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Security and life</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Security products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Axis Communications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safety products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home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Bosch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and services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Draeger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Fire products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Hikvision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customers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Hubbell Inc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Access controls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homeowners served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Mine Safety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closed circuit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by the the</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Appliances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television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distributor,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Schneider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Home health</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wholesaler,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Phillips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monitoring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contractor, retail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Riken Keiki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nurse call systems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utility channels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detection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Health care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Tyco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products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organizations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Tri Ed/Northern Video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Security monitoring</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Distribution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Emergency lighting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service providers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Distribution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Industrial, fire service,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3M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Personal protection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utility distributors,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equipment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data centers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telecommunication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companies and U.S.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Government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Scanning and mobility</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Hand held and hands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OEMs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Bluebird Soft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free image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Retailers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Code Corporation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laser based bar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Distributors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Datalogic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code scanners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Commercial customers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Intermec, Inc.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Scan engines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served by the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Iridium Vars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Rugged mobile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transportation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Lucas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wireless computers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logistics,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Motorola Solutions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for use in hand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Skywave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held and vehicle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healthcare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Tsi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mount applications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retail, warehousing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Satellite tracking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ports industries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hardware, airtime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Security, logistics,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maritime customers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applications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for: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Search &amp; Rescue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the tracking of</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ground stations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vehicles, containers,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 software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ships,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personnel in remote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environments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National organizations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that monitor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distress signals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from aircraft, ships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individuals,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typically military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branches and coast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guards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1" w:right="239" w:bottom="762"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Process automation</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Advanced control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Refining and</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ABB</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products and</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software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petrochemical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AspenTech</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solutions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industrial</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companies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Emerson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automation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Chemical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for control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monitoring of</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Oil and gas producers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Yokogawa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continuous, batch</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Food and beverage processors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hybrid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Pharmaceutical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operations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companies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Production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Utilities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management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Film and coated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software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producers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Communications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Pulp and paper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 for</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industry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Industrial Control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Continuous web</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equipment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producers in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the paper, plastics,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Consulting, networking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metals, rubber,</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engineering and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non-wovens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installation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printing industries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Terminal automation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Mining and mineral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solutions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industries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 control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Field 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Analytical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instrumentation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Recorders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controllers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Critical environment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control solutions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services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Aftermarket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maintenance,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repair and upgrade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Gas control,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measurement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analyzing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equipment</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Building solutions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HVAC and building</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Building managers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Ameresco</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control solutions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owners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Chevron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Contractors, architects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GroupMac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Energy management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developers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Ingersoll Rand</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solutions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Consulting engineers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Invensys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 including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Security directors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Johnson Controls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demand response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Plant managers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contractors and</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automation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Utilities</w:t>
            </w: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utilities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Security and asset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Large global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Safegate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management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corporations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Schneider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solutions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Public school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Siemens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Universities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Trane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Enterprise building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Local governments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Thorn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integration solutions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Public housing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United Technologies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Building information</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agencies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Airports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Airport lighting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systems, visual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docking guidance</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systems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13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Our Performance Materials and Technologies segment is a global leader in providing customers with leading technologies and high-performance materials, including hydrocarbon processing technologies, catalysts, adsorbents, equipment and services, fluorine products, specialty films and additives, advanced fibers and composites, intermediates, specialty chemicals, electronic materials and chemicals.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Resins &amp; chemicals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Nylon 6 polymer</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Nylon for carpet</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Caprolactam</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fibers, engineered resins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Ammonium</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flexible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INEOS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sulfate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Mitsui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Phenol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Fertilizer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Polimeri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Acetone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Resins – Phenolic,</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Sinopec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Cyclohexanone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Epoxy,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UBE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MEKO</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Polycarbonate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Shell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Chemical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intermediates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Paints, Coatings,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Laquers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Hydrofluoric</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Anhydrous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Fluorocarbons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Mexichem Fluor</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acid (HF)</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aqueous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Metals processing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Solvay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hydrofluoric acid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Oil refining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Chemical intermediates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Semiconductors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Photovoltaics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41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147955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Fluorochemicals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Refrigerants,</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Refrigeration</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Asahi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aerosol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Stationary air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Arkema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insulation foam</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conditioning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Daikin</w:t>
            </w:r>
          </w:p>
        </w:tc>
      </w:tr>
      <w:tr>
        <w:trPr>
          <w:trHeight w:val="164"/>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ind w:left="120"/>
              <w:spacing w:after="0" w:line="164" w:lineRule="exact"/>
              <w:rPr>
                <w:sz w:val="20"/>
                <w:szCs w:val="20"/>
                <w:color w:val="auto"/>
              </w:rPr>
            </w:pPr>
            <w:r>
              <w:rPr>
                <w:rFonts w:ascii="Arial" w:cs="Arial" w:eastAsia="Arial" w:hAnsi="Arial"/>
                <w:sz w:val="16"/>
                <w:szCs w:val="16"/>
                <w:color w:val="auto"/>
              </w:rPr>
              <w:t>blowing agents</w:t>
            </w:r>
          </w:p>
        </w:tc>
        <w:tc>
          <w:tcPr>
            <w:tcW w:w="300" w:type="dxa"/>
            <w:vAlign w:val="bottom"/>
          </w:tcPr>
          <w:p>
            <w:pPr>
              <w:spacing w:after="0"/>
              <w:rPr>
                <w:sz w:val="14"/>
                <w:szCs w:val="14"/>
                <w:color w:val="auto"/>
              </w:rPr>
            </w:pPr>
          </w:p>
        </w:tc>
        <w:tc>
          <w:tcPr>
            <w:tcW w:w="2620" w:type="dxa"/>
            <w:vAlign w:val="bottom"/>
          </w:tcPr>
          <w:p>
            <w:pPr>
              <w:ind w:left="20"/>
              <w:spacing w:after="0" w:line="164" w:lineRule="exact"/>
              <w:rPr>
                <w:sz w:val="20"/>
                <w:szCs w:val="20"/>
                <w:color w:val="auto"/>
              </w:rPr>
            </w:pPr>
            <w:r>
              <w:rPr>
                <w:rFonts w:ascii="Arial" w:cs="Arial" w:eastAsia="Arial" w:hAnsi="Arial"/>
                <w:sz w:val="16"/>
                <w:szCs w:val="16"/>
                <w:color w:val="auto"/>
              </w:rPr>
              <w:t>Automotive air</w:t>
            </w:r>
          </w:p>
        </w:tc>
        <w:tc>
          <w:tcPr>
            <w:tcW w:w="300" w:type="dxa"/>
            <w:vAlign w:val="bottom"/>
          </w:tcPr>
          <w:p>
            <w:pPr>
              <w:spacing w:after="0"/>
              <w:rPr>
                <w:sz w:val="14"/>
                <w:szCs w:val="14"/>
                <w:color w:val="auto"/>
              </w:rPr>
            </w:pPr>
          </w:p>
        </w:tc>
        <w:tc>
          <w:tcPr>
            <w:tcW w:w="2620" w:type="dxa"/>
            <w:vAlign w:val="bottom"/>
          </w:tcPr>
          <w:p>
            <w:pPr>
              <w:ind w:left="20"/>
              <w:spacing w:after="0" w:line="164" w:lineRule="exact"/>
              <w:rPr>
                <w:sz w:val="20"/>
                <w:szCs w:val="20"/>
                <w:color w:val="auto"/>
              </w:rPr>
            </w:pPr>
            <w:r>
              <w:rPr>
                <w:rFonts w:ascii="Arial" w:cs="Arial" w:eastAsia="Arial" w:hAnsi="Arial"/>
                <w:sz w:val="16"/>
                <w:szCs w:val="16"/>
                <w:color w:val="auto"/>
              </w:rPr>
              <w:t>Dupont</w:t>
            </w:r>
          </w:p>
        </w:tc>
      </w:tr>
      <w:tr>
        <w:trPr>
          <w:trHeight w:val="187"/>
        </w:trPr>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Solsticeä refrigerants,</w:t>
            </w:r>
          </w:p>
        </w:tc>
        <w:tc>
          <w:tcPr>
            <w:tcW w:w="300" w:type="dxa"/>
            <w:vAlign w:val="bottom"/>
          </w:tcPr>
          <w:p>
            <w:pPr>
              <w:spacing w:after="0"/>
              <w:rPr>
                <w:sz w:val="16"/>
                <w:szCs w:val="16"/>
                <w:color w:val="auto"/>
              </w:rPr>
            </w:pPr>
          </w:p>
        </w:tc>
        <w:tc>
          <w:tcPr>
            <w:tcW w:w="2620" w:type="dxa"/>
            <w:vAlign w:val="bottom"/>
          </w:tcPr>
          <w:p>
            <w:pPr>
              <w:ind w:left="140"/>
              <w:spacing w:after="0"/>
              <w:rPr>
                <w:sz w:val="20"/>
                <w:szCs w:val="20"/>
                <w:color w:val="auto"/>
              </w:rPr>
            </w:pPr>
            <w:r>
              <w:rPr>
                <w:rFonts w:ascii="Arial" w:cs="Arial" w:eastAsia="Arial" w:hAnsi="Arial"/>
                <w:sz w:val="16"/>
                <w:szCs w:val="16"/>
                <w:color w:val="auto"/>
              </w:rPr>
              <w:t>conditioning</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Mexichem Fluor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blowing agents,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Polyurethane foam</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Sinochem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aersols and solvents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Precision cleaning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Solvay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Oxyfume sterilant gases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Optical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3M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Enovate 3000 blowing agent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Appliances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for refrigeration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Hospitals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insulation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Medical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Manufacturers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Nuclear services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UF6 conversion services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Nuclear fuel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Cameco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Comurhex</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Rosatom</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Research and fine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Oxime-based fine chemicals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Agrichemicals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Avecia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Fluoroaromatics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Biotech</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Degussa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High-purity solvents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 Merck</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Lonza</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Thermo Fisher Scientific</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Sigma-Aldrich</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Performance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HF derivatives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Diverse by product type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Atotech</w:t>
            </w: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6"/>
                <w:szCs w:val="16"/>
                <w:color w:val="auto"/>
              </w:rPr>
              <w:t>Imaging chemicals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Fluoroaromatics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6"/>
                <w:szCs w:val="16"/>
                <w:color w:val="auto"/>
              </w:rPr>
              <w:t>Chemical processing</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Catalysts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84"/>
        </w:trPr>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sealants</w:t>
            </w: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Advanced fibers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High modulus polyethylene</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Bullet resistant vests,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DuPont</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&amp; composites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fiber and shield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helmets and other armor</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DSM</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composites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applications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Teijin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Aramid shield composites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Cut-resistant gloves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Rope &amp; cordage</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Healthcare and packaging</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Cast nylon film</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Food and pharmaceutical</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American Biaxis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Bi-axially oriented nylon film</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CFP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Fluoropolymer film</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Daikin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Kolon</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Unitika</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Specialty additives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Polyethylene waxes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Coatings and inks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Paraffin waxes and blends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PVC pipe, siding &amp; profiles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Clariant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PVC lubricant systems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Plastics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Westlake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Processing aids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Reflective coatings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Luminescent</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Safety &amp; security</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pigments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applications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Adhesives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Electronic chemicals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Ultra high-purity HF</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Semiconductors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Inorganic acids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Photovoltaics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KMG</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Hi-purity solvents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Semiconductor materials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Interconnect-dielectrics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Semiconductors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BASF</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and services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Interconnect-metals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Microelectronics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Brewer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Semiconductor packaging</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Telecommunications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Dow</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materials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LED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Nikko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Advanced polymers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Photovoltaics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Praxair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Anti-reflective coatings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Shinko</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Thermo-couples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Tosoh</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Catalysts, adsorbents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Catalysts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Petroleum, refining,</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Axens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specialties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Molecular sieves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petrochemical industry,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Albemarle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Adsorbents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gas processing industry</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Chevron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Aluminas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and home, automotive,</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Exxon-Mobil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Customer catalyst</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steel, and medical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Haldor Topsoe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manufacturing industries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Johnson Mathey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Shell/Criterion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Sinopec</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SK</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WR Grace</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Process technology</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Technology licensing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Petroleum refining,</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Axens</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and equipment</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engineering design of</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petrochemical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Chevron Lummus</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process units and systems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Global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Engineered products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Chicago Bridge &amp; Iron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Proprietary equipment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Exxon-Mobil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Training and development of</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Koch Glitsch</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technical personnel</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Linde AG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Natco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Technip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Sinopec</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Shell/SGS</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Renewable fuels and</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Technology licensing of</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Military, refining, fuel oil,</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Dynamotive</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chemicals</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Process, catalysts,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power production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Haldor Topsoe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absorbents,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Kior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Refining equipment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Lurgi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services for producing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Neste Oy</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renewable-based fuels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Syntroleum</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and chemicals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Gas processing and</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Design, engineer,</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Gas processing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Cameron</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hydrogen</w:t>
            </w: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manufacture and install</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hydrogen separation</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Exterran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natural gas processing</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Linde AG</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hydrogen separation</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Lurgi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plants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Optimized Process Design</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Proquip</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Prosep</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Transportation Systems</w:t>
      </w:r>
    </w:p>
    <w:p>
      <w:pPr>
        <w:spacing w:after="0" w:line="130" w:lineRule="exact"/>
        <w:rPr>
          <w:sz w:val="20"/>
          <w:szCs w:val="20"/>
          <w:color w:val="auto"/>
        </w:rPr>
      </w:pPr>
    </w:p>
    <w:p>
      <w:pPr>
        <w:ind w:right="320" w:firstLine="357"/>
        <w:spacing w:after="0" w:line="253" w:lineRule="auto"/>
        <w:rPr>
          <w:sz w:val="20"/>
          <w:szCs w:val="20"/>
          <w:color w:val="auto"/>
        </w:rPr>
      </w:pPr>
      <w:r>
        <w:rPr>
          <w:rFonts w:ascii="Arial" w:cs="Arial" w:eastAsia="Arial" w:hAnsi="Arial"/>
          <w:sz w:val="19"/>
          <w:szCs w:val="19"/>
          <w:color w:val="auto"/>
        </w:rPr>
        <w:t>Our Transportation Systems segment is one of the leading manufacturers of engine boosting systems for passenger cars and commercial vehicles, as well as a leading provider of braking products.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Product/Service Classes</w:t>
            </w:r>
          </w:p>
        </w:tc>
        <w:tc>
          <w:tcPr>
            <w:tcW w:w="32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Major Products/Services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Customers/Uses</w:t>
            </w:r>
          </w:p>
        </w:tc>
        <w:tc>
          <w:tcPr>
            <w:tcW w:w="300" w:type="dxa"/>
            <w:vAlign w:val="bottom"/>
          </w:tcPr>
          <w:p>
            <w:pPr>
              <w:spacing w:after="0"/>
              <w:rPr>
                <w:sz w:val="16"/>
                <w:szCs w:val="16"/>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Competitors</w:t>
            </w:r>
          </w:p>
        </w:tc>
      </w:tr>
      <w:tr>
        <w:trPr>
          <w:trHeight w:val="188"/>
        </w:trPr>
        <w:tc>
          <w:tcPr>
            <w:tcW w:w="2640" w:type="dxa"/>
            <w:vAlign w:val="bottom"/>
          </w:tcPr>
          <w:p>
            <w:pPr>
              <w:ind w:left="20"/>
              <w:spacing w:after="0"/>
              <w:rPr>
                <w:sz w:val="20"/>
                <w:szCs w:val="20"/>
                <w:color w:val="auto"/>
              </w:rPr>
            </w:pPr>
            <w:r>
              <w:rPr>
                <w:rFonts w:ascii="Arial" w:cs="Arial" w:eastAsia="Arial" w:hAnsi="Arial"/>
                <w:sz w:val="16"/>
                <w:szCs w:val="16"/>
                <w:color w:val="auto"/>
              </w:rPr>
              <w:t>Charge-air systems</w:t>
            </w:r>
          </w:p>
        </w:tc>
        <w:tc>
          <w:tcPr>
            <w:tcW w:w="3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Turbochargers for gasoline</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Passenger car, truck and</w:t>
            </w:r>
          </w:p>
        </w:tc>
        <w:tc>
          <w:tcPr>
            <w:tcW w:w="30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Borg-Warner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and diesel engines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off-highway 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Holset</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Engine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IHI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Aftermarket distributors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MHI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dealers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Bosch Mahle</w:t>
            </w: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Continental</w:t>
            </w: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Thermal systems</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Exhaust gas coolers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Passenger car, truck and</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Behr</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Charge-air coolers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off-highway OEMs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Modine</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Aluminum radiators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Engine manufacturers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Valeo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Aluminum cooling modules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Aftermarket distributors and</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dealers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6"/>
                <w:szCs w:val="16"/>
                <w:color w:val="auto"/>
              </w:rPr>
              <w:t>Brake hard parts and other</w:t>
            </w:r>
          </w:p>
        </w:tc>
        <w:tc>
          <w:tcPr>
            <w:tcW w:w="3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Disc brake pads and shoes</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Automotive and heavy</w:t>
            </w:r>
          </w:p>
        </w:tc>
        <w:tc>
          <w:tcPr>
            <w:tcW w:w="3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Akebono</w:t>
            </w:r>
          </w:p>
        </w:tc>
      </w:tr>
      <w:tr>
        <w:trPr>
          <w:trHeight w:val="176"/>
        </w:trPr>
        <w:tc>
          <w:tcPr>
            <w:tcW w:w="2640" w:type="dxa"/>
            <w:vAlign w:val="bottom"/>
          </w:tcPr>
          <w:p>
            <w:pPr>
              <w:ind w:left="160"/>
              <w:spacing w:after="0" w:line="176" w:lineRule="exact"/>
              <w:rPr>
                <w:sz w:val="20"/>
                <w:szCs w:val="20"/>
                <w:color w:val="auto"/>
              </w:rPr>
            </w:pPr>
            <w:r>
              <w:rPr>
                <w:rFonts w:ascii="Arial" w:cs="Arial" w:eastAsia="Arial" w:hAnsi="Arial"/>
                <w:sz w:val="16"/>
                <w:szCs w:val="16"/>
                <w:color w:val="auto"/>
              </w:rPr>
              <w:t>friction materials</w:t>
            </w: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Drum brake linings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vehicle OEMs, OES,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Continental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blocks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brake manufacturers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Federal-Mogul</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Disc and drum brake</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aftermarket channels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ITT Corp</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ind w:left="120"/>
              <w:spacing w:after="0" w:line="176" w:lineRule="exact"/>
              <w:rPr>
                <w:sz w:val="20"/>
                <w:szCs w:val="20"/>
                <w:color w:val="auto"/>
              </w:rPr>
            </w:pPr>
            <w:r>
              <w:rPr>
                <w:rFonts w:ascii="Arial" w:cs="Arial" w:eastAsia="Arial" w:hAnsi="Arial"/>
                <w:sz w:val="16"/>
                <w:szCs w:val="16"/>
                <w:color w:val="auto"/>
              </w:rPr>
              <w:t>components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Installers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JBI</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hydraulic components</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Railway and commercial/</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Nisshinbo</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Brake fluid</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military aircraft OEMs and</w:t>
            </w:r>
          </w:p>
        </w:tc>
        <w:tc>
          <w:tcPr>
            <w:tcW w:w="300" w:type="dxa"/>
            <w:vAlign w:val="bottom"/>
          </w:tcPr>
          <w:p>
            <w:pPr>
              <w:spacing w:after="0"/>
              <w:rPr>
                <w:sz w:val="15"/>
                <w:szCs w:val="15"/>
                <w:color w:val="auto"/>
              </w:rPr>
            </w:pPr>
          </w:p>
        </w:tc>
        <w:tc>
          <w:tcPr>
            <w:tcW w:w="2620" w:type="dxa"/>
            <w:vAlign w:val="bottom"/>
          </w:tcPr>
          <w:p>
            <w:pPr>
              <w:ind w:left="20"/>
              <w:spacing w:after="0" w:line="176" w:lineRule="exact"/>
              <w:rPr>
                <w:sz w:val="20"/>
                <w:szCs w:val="20"/>
                <w:color w:val="auto"/>
              </w:rPr>
            </w:pPr>
            <w:r>
              <w:rPr>
                <w:rFonts w:ascii="Arial" w:cs="Arial" w:eastAsia="Arial" w:hAnsi="Arial"/>
                <w:sz w:val="16"/>
                <w:szCs w:val="16"/>
                <w:color w:val="auto"/>
              </w:rPr>
              <w:t>TRW</w:t>
            </w:r>
          </w:p>
        </w:tc>
      </w:tr>
      <w:tr>
        <w:trPr>
          <w:trHeight w:val="176"/>
        </w:trPr>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line="176" w:lineRule="exact"/>
              <w:rPr>
                <w:sz w:val="20"/>
                <w:szCs w:val="20"/>
                <w:color w:val="auto"/>
              </w:rPr>
            </w:pPr>
            <w:r>
              <w:rPr>
                <w:rFonts w:ascii="Arial" w:cs="Arial" w:eastAsia="Arial" w:hAnsi="Arial"/>
                <w:sz w:val="16"/>
                <w:szCs w:val="16"/>
                <w:color w:val="auto"/>
              </w:rPr>
              <w:t>Aircraft brake linings</w:t>
            </w:r>
          </w:p>
        </w:tc>
        <w:tc>
          <w:tcPr>
            <w:tcW w:w="300" w:type="dxa"/>
            <w:vAlign w:val="bottom"/>
          </w:tcPr>
          <w:p>
            <w:pPr>
              <w:spacing w:after="0"/>
              <w:rPr>
                <w:sz w:val="15"/>
                <w:szCs w:val="15"/>
                <w:color w:val="auto"/>
              </w:rPr>
            </w:pPr>
          </w:p>
        </w:tc>
        <w:tc>
          <w:tcPr>
            <w:tcW w:w="2620" w:type="dxa"/>
            <w:vAlign w:val="bottom"/>
          </w:tcPr>
          <w:p>
            <w:pPr>
              <w:ind w:left="140"/>
              <w:spacing w:after="0" w:line="176" w:lineRule="exact"/>
              <w:rPr>
                <w:sz w:val="20"/>
                <w:szCs w:val="20"/>
                <w:color w:val="auto"/>
              </w:rPr>
            </w:pPr>
            <w:r>
              <w:rPr>
                <w:rFonts w:ascii="Arial" w:cs="Arial" w:eastAsia="Arial" w:hAnsi="Arial"/>
                <w:sz w:val="16"/>
                <w:szCs w:val="16"/>
                <w:color w:val="auto"/>
              </w:rPr>
              <w:t>brake manufacturers</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Railway linings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 Sales</w:t>
      </w:r>
    </w:p>
    <w:p>
      <w:pPr>
        <w:spacing w:after="0" w:line="116"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Our sales to aerospace customers were 32, 31, and 33 percent of our total sales in 2012, 2011 and 2010, respectively. Our sales to commercial aerospace original equipment manufacturers were 7, 6, and 6 percent of our total sales in 2012, 2011 and 2010, respectively. In addition, our sales to commercial aftermarket customers of aerospace products and services were 12, 11, and 11 percent of our total sales in 2012, 2011 and 2010. Our Aerospace results of operations can be impacted by various industry and economic conditions. See “Item 1A. Risk Factors.”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Government Sales</w:t>
      </w:r>
    </w:p>
    <w:p>
      <w:pPr>
        <w:spacing w:after="0" w:line="130"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Sales to the U.S. Government (principally by our Aerospace segment), acting through its various departments and agencies and through prime contractors, amounted to $ 4,109, $4,276 and $4,354 million in 2012, 2011 and 2010, respectively, which included sales to the U.S. Department of Defense, as a prime contractor and subcontractor, of $3,273, $3,374 and $3,500 million in 2012, 2011 and 2010, respectively. Base U.S. defense spending (excludes Overseas Contingent Operations) was essentially flat in 2012 compared to 2011 (see Item 7 Management’s Discussion and Analysis of Financial Condition and Results of Operations). Due to anticipated lower U.S. Government spending levels mandated by the Budget Control Act (sequestration), we expect a slight decline in our defense and space revenue in 2013. We do not expect our overall operating results to be significantly affected by any proposed changes in 2013 federal defense spending due principally to the varied mix of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 w:name="page12"/>
    <w:bookmarkEnd w:id="11"/>
    <w:p>
      <w:pPr>
        <w:ind w:right="80"/>
        <w:spacing w:after="0" w:line="242" w:lineRule="auto"/>
        <w:rPr>
          <w:sz w:val="20"/>
          <w:szCs w:val="20"/>
          <w:color w:val="auto"/>
        </w:rPr>
      </w:pPr>
      <w:r>
        <w:rPr>
          <w:rFonts w:ascii="Arial" w:cs="Arial" w:eastAsia="Arial" w:hAnsi="Arial"/>
          <w:sz w:val="19"/>
          <w:szCs w:val="19"/>
          <w:color w:val="auto"/>
        </w:rPr>
        <w:t>government programs which impact us (OEM production, engineering development programs, aftermarket spares and repairs and overhaul programs), increases in direct foreign defense and space market sales, as well as our diversified commercial businesses. Our contracts with the U.S. Government are subject to audits, investigations, and termination by the government. See “Item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130"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Our total backlog at December 31, 2012 and 2011 was $16,807 and $16,160 million, respectively. We anticipate that approximately $12,102 million of the 2012 backlog will be filled in 2013. We believe that backlog is not necessarily a reliable indicator of our future sales because a substantial portion of the orders constituting this backlog may be canceled at the customer’s option.</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1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are subject to active competition in substantially all product and service areas. Competition is expected to continue in all geographic regions. Competitive conditions vary widely among the thousands of products and services provided by us, and vary by country. 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 See Item 1A “Risk Factors” for further discussion.</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Operations</w:t>
      </w:r>
    </w:p>
    <w:p>
      <w:pPr>
        <w:spacing w:after="0" w:line="130"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We are engaged in manufacturing, sales, service and research and development globally. U.S. exports and foreign manufactured products are significant to our operations. U.S. exports comprised 14, 12 and 11 percent of our total sales in 2012, 2011 and 2010, respectively. Foreign manufactured products and services, mainly in Europe and Asia, were 41, 43 and 42 percent of our total sales in 2012, 2011 and 2010, respectively.</w:t>
      </w:r>
    </w:p>
    <w:p>
      <w:pPr>
        <w:spacing w:after="0" w:line="91" w:lineRule="exact"/>
        <w:rPr>
          <w:sz w:val="20"/>
          <w:szCs w:val="20"/>
          <w:color w:val="auto"/>
        </w:rPr>
      </w:pPr>
    </w:p>
    <w:p>
      <w:pPr>
        <w:ind w:right="280" w:firstLine="357"/>
        <w:spacing w:after="0" w:line="241" w:lineRule="auto"/>
        <w:rPr>
          <w:sz w:val="20"/>
          <w:szCs w:val="20"/>
          <w:color w:val="auto"/>
        </w:rPr>
      </w:pPr>
      <w:r>
        <w:rPr>
          <w:rFonts w:ascii="Arial" w:cs="Arial" w:eastAsia="Arial" w:hAnsi="Arial"/>
          <w:sz w:val="19"/>
          <w:szCs w:val="19"/>
          <w:color w:val="auto"/>
        </w:rPr>
        <w:t>Approximately 20 percent of total 2012 sales of Aerospace-related products and services were exports of U.S. manufactured products and systems and performance of services such as aircraft repair and overhaul. Exports were principally made to Europe, Canada, Asia and Latin America. Foreign manufactured products and systems and performance of services comprised approximately 16 percent of total 2012 Aerospace sales. The principal manufacturing facilities outside the U.S. are in Europe, with less significant operations in Canada and Asia.</w:t>
      </w:r>
    </w:p>
    <w:p>
      <w:pPr>
        <w:spacing w:after="0" w:line="91" w:lineRule="exact"/>
        <w:rPr>
          <w:sz w:val="20"/>
          <w:szCs w:val="20"/>
          <w:color w:val="auto"/>
        </w:rPr>
      </w:pPr>
    </w:p>
    <w:p>
      <w:pPr>
        <w:ind w:right="420" w:firstLine="357"/>
        <w:spacing w:after="0" w:line="242" w:lineRule="auto"/>
        <w:rPr>
          <w:sz w:val="20"/>
          <w:szCs w:val="20"/>
          <w:color w:val="auto"/>
        </w:rPr>
      </w:pPr>
      <w:r>
        <w:rPr>
          <w:rFonts w:ascii="Arial" w:cs="Arial" w:eastAsia="Arial" w:hAnsi="Arial"/>
          <w:sz w:val="19"/>
          <w:szCs w:val="19"/>
          <w:color w:val="auto"/>
        </w:rPr>
        <w:t>Approximately 3 percent of total 2012 sales of Automation and Control Solutions products and services were exports of U.S. manufactured products. Foreign manufactured products and performance of services accounted for 57 percent of total 2012 Automation and Control Solutions sales. The principal manufacturing facilities outside the U.S. are in Europe and Asia, with less significant operations in Canada and Australia.</w:t>
      </w:r>
    </w:p>
    <w:p>
      <w:pPr>
        <w:spacing w:after="0" w:line="91"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Approximately 35 percent of total 2012 sales of Performance Materials and Technologies products and services were exports of U.S. manufactured products. Exports were principally made to Asia and Latin America. Foreign manufactured products and performance of services comprised 22 percent of total 2012 Performance Materials and Technologies sales. The principal manufacturing facilities outside the U.S. are in Europe, with less significant operations in Asia.</w:t>
      </w:r>
    </w:p>
    <w:p>
      <w:pPr>
        <w:spacing w:after="0" w:line="91" w:lineRule="exact"/>
        <w:rPr>
          <w:sz w:val="20"/>
          <w:szCs w:val="20"/>
          <w:color w:val="auto"/>
        </w:rPr>
      </w:pPr>
    </w:p>
    <w:p>
      <w:pPr>
        <w:ind w:right="320" w:firstLine="357"/>
        <w:spacing w:after="0" w:line="253" w:lineRule="auto"/>
        <w:rPr>
          <w:sz w:val="20"/>
          <w:szCs w:val="20"/>
          <w:color w:val="auto"/>
        </w:rPr>
      </w:pPr>
      <w:r>
        <w:rPr>
          <w:rFonts w:ascii="Arial" w:cs="Arial" w:eastAsia="Arial" w:hAnsi="Arial"/>
          <w:sz w:val="19"/>
          <w:szCs w:val="19"/>
          <w:color w:val="auto"/>
        </w:rPr>
        <w:t>Approximately 3 percent of total 2012 sales of Transportation Systems products were exports of U.S. manufactured products. Foreign manufactured products accounted for 83 percent of total 2012</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19"/>
          <w:szCs w:val="19"/>
          <w:color w:val="auto"/>
        </w:rPr>
        <w:t>sales of Transportation Systems. The principal manufacturing facilities outside the U.S. are in Europe, with less significant operations in Asia and Australia.</w:t>
      </w:r>
    </w:p>
    <w:p>
      <w:pPr>
        <w:spacing w:after="0" w:line="80" w:lineRule="exact"/>
        <w:rPr>
          <w:sz w:val="20"/>
          <w:szCs w:val="20"/>
          <w:color w:val="auto"/>
        </w:rPr>
      </w:pPr>
    </w:p>
    <w:p>
      <w:pPr>
        <w:ind w:right="20" w:firstLine="357"/>
        <w:spacing w:after="0" w:line="238" w:lineRule="auto"/>
        <w:rPr>
          <w:sz w:val="20"/>
          <w:szCs w:val="20"/>
          <w:color w:val="auto"/>
        </w:rPr>
      </w:pPr>
      <w:r>
        <w:rPr>
          <w:rFonts w:ascii="Arial" w:cs="Arial" w:eastAsia="Arial" w:hAnsi="Arial"/>
          <w:sz w:val="19"/>
          <w:szCs w:val="19"/>
          <w:color w:val="auto"/>
        </w:rPr>
        <w:t>The Company and its subsidiaries have a current policy not to conduct business with Iran. Pursuant to Section 13(r) of the Securities Exchange Act of 1934, we note the following. In 2009, Honeywell acquired RMG Group (“RMG”), a German company that had a pre-existing contract with an Iranian entity for the supply and installation of compressed natural gas refueling stations in Iran. The RMG contract was entered into and performed by a foreign entity and did not involve the development of natural gas resources or pipelines, and we believe that it was not prohibited by or sanctionable under applicable laws. In July 2011, RMG assigned performance under the contract to an unaffiliated Italian company. During the first quarter of 2012, the unaffiliated Italian company performed some services under the contract. However, since the Iranian customer failed to make required payments, the unaffiliated Italian company has performed no work under the assigned contract since the first quarter of 2012. The Company does not intend to perform any further services under this contract, in accordance with Company policy and applicable laws. No gross revenues or net profits have been received by the Company under this contract from Iran in 2012. Additionally, a non-U.S. affiliate of Honeywell received $1,120,000 (representing net profit of $400,000 recognized in a prior period) during 2012 for services performed and / or goods delivered in or prior to the first quarter of 2011 in connection with automation engineering services contracts entered into in 2009 involving Iran. These contracts were also entered into and performed by non-US entities, and we believe that the contracts and their performance were not prohibited by or sanctionable under laws applicable at the time. Honeywell’s Italian affiliate transferred its remaining obligations to an unaffiliated company based in Dubai in the fourth quarter of 2010. Honeywell has not performed any services or provided any materials under these contracts after the first quarter of 2011, and it does not intend to provide any further services or materials under these contracts, in accordance with Company policy and applicable laws. OFAC issued a General License in 31 CFR § 560.555 valid from October 9, 2012 to March 8, 2013, which permits transactions ordinarily incident to the wind-down of operations involving Iran by foreign subsidiaries of U.S. companies. Honeywell’s non-U.S. affiliate in Italy received payments of $187,000 (out of a total of $1,120,000 received in 2012) during the validity period of the General License. To Honeywell’s knowledge, neither it nor any of its affiliates engaged in any other activity during 2012 required to be disclosed under the Securities Exchange Act of 1934.</w:t>
      </w:r>
    </w:p>
    <w:p>
      <w:pPr>
        <w:spacing w:after="0" w:line="95" w:lineRule="exact"/>
        <w:rPr>
          <w:sz w:val="20"/>
          <w:szCs w:val="20"/>
          <w:color w:val="auto"/>
        </w:rPr>
      </w:pPr>
    </w:p>
    <w:p>
      <w:pPr>
        <w:ind w:right="400" w:firstLine="357"/>
        <w:spacing w:after="0" w:line="245" w:lineRule="auto"/>
        <w:rPr>
          <w:sz w:val="20"/>
          <w:szCs w:val="20"/>
          <w:color w:val="auto"/>
        </w:rPr>
      </w:pPr>
      <w:r>
        <w:rPr>
          <w:rFonts w:ascii="Arial" w:cs="Arial" w:eastAsia="Arial" w:hAnsi="Arial"/>
          <w:sz w:val="19"/>
          <w:szCs w:val="19"/>
          <w:color w:val="auto"/>
        </w:rPr>
        <w:t>Financial information including net sales and long-lived assets related to geographic areas is included in Note 25 of Notes to Financial Statements in “Item 8. Financial Statements and Supplementary Data”. Information regarding the economic, political, regulatory and other risks associated with international operations is included in “Item 1A. 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w:t>
      </w:r>
    </w:p>
    <w:p>
      <w:pPr>
        <w:spacing w:after="0" w:line="130" w:lineRule="exact"/>
        <w:rPr>
          <w:sz w:val="20"/>
          <w:szCs w:val="20"/>
          <w:color w:val="auto"/>
        </w:rPr>
      </w:pPr>
    </w:p>
    <w:p>
      <w:pPr>
        <w:ind w:right="160" w:firstLine="357"/>
        <w:spacing w:after="0" w:line="242" w:lineRule="auto"/>
        <w:rPr>
          <w:sz w:val="20"/>
          <w:szCs w:val="20"/>
          <w:color w:val="auto"/>
        </w:rPr>
      </w:pPr>
      <w:r>
        <w:rPr>
          <w:rFonts w:ascii="Arial" w:cs="Arial" w:eastAsia="Arial" w:hAnsi="Arial"/>
          <w:sz w:val="19"/>
          <w:szCs w:val="19"/>
          <w:color w:val="auto"/>
        </w:rPr>
        <w:t>The principal raw materials used in our operations are generally readily available. Although we occasionally experience disruption in raw materials supply, we experienced no significant problems in the purchase of key raw materials and commodities in 2012. We are not dependent on any one supplier for a material amount of our raw materials, except related to R240 (a key component in foam blowing agents), a raw material used in our Performance Materials and Technologies segment.</w:t>
      </w:r>
    </w:p>
    <w:p>
      <w:pPr>
        <w:spacing w:after="0" w:line="78"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The costs of certain key raw materials, including cumene, fluorspar, perchloroethylene, R240, natural gas, sulfur and ethylene in our Performance Materials and Technologies business, nickel, steel and other metals in our Transportation Systems business, and nickel, titanium and other metals in our Aerospace business, are expected to continue to fluctuate. We will continue to attempt to offset raw material cost increases with formula or long-term supply agreements, price increases and hedging activities where feasible. We do not presently anticipate that a shortage of raw materials will cause any material adverse impacts during 2013. See “Item 1A. Risk Factors” for further discussion.</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Trademarks, Licenses and Distribution Rights</w:t>
      </w:r>
    </w:p>
    <w:p>
      <w:pPr>
        <w:spacing w:after="0" w:line="130" w:lineRule="exact"/>
        <w:rPr>
          <w:sz w:val="20"/>
          <w:szCs w:val="20"/>
          <w:color w:val="auto"/>
        </w:rPr>
      </w:pPr>
    </w:p>
    <w:p>
      <w:pPr>
        <w:jc w:val="both"/>
        <w:ind w:right="320" w:firstLine="357"/>
        <w:spacing w:after="0" w:line="245" w:lineRule="auto"/>
        <w:rPr>
          <w:sz w:val="20"/>
          <w:szCs w:val="20"/>
          <w:color w:val="auto"/>
        </w:rPr>
      </w:pPr>
      <w:r>
        <w:rPr>
          <w:rFonts w:ascii="Arial" w:cs="Arial" w:eastAsia="Arial" w:hAnsi="Arial"/>
          <w:sz w:val="19"/>
          <w:szCs w:val="19"/>
          <w:color w:val="auto"/>
        </w:rPr>
        <w:t>Our segments are not dependent upon any single patent or related group of patents, or any licenses or distribution rights. We own, or are licensed under, a large number of patents, patent applications and trademarks acquired over a period of many years, which relate to many of our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3" w:name="page14"/>
    <w:bookmarkEnd w:id="13"/>
    <w:p>
      <w:pPr>
        <w:ind w:right="80"/>
        <w:spacing w:after="0"/>
        <w:rPr>
          <w:sz w:val="20"/>
          <w:szCs w:val="20"/>
          <w:color w:val="auto"/>
        </w:rPr>
      </w:pPr>
      <w:r>
        <w:rPr>
          <w:rFonts w:ascii="Arial" w:cs="Arial" w:eastAsia="Arial" w:hAnsi="Arial"/>
          <w:sz w:val="19"/>
          <w:szCs w:val="19"/>
          <w:color w:val="auto"/>
        </w:rPr>
        <w:t>products or improvements to those products and which are of importance to our business. From time to time, new patents and trademarks are obtained, and patent and trademark licenses and rights are acquired from others. We also have distribution rights of varying terms for a number of products and services produced by other companies. In our judgment, those rights are adequate for the conduct of our business. We believe that, in the aggregate, the rights under our patents, trademarks and licenses are generally important to our operations, but we do not consider any patent, trademark or related group of patents, or any licensing or distribution rights related to a specific process or product, to be of material importance in relation to our total business. See “Item 1A. Risk Factors” for further discussion.</w:t>
      </w:r>
    </w:p>
    <w:p>
      <w:pPr>
        <w:spacing w:after="0" w:line="91"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We have registered trademarks for a number of our products and services, including Honeywell, Aclar, Ademco, Bendix, BW, Callidus, Enovate, Esser, Fire-Lite, Garrett, Genetron, Gent, Howard Leight, Jurid, Matrikon, Maxon, MK, North, Notifier, Novar, RMG, Silent Knight, Solstice, Spectra, System Sensor, Trend, Tridium and UOP.</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30" w:lineRule="exact"/>
        <w:rPr>
          <w:sz w:val="20"/>
          <w:szCs w:val="20"/>
          <w:color w:val="auto"/>
        </w:rPr>
      </w:pPr>
    </w:p>
    <w:p>
      <w:pPr>
        <w:jc w:val="both"/>
        <w:ind w:right="240" w:firstLine="357"/>
        <w:spacing w:after="0" w:line="245" w:lineRule="auto"/>
        <w:rPr>
          <w:sz w:val="20"/>
          <w:szCs w:val="20"/>
          <w:color w:val="auto"/>
        </w:rPr>
      </w:pPr>
      <w:r>
        <w:rPr>
          <w:rFonts w:ascii="Arial" w:cs="Arial" w:eastAsia="Arial" w:hAnsi="Arial"/>
          <w:sz w:val="19"/>
          <w:szCs w:val="19"/>
          <w:color w:val="auto"/>
        </w:rPr>
        <w:t>Our research activities are directed toward the discovery and development of new products, technologies and processes, and the development of new uses for existing products and software applications. The Company’s principal research and development activities are in the U.S., India, Europe and China.</w:t>
      </w:r>
    </w:p>
    <w:p>
      <w:pPr>
        <w:spacing w:after="0" w:line="8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Research and development (R&amp;D) expense totaled $ 1,847, $ 1,799 and $ 1,450 million in 2012, 2011 and 2010, respectively. The increase in R&amp;D expense of 3 percent in 2012 compared to 2011 was mainly due to increased expenditures on the development of new technologies to support existing and new aircraft platforms in our Aerospace segment and new product development in our Automation and Control Solutions and Performance Materials Technologies segments. The increase in R&amp;D expense of 24 percent in 2011 compared to 2010 was mainly due to increased expenditures on the development of new technologies to support existing and new aircraft platforms in our Aerospace segment, the development of turbocharging systems for new diesel and gas applications in our Transportation Systems segment and new product development in our Automation and Control Solutions segment. R&amp;D as a percentage of sales was 4.9, 4.9 and 4.5 percent in 2012, 2011 and 2010, respectively. Customer-sponsored (principally the U.S. Government) R&amp;D activities amounted to an additional $835, $867 and $874 million in 2012, 2011 and 2010,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w:t>
      </w:r>
    </w:p>
    <w:p>
      <w:pPr>
        <w:spacing w:after="0" w:line="13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We are subject to various federal, state, local and foreign government requirements regulating the discharge of materials into the environment or otherwise relating to the protection of the environment. It is our policy to comply with these requirements, and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possible, however,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91"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4" w:name="page15"/>
    <w:bookmarkEnd w:id="14"/>
    <w:p>
      <w:pPr>
        <w:ind w:right="20"/>
        <w:spacing w:after="0" w:line="242" w:lineRule="auto"/>
        <w:rPr>
          <w:sz w:val="20"/>
          <w:szCs w:val="20"/>
          <w:color w:val="auto"/>
        </w:rPr>
      </w:pPr>
      <w:r>
        <w:rPr>
          <w:rFonts w:ascii="Arial" w:cs="Arial" w:eastAsia="Arial" w:hAnsi="Arial"/>
          <w:sz w:val="19"/>
          <w:szCs w:val="19"/>
          <w:color w:val="auto"/>
        </w:rPr>
        <w:t>Agency’s Superfund priority list. Although, under some court interpretations of these laws, there is a possibility that a responsible party might have to bear more than its proportional share of the cleanup costs if it is unable to obtain appropriate contribution from other responsible parties, to date we have not had to bear significantly more than our proportional share in multi-party situations taken as a whole.</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or financial position. We will continue to monitor emerging developments in this area.</w:t>
      </w:r>
    </w:p>
    <w:p>
      <w:pPr>
        <w:spacing w:after="0" w:line="87" w:lineRule="exact"/>
        <w:rPr>
          <w:sz w:val="20"/>
          <w:szCs w:val="20"/>
          <w:color w:val="auto"/>
        </w:rPr>
      </w:pPr>
    </w:p>
    <w:p>
      <w:pPr>
        <w:ind w:right="300" w:firstLine="357"/>
        <w:spacing w:after="0" w:line="242" w:lineRule="auto"/>
        <w:rPr>
          <w:sz w:val="20"/>
          <w:szCs w:val="20"/>
          <w:color w:val="auto"/>
        </w:rPr>
      </w:pPr>
      <w:r>
        <w:rPr>
          <w:rFonts w:ascii="Arial" w:cs="Arial" w:eastAsia="Arial" w:hAnsi="Arial"/>
          <w:sz w:val="19"/>
          <w:szCs w:val="19"/>
          <w:color w:val="auto"/>
        </w:rPr>
        <w:t>Further information, including the current status of significant environmental matters and the financial impact incurred for remediation of such environmental matters, if any, is included in “Item 7. Management’s Discussion and Analysis of Financial Condition and Results of Operations,” in Note 22 Commitments and Contingencies of Notes to Financial Statements in “Item 8. Financial Statements and Supplementary Data,” and in “Item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We have approximately 132,000 employees at December 31, 2012, of which approximately 52,000 were located in the United States.</w:t>
      </w:r>
    </w:p>
    <w:p>
      <w:pPr>
        <w:spacing w:after="0" w:line="66"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0" w:right="499" w:bottom="1440" w:gutter="0" w:footer="0" w:header="0"/>
        </w:sectPr>
      </w:pPr>
    </w:p>
    <w:bookmarkStart w:id="15" w:name="page16"/>
    <w:bookmarkEnd w:id="15"/>
    <w:p>
      <w:pPr>
        <w:spacing w:after="0"/>
        <w:rPr>
          <w:sz w:val="20"/>
          <w:szCs w:val="20"/>
          <w:color w:val="auto"/>
        </w:rPr>
      </w:pPr>
      <w:r>
        <w:rPr>
          <w:rFonts w:ascii="Arial" w:cs="Arial" w:eastAsia="Arial" w:hAnsi="Arial"/>
          <w:sz w:val="23"/>
          <w:szCs w:val="23"/>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about Forward-Looking Statements</w:t>
      </w:r>
    </w:p>
    <w:p>
      <w:pPr>
        <w:spacing w:after="0" w:line="130"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We have described many of the trends and other factors that drive our business and future results in “Item 7. Management’s Discussion and Analysis of Financial Condition and Results of Operations”, including the overview of the Company and each of our segments and the discussion of their respective economic and other factors and areas of focus for 2013. These sections and other parts of this report (including this Item 1A) contain “forward-looking statements” within the meaning of Section 21E of the Securities Exchange Act of 1934.</w:t>
      </w:r>
    </w:p>
    <w:p>
      <w:pPr>
        <w:spacing w:after="0" w:line="91"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w:t>
      </w:r>
    </w:p>
    <w:p>
      <w:pPr>
        <w:spacing w:after="0" w:line="130" w:lineRule="exact"/>
        <w:rPr>
          <w:sz w:val="20"/>
          <w:szCs w:val="20"/>
          <w:color w:val="auto"/>
        </w:rPr>
      </w:pPr>
    </w:p>
    <w:p>
      <w:pPr>
        <w:ind w:right="140" w:firstLine="357"/>
        <w:spacing w:after="0" w:line="253" w:lineRule="auto"/>
        <w:rPr>
          <w:sz w:val="20"/>
          <w:szCs w:val="20"/>
          <w:color w:val="auto"/>
        </w:rPr>
      </w:pPr>
      <w:r>
        <w:rPr>
          <w:rFonts w:ascii="Arial" w:cs="Arial" w:eastAsia="Arial" w:hAnsi="Arial"/>
          <w:sz w:val="19"/>
          <w:szCs w:val="19"/>
          <w:color w:val="auto"/>
        </w:rPr>
        <w:t>Our business, operating results, cash flows and financial condition are subject to the risks and uncertainties set forth below, any one of which could cause our actual results to vary materially from recent results or from our anticipated future results.</w:t>
      </w:r>
    </w:p>
    <w:p>
      <w:pPr>
        <w:spacing w:after="0" w:line="272"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i w:val="1"/>
          <w:iCs w:val="1"/>
          <w:color w:val="auto"/>
        </w:rPr>
        <w:t>Industry and economic conditions may adversely affect the markets and operating conditions of our customers, which in turn can affect demand for our products and services and our results of operations.</w:t>
      </w:r>
    </w:p>
    <w:p>
      <w:pPr>
        <w:spacing w:after="0" w:line="5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operating results of our segments are impacted by general global industry and economic conditions that can cause changes in spending and capital investment patterns, demand for our products and services and the level of our manufacturing and shipping costs. The operating results of our Aerospace segment, which generated 32 percent of our consolidated revenues in 2012, are directly tied to cyclical industry and economic conditions, including global demand for air travel as reflected in new aircraft production, the deferral or cancellation of orders for new aircraft, delays in launch schedules for new aircraft platforms, the retirement of aircraft, global flying hours, and business and general aviation aircraft utilization rates, as well as changes in customer buying patterns with respect to aftermarket parts, supplier consolidation, factory transitions, capacity constraints, and the level and mix of U.S. and foreign government appropriations for defense and space programs (as further discussed in other risk factors below). The challenging operating environment faced by the commercial airline industry may be influenced by a wide variety of factors including global flying hours, aircraft fuel prices, labor issues, airline consolidation, airline insolvencies, terrorism and safety concerns as well as changes in regulations. Future terrorist actions or pandemic health issues could dramatically reduce both the demand for air travel and our Aerospace aftermarket sales and margins. The operating results of our Automation and Control Solutions (ACS) segment, which generated 42 percent of our consolidated revenues in 2012, are impacted by the level of global residential and commercial construction (including retrofits and upgrades), capital spending and operating expenditures on building and process automation, industrial plant capacity utilization and expansion, inventory levels in distribution channels, and global economic growth rates. Performance Materials and Technologies’ operating results, which generated 16 percent of our consolidated revenues in 2012, are impacted by global economic growth rates, capacity utilization for chemical, industrial, refining, petrochemical and semiconductor plants, our customers’ availability of capital for refinery construction and expansion, and raw material demand and supply volatility. Transportation Systems’ operating results, which generated 10 percent of our consolidated revenues in 2012, are impacted by global production and demand for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6" w:name="page17"/>
    <w:bookmarkEnd w:id="16"/>
    <w:p>
      <w:pPr>
        <w:ind w:right="40"/>
        <w:spacing w:after="0" w:line="241" w:lineRule="auto"/>
        <w:rPr>
          <w:sz w:val="20"/>
          <w:szCs w:val="20"/>
          <w:color w:val="auto"/>
        </w:rPr>
      </w:pPr>
      <w:r>
        <w:rPr>
          <w:rFonts w:ascii="Arial" w:cs="Arial" w:eastAsia="Arial" w:hAnsi="Arial"/>
          <w:sz w:val="19"/>
          <w:szCs w:val="19"/>
          <w:color w:val="auto"/>
        </w:rPr>
        <w:t>automobiles and trucks equipped with turbochargers, and regulatory changes regarding automobile and truck emissions and fuel economy, delays in launch schedules for new automotive platforms, and consumer demand and spending for automotive aftermarket products. Demand of global automotive and truck manufacturers will continue to be influenced by a wide variety of factors, including ability of consumers to obtain financing, ability to reduce operating costs and overall consumer and business confidence. Each of the segments is impacted by volatility in raw material prices (as further described below) and non- material inflation.</w:t>
      </w:r>
    </w:p>
    <w:p>
      <w:pPr>
        <w:spacing w:after="0" w:line="284"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76"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The cost of raw materials is a key element in the cost of our products, particularly in our Performance Materials and Technologies (cumene, fluorspar, perchloroethylene, R240, natural gas, sulfur and ethylene), Transportation Systems (nickel, steel and other metals) and Aerospace (nickel, titanium and other metals) segments.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manufacturing operations are also highly dependent upon the delivery of materials (including raw materials) by outside suppliers and their assembly of major components, and subsystems used in our products in a timely manner and in full compliance with purchase order terms and conditions, quality standards, and applicable laws and regulations. In addition, many major components, product equipment items and raw materials are procured or subcontracted on a single-source basis with a number of domestic and foreign companies; in some circumstances these suppliers are the sole source of the component or equipment. Although we maintain a qualification and performance surveillance process to control risk associated with such reliance on third parties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suppliers may fail to perform according to specifications as and when required and we may be unable to identify alternate suppliers or to otherwise mitigate the consequences of their non-performance. The supply chains for our businesses could also be disrupted by suppliers’ decisions to exit certain businesses, bankruptcy and by external events such as natural disasters, extreme weather events, pandemic health issues, terrorist actions, labor disputes, governmental actions and legislative or regulatory changes (e.g., product certification or stewardship requirements, sourcing restrictions, product authenticity, climate change or greenhouse gas emission standards, etc.). Our inability to fill our supply needs would jeopardize our ability to fulfill obligations under commercial and government contracts, which could, in turn, result in reduced sales and profits, contract penalties or terminations, and damage to customer relationships. Transitions to new suppliers may result in significant costs and delays, including those related to the required recertification of parts obtained from new suppliers with our customers and/or regulatory agencies. In addition, because our businesses cannot always immediately adapt their cost structure to changing market conditions, our manufacturing capacity for certain products may at times exceed or fall short of our production requirements, which could adversely impact our operating costs, profitability and customer and supplier relationships.</w:t>
      </w:r>
    </w:p>
    <w:p>
      <w:pPr>
        <w:spacing w:after="0" w:line="276" w:lineRule="exact"/>
        <w:rPr>
          <w:sz w:val="20"/>
          <w:szCs w:val="20"/>
          <w:color w:val="auto"/>
        </w:rPr>
      </w:pPr>
    </w:p>
    <w:p>
      <w:pPr>
        <w:ind w:right="200" w:firstLine="357"/>
        <w:spacing w:after="0"/>
        <w:rPr>
          <w:sz w:val="20"/>
          <w:szCs w:val="20"/>
          <w:color w:val="auto"/>
        </w:rPr>
      </w:pPr>
      <w:r>
        <w:rPr>
          <w:rFonts w:ascii="Arial" w:cs="Arial" w:eastAsia="Arial" w:hAnsi="Arial"/>
          <w:sz w:val="19"/>
          <w:szCs w:val="19"/>
          <w:color w:val="auto"/>
        </w:rPr>
        <w:t>Our facilities, distribution systems and information technology systems are subject to catastrophic loss due to, among other things, fire, flood, terrorism or other natural or man-made disasters. If any of these facilities or systems were to experience a catastrophic loss, it could disrupt our operations, result in personal injury or property damage, damage relationships with our customers and result in large expenses to repair or replace the facilities or systems, as well as result in other liabilities and adverse impacts. The same risk could also arise from the failure of critical systems supplied by Honeywell to large industrial, refining and petrochemical customers.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 w:name="page18"/>
    <w:bookmarkEnd w:id="17"/>
    <w:p>
      <w:pPr>
        <w:ind w:right="200"/>
        <w:spacing w:after="0" w:line="280" w:lineRule="auto"/>
        <w:rPr>
          <w:sz w:val="20"/>
          <w:szCs w:val="20"/>
          <w:color w:val="auto"/>
        </w:rPr>
      </w:pPr>
      <w:r>
        <w:rPr>
          <w:rFonts w:ascii="Arial" w:cs="Arial" w:eastAsia="Arial" w:hAnsi="Arial"/>
          <w:sz w:val="19"/>
          <w:szCs w:val="19"/>
          <w:b w:val="1"/>
          <w:bCs w:val="1"/>
          <w:i w:val="1"/>
          <w:iCs w:val="1"/>
          <w:color w:val="auto"/>
        </w:rPr>
        <w:t>Our future growth is largely dependent upon our ability to develop new technologies that achieve market acceptance with acceptable margins.</w:t>
      </w:r>
    </w:p>
    <w:p>
      <w:pPr>
        <w:spacing w:after="0" w:line="54" w:lineRule="exact"/>
        <w:rPr>
          <w:sz w:val="20"/>
          <w:szCs w:val="20"/>
          <w:color w:val="auto"/>
        </w:rPr>
      </w:pPr>
    </w:p>
    <w:p>
      <w:pPr>
        <w:ind w:right="220" w:firstLine="357"/>
        <w:spacing w:after="0"/>
        <w:rPr>
          <w:sz w:val="20"/>
          <w:szCs w:val="20"/>
          <w:color w:val="auto"/>
        </w:rPr>
      </w:pPr>
      <w:r>
        <w:rPr>
          <w:rFonts w:ascii="Arial" w:cs="Arial" w:eastAsia="Arial" w:hAnsi="Arial"/>
          <w:sz w:val="19"/>
          <w:szCs w:val="19"/>
          <w:color w:val="auto"/>
        </w:rPr>
        <w:t>Our businesses operate in global markets that are characterized by rapidly changing technologies and evolving industry standards. Accordingly, our future growth rate depends upon a number of factors, including our ability to (i) identify emerging technological trends in our target end-markets, (ii) develop and maintain competitive products, (iii) enhance our products by adding innovative features that differentiate our products from those of our competitors and prevent commoditization of our products, (iv) develop, manufacture and bring products to market quickly and cost-effectively, and (v) develop and retain individuals with the requisite expertise.</w:t>
      </w:r>
    </w:p>
    <w:p>
      <w:pPr>
        <w:spacing w:after="0" w:line="94"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Our ability to develop new products based on technological innovation can affect our competitive position and requires the investment of significant resources. These development efforts divert resources from other potential investments in our businesses, and they may not lead to the development of new technologies or products on a timely basis or that meet the needs of our customers as fully as competitive offerings. In addition, the markets for our products may not develop or grow as we currently anticipate. The failure of our technologies or products to gain market acceptance due to more attractive offerings by our competitors could significantly reduce our revenues and adversely affect our competitive standing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Protecting our intellectual property is critical to our innovation efforts.</w:t>
      </w:r>
    </w:p>
    <w:p>
      <w:pPr>
        <w:spacing w:after="0" w:line="13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We own or are licensed under a large number of U.S. and non-U.S. patents and patent applications, trademarks and copyrights. Our intellectual property rights may expire or be challenged, invalidated or infringed upon by third parties or we may be unable to maintain, renew or enter into new licenses of third party proprietary intellectual property on commercially reasonable terms. In some non-U.S. countries, laws affecting intellectual property are uncertain in their application, which can affect the scope or enforceability of our patents and other intellectual property rights. 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270"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and/or its third party service providers. While we have experienced, and expect to continue to experience, these types of threats and incidents, none of them to date have been material to the Company. Although we employ comprehensive measures to prevent, detect, address and mitigate these threats (including access controls, data encryption, vulnerability assessments, continuous monitoring of our IT networks and systems and maintenance of backup and protective systems),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litigation with third parties, diminution in the value of our investment in research, development and engineering, and increased cybersecurity protection and remediation costs, which in turn could adversely affect our competitiveness and results of operations.</w:t>
      </w:r>
    </w:p>
    <w:p>
      <w:pPr>
        <w:spacing w:after="0" w:line="284"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An increasing percentage of our sales and operations is in non-U.S. jurisdictions and is subject to the economic, political, regulatory and other risks of international operations.</w:t>
      </w:r>
    </w:p>
    <w:p>
      <w:pPr>
        <w:spacing w:after="0" w:line="54"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Our international operations, including U.S. exports, comprise a growing proportion of our operating results. Our strategy calls for increasing sales to and operations in overseas markets, including developing markets such as China, India, the Middle East and other high growth regions.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ind w:firstLine="357"/>
        <w:spacing w:after="0" w:line="239" w:lineRule="auto"/>
        <w:rPr>
          <w:sz w:val="20"/>
          <w:szCs w:val="20"/>
          <w:color w:val="auto"/>
        </w:rPr>
      </w:pPr>
      <w:r>
        <w:rPr>
          <w:rFonts w:ascii="Arial" w:cs="Arial" w:eastAsia="Arial" w:hAnsi="Arial"/>
          <w:sz w:val="19"/>
          <w:szCs w:val="19"/>
          <w:color w:val="auto"/>
        </w:rPr>
        <w:t>In 2012, approximately 55 percent of our total sales (including products manufactured in the U.S. and sold outside the U.S. as well as products manufactured in international locations) were outside of the U.S. including approximately 28 percent in Europe and approximately 13 percent in Asia. Risks related to international operations include exchange control regulations, wage and price controls, employment regulations, foreign investment laws, import, export and other trade restrictions (such as embargoes), changes in regulations regarding transactions with state-owned enterprises, nationalization of private enterprises, government instability, acts of terrorism, and our ability to hire and maintain qualified staff and maintain the safety of our employees in these regions. We are also subject to U.S. laws prohibiting companies from doing business in certain countries, or restricting the type of business that may be conducted in these countries. 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operating margins.</w:t>
      </w:r>
    </w:p>
    <w:p>
      <w:pPr>
        <w:spacing w:after="0" w:line="93"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Uncertain global economic conditions arising from circumstances such as sovereign debt issues, slowing growth in emerging regions and credit rating downgrades in certain European countries or speculation regarding changes to the composition or viability of the Euro zone could result in reduced customer confidence resulting in decreased demand for our products and services, disruption in payment patterns and higher default rates, a tightening of credit markets (see risk factor below regarding volatility of credit markets for further discussion), increased risk regarding supplier performance, increased counterparty risk with respect to the financial institutions with which we do business, and exchange rate fluctuations. While we employ comprehensive controls regarding global cash management to guard against cash or investment loss and to ensure our ability to fund our operations and commitments, a material disruption to the financial institutions with whom we transact business could expose Honeywell to financial loss.</w:t>
      </w:r>
    </w:p>
    <w:p>
      <w:pPr>
        <w:spacing w:after="0" w:line="96"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Sales and purchases in currencies other than the US dollar expose us to fluctuations in foreign currencies relative to the US dollar and may adversely affect our results of operations. Currency fluctuations may affect product demand and prices we pay for materials, as a result, our operating margins may be negatively impacted. Fluctuations in exchange rates may give rise to translation gains or losses when financial statements of our non-U.S. businesses are translated into U.S. dollars. While we monitor our exchange rate exposures and seek to reduce the risk of volatility through hedging activities, such activities bear a financial cost and may not always be available to us or successful in significantly mitigating such volatility.</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Volatility of credit markets or macro-economic factors could adversely affect our business.</w:t>
      </w:r>
    </w:p>
    <w:p>
      <w:pPr>
        <w:spacing w:after="0" w:line="13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Changes in U.S. and global financial and equity markets, including market disruptions, limited liquidity, and interest rate volatility, may increase the cost of financing as well as the risks of refinancing maturing debt. In addition, our borrowing costs can be affected by short and long-term ratings assigned by independent rating agencies. A decrease in these ratings could increase our cost of borrowing.</w:t>
      </w:r>
    </w:p>
    <w:p>
      <w:pPr>
        <w:spacing w:after="0" w:line="78" w:lineRule="exact"/>
        <w:rPr>
          <w:sz w:val="20"/>
          <w:szCs w:val="20"/>
          <w:color w:val="auto"/>
        </w:rPr>
      </w:pPr>
    </w:p>
    <w:p>
      <w:pPr>
        <w:jc w:val="both"/>
        <w:ind w:right="120" w:firstLine="357"/>
        <w:spacing w:after="0" w:line="242" w:lineRule="auto"/>
        <w:rPr>
          <w:sz w:val="20"/>
          <w:szCs w:val="20"/>
          <w:color w:val="auto"/>
        </w:rPr>
      </w:pPr>
      <w:r>
        <w:rPr>
          <w:rFonts w:ascii="Arial" w:cs="Arial" w:eastAsia="Arial" w:hAnsi="Arial"/>
          <w:sz w:val="19"/>
          <w:szCs w:val="19"/>
          <w:color w:val="auto"/>
        </w:rPr>
        <w:t>Delays in our customers’ ability to obtain financing, or the unavailability of financing to our customers, could adversely affect our results of operations and cash flow. The inability of our suppliers to obtain financing could result in the need to transition to alternate suppliers, which could result in significant incremental cost and delay, as discussed above. Lastly, disruptions in the U.S. and global financial markets could impact the financial institutions with which we do business.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required to recognize impairment charges for our long-lived assets or available for sale investments.</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At December 31, 2012, the net carrying value of long-lived assets (property, plant and equipment, goodwill and other intangible assets) and available for sale securities totaled approximately $19.9 billion and $0.5 billion, respectively. In accordance with generally accepted accounting principles, we periodically assess these assets to determine if they are impaired. Significant negative industry or economic trends, disruptions to our business, unexpected significant changes or planned changes in use of the assets, divestitures and market capitalization declines may result in impairments to goodwill and other long-lived assets. An other than temporary decline in the market value of our available for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ind w:right="20"/>
        <w:spacing w:after="0" w:line="245" w:lineRule="auto"/>
        <w:rPr>
          <w:sz w:val="20"/>
          <w:szCs w:val="20"/>
          <w:color w:val="auto"/>
        </w:rPr>
      </w:pPr>
      <w:r>
        <w:rPr>
          <w:rFonts w:ascii="Arial" w:cs="Arial" w:eastAsia="Arial" w:hAnsi="Arial"/>
          <w:sz w:val="19"/>
          <w:szCs w:val="19"/>
          <w:color w:val="auto"/>
        </w:rPr>
        <w:t>sale securities may also result in an impairment charge. Future impairment charges could significantly affect our results of operations in the periods recognized. Impairment charges would also reduce our consolidated shareowners’ equity and increase our debt-to-total-capitalization ratio, which could negatively impact our credit rating and access to the public debt and equity markets.</w:t>
      </w:r>
    </w:p>
    <w:p>
      <w:pPr>
        <w:spacing w:after="0" w:line="279" w:lineRule="exact"/>
        <w:rPr>
          <w:sz w:val="20"/>
          <w:szCs w:val="20"/>
          <w:color w:val="auto"/>
        </w:rPr>
      </w:pPr>
    </w:p>
    <w:p>
      <w:pPr>
        <w:ind w:right="560"/>
        <w:spacing w:after="0" w:line="280" w:lineRule="auto"/>
        <w:rPr>
          <w:sz w:val="20"/>
          <w:szCs w:val="20"/>
          <w:color w:val="auto"/>
        </w:rPr>
      </w:pPr>
      <w:r>
        <w:rPr>
          <w:rFonts w:ascii="Arial" w:cs="Arial" w:eastAsia="Arial" w:hAnsi="Arial"/>
          <w:sz w:val="19"/>
          <w:szCs w:val="19"/>
          <w:b w:val="1"/>
          <w:bCs w:val="1"/>
          <w:i w:val="1"/>
          <w:iCs w:val="1"/>
          <w:color w:val="auto"/>
        </w:rPr>
        <w:t>A change in the level of U.S. Government defense and space funding or the mix of programs to which such funding is allocated could adversely impact Aerospace’s defense and space sales and results of operations.</w:t>
      </w:r>
    </w:p>
    <w:p>
      <w:pPr>
        <w:spacing w:after="0" w:line="5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Sales of our defense and space-related products and services are largely dependent upon government budgets, particularly the U.S. defense budget. Sales as a prime contractor and subcontractor to the U.S. Department of Defense comprised approximately 27 and 9 percent of Aerospace and total sales, respectively, for the year ended December 31, 2012. We cannot predict the extent to which total funding and/or funding for individual programs will be included, increased or reduced as part of the 2013 and subsequent budgets ultimately approved by Congress, or be included in the scope of separate supplemental appropriations. We also cannot predict the impact of potential changes in priorities due to military transformation and planning and/or the nature of war-related activity on existing, follow-on or replacement programs. A shift in defense or space spending to programs in which we do not participate and/or reductions in funding for or termination of existing programs could adversely impact our results of operations.</w:t>
      </w:r>
    </w:p>
    <w:p>
      <w:pPr>
        <w:spacing w:after="0" w:line="288"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b w:val="1"/>
          <w:bCs w:val="1"/>
          <w:i w:val="1"/>
          <w:iCs w:val="1"/>
          <w:color w:val="auto"/>
        </w:rPr>
        <w:t>As a supplier of military and other equipment to the U.S. Government, we are subject to unusual risks, such as the right of the U.S. Government to terminate contracts for convenience and to conduct audits and investigations of our operations and performance.</w:t>
      </w:r>
    </w:p>
    <w:p>
      <w:pPr>
        <w:spacing w:after="0" w:line="62"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In addition to normal business risks, companies like Honeywell that supply military and other equipment to the U.S. Government are subject to unusual risks, including dependence on Congressional appropriations and administrative allotment of funds, changes in governmental procurement legislation and regulations and other policies that reflect military and political developments, significant changes in contract requirements, complexity of designs and the rapidity with which they become obsolete, necessity for frequent design improvements, intense competition for U.S. Government business necessitating increases in time and investment for design and development, difficulty of forecasting costs and schedules when bidding on developmental and highly sophisticated technical work, and other factors characteristic of the industry, such as contract award protests and delays in the timing of contract approvals. Changes are customary over the life of U.S. Government contracts, particularly development contracts, and generally result in adjustments to contract prices and schedules.</w:t>
      </w:r>
    </w:p>
    <w:p>
      <w:pPr>
        <w:spacing w:after="0" w:line="95"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Our contracts with the U.S. Government are also subject to various government audits. Like many other government contractors, we have received audit reports that recommend downward price adjustments to certain contracts or changes to certain accounting systems or controls to comply with various government regulations. When appropriate and prudent, we have made adjustments and paid voluntary refunds in the past and may do so in the future.</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U.S. Government contracts are subject to termination by the government, either for the convenience of the government or for our failure to perform consistent with the terms of the applicable contract. In the case of a termination for convenience, we are typically entitled to reimbursement for our allowable costs incurred, plus termination costs and a reasonable profit. If a contract is terminated by the government for our failure to perform we could be liable for reprocurement costs incurred by the government in acquiring undelivered goods or services from another source and for other damages suffered by the government as permitted under the contract.</w:t>
      </w:r>
    </w:p>
    <w:p>
      <w:pPr>
        <w:spacing w:after="0" w:line="312" w:lineRule="exact"/>
        <w:rPr>
          <w:sz w:val="20"/>
          <w:szCs w:val="20"/>
          <w:color w:val="auto"/>
        </w:rPr>
      </w:pPr>
    </w:p>
    <w:p>
      <w:pPr>
        <w:ind w:right="140" w:firstLine="357"/>
        <w:spacing w:after="0" w:line="241" w:lineRule="auto"/>
        <w:rPr>
          <w:sz w:val="20"/>
          <w:szCs w:val="20"/>
          <w:color w:val="auto"/>
        </w:rPr>
      </w:pPr>
      <w:r>
        <w:rPr>
          <w:rFonts w:ascii="Arial" w:cs="Arial" w:eastAsia="Arial" w:hAnsi="Arial"/>
          <w:sz w:val="19"/>
          <w:szCs w:val="19"/>
          <w:color w:val="auto"/>
        </w:rPr>
        <w:t>We are also subject to government investigations of business practices and compliance with government procurement regulations. If, as a result of any such investigation or other government investigations (including violations of certain environmental or export laws), Honeywell or one of its businesses were found to have violated applicable law, it could be suspended from bidding on or receiving awards of new government contracts, suspended from contract performance pending the completion of legal proceedings and/or have its export privileges suspended. The U.S. Government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20" w:name="page21"/>
    <w:bookmarkEnd w:id="20"/>
    <w:p>
      <w:pPr>
        <w:ind w:right="420"/>
        <w:spacing w:after="0" w:line="253" w:lineRule="auto"/>
        <w:rPr>
          <w:sz w:val="20"/>
          <w:szCs w:val="20"/>
          <w:color w:val="auto"/>
        </w:rPr>
      </w:pPr>
      <w:r>
        <w:rPr>
          <w:rFonts w:ascii="Arial" w:cs="Arial" w:eastAsia="Arial" w:hAnsi="Arial"/>
          <w:sz w:val="19"/>
          <w:szCs w:val="19"/>
          <w:color w:val="auto"/>
        </w:rPr>
        <w:t>also reserves the right to debar a contractor from receiving new government contracts for fraudulent, criminal or other egregious misconduct. Debarment generally does not exceed three years.</w:t>
      </w:r>
    </w:p>
    <w:p>
      <w:pPr>
        <w:spacing w:after="0" w:line="272" w:lineRule="exact"/>
        <w:rPr>
          <w:sz w:val="20"/>
          <w:szCs w:val="20"/>
          <w:color w:val="auto"/>
        </w:rPr>
      </w:pPr>
    </w:p>
    <w:p>
      <w:pPr>
        <w:ind w:right="500"/>
        <w:spacing w:after="0" w:line="280" w:lineRule="auto"/>
        <w:rPr>
          <w:sz w:val="20"/>
          <w:szCs w:val="20"/>
          <w:color w:val="auto"/>
        </w:rPr>
      </w:pPr>
      <w:r>
        <w:rPr>
          <w:rFonts w:ascii="Arial" w:cs="Arial" w:eastAsia="Arial" w:hAnsi="Arial"/>
          <w:sz w:val="19"/>
          <w:szCs w:val="19"/>
          <w:b w:val="1"/>
          <w:bCs w:val="1"/>
          <w:i w:val="1"/>
          <w:iCs w:val="1"/>
          <w:color w:val="auto"/>
        </w:rPr>
        <w:t>Our reputation and ability to do business may be impacted by the improper conduct of employees, vendors, agents or business partners.</w:t>
      </w:r>
    </w:p>
    <w:p>
      <w:pPr>
        <w:spacing w:after="0" w:line="54"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We cannot ensure that our extensive compliance controls, policies and procedures will, in all instances, protect us from reckless, unethical or criminal acts committed by our employees, vendors, agents or business partners that would violate the laws of the jurisdictions in which the Company operates, including laws governing payments to government officials, competition, data privacy and rights of employees. Any improper actions could subject us to civil or criminal investigations, monetary and non-monetary penalties and could adversely impact our ability to conduct business, results of operations and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legislation or government regulations or policies can have a significant impact on our results of operations.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sales and margins of each of our segments are directly impacted by government regulations. Safety and performance regulations (including mandates of the Federal Aviation Administration and other similar international regulatory bodies requiring the installation of equipment on aircraft), product certification requirements and government procurement practices can impact Aerospace sales, research and development expenditures, operating costs and profitability. The demand for and cost of providing Automation and Control Solutions products, services and solutions can be impacted by fire, security, safety, health care, environmental and energy efficiency standards and regulations. Performance Materials and Technologies’ results of operations can be affected by environmental (e.g. government regulation of fluorocarbons), safety and energy efficiency standards and regulations, while emissions, fuel economy and energy efficiency standards and regulations can impact the demand for turbochargers in our Transportation Systems segment. Honeywell sells products that address safety and environmental regulation and a substantial portion of our portfolio is dedicated to energy efficient products and services. Legislation or regulations regarding areas such as labor and employment, employee benefit plans, tax, health, safety and environmental matters, import, export and trade, intellectual property, product certification, and product liability may impact the results of each of our operating segments and our consolidated results.</w:t>
      </w:r>
    </w:p>
    <w:p>
      <w:pPr>
        <w:spacing w:after="0" w:line="200" w:lineRule="exact"/>
        <w:rPr>
          <w:sz w:val="20"/>
          <w:szCs w:val="20"/>
          <w:color w:val="auto"/>
        </w:rPr>
      </w:pPr>
    </w:p>
    <w:p>
      <w:pPr>
        <w:spacing w:after="0" w:line="287" w:lineRule="exact"/>
        <w:rPr>
          <w:sz w:val="20"/>
          <w:szCs w:val="20"/>
          <w:color w:val="auto"/>
        </w:rPr>
      </w:pPr>
    </w:p>
    <w:p>
      <w:pPr>
        <w:ind w:right="420"/>
        <w:spacing w:after="0" w:line="280" w:lineRule="auto"/>
        <w:rPr>
          <w:sz w:val="20"/>
          <w:szCs w:val="20"/>
          <w:color w:val="auto"/>
        </w:rPr>
      </w:pPr>
      <w:r>
        <w:rPr>
          <w:rFonts w:ascii="Arial" w:cs="Arial" w:eastAsia="Arial" w:hAnsi="Arial"/>
          <w:sz w:val="19"/>
          <w:szCs w:val="19"/>
          <w:b w:val="1"/>
          <w:bCs w:val="1"/>
          <w:i w:val="1"/>
          <w:iCs w:val="1"/>
          <w:color w:val="auto"/>
        </w:rPr>
        <w:t>Completed acquisitions may not perform as anticipated or be integrated as planned, and divestitures may not occur as planned.</w:t>
      </w:r>
    </w:p>
    <w:p>
      <w:pPr>
        <w:spacing w:after="0" w:line="5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discovery of unanticipated issues or liabilities, (iii) the failure to integrate acquired businesses into Honeywell on schedule and/or to achieve synergies in the planned amount or within the expected timeframe, (iv) the inability to dispose of non-core assets and businesses on satisfactory terms and conditions and within the expected timeframe, and (v) the degree of protection provided by indemnities from sellers of acquired companies and the obligations under indemnities provided to purchasers of our divested businesses.</w:t>
      </w:r>
    </w:p>
    <w:p>
      <w:pPr>
        <w:spacing w:after="0" w:line="283"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b w:val="1"/>
          <w:bCs w:val="1"/>
          <w:i w:val="1"/>
          <w:iCs w:val="1"/>
          <w:color w:val="auto"/>
        </w:rPr>
        <w:t>We cannot predict with certainty the outcome of litigation matters, government proceedings and other contingencies and uncertainties.</w:t>
      </w:r>
    </w:p>
    <w:p>
      <w:pPr>
        <w:spacing w:after="0" w:line="54"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import and export matters and environmental, health and safety matters. Resolution of these matters can be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21" w:name="page22"/>
    <w:bookmarkEnd w:id="21"/>
    <w:p>
      <w:pPr>
        <w:ind w:right="220"/>
        <w:spacing w:after="0" w:line="239" w:lineRule="auto"/>
        <w:rPr>
          <w:sz w:val="20"/>
          <w:szCs w:val="20"/>
          <w:color w:val="auto"/>
        </w:rPr>
      </w:pPr>
      <w:r>
        <w:rPr>
          <w:rFonts w:ascii="Arial" w:cs="Arial" w:eastAsia="Arial" w:hAnsi="Arial"/>
          <w:sz w:val="19"/>
          <w:szCs w:val="19"/>
          <w:color w:val="auto"/>
        </w:rPr>
        <w:t>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It also is not possible to obtain insurance to protect against all our operational risks and liabilities. The incurrence of significant liabilities for which there is no or insufficient insurance coverage could adversely affect our results of operations, cash flows, liquidity and financial condition.</w:t>
      </w:r>
    </w:p>
    <w:p>
      <w:pPr>
        <w:spacing w:after="0" w:line="288" w:lineRule="exact"/>
        <w:rPr>
          <w:sz w:val="20"/>
          <w:szCs w:val="20"/>
          <w:color w:val="auto"/>
        </w:rPr>
      </w:pPr>
    </w:p>
    <w:p>
      <w:pPr>
        <w:ind w:right="820"/>
        <w:spacing w:after="0" w:line="280" w:lineRule="auto"/>
        <w:rPr>
          <w:sz w:val="20"/>
          <w:szCs w:val="20"/>
          <w:color w:val="auto"/>
        </w:rPr>
      </w:pPr>
      <w:r>
        <w:rPr>
          <w:rFonts w:ascii="Arial" w:cs="Arial" w:eastAsia="Arial" w:hAnsi="Arial"/>
          <w:sz w:val="19"/>
          <w:szCs w:val="19"/>
          <w:b w:val="1"/>
          <w:bCs w:val="1"/>
          <w:i w:val="1"/>
          <w:iCs w:val="1"/>
          <w:color w:val="auto"/>
        </w:rPr>
        <w:t>Our operations and the prior operations of predecessor companies expose us to the risk of material environmental liabilities.</w:t>
      </w:r>
    </w:p>
    <w:p>
      <w:pPr>
        <w:spacing w:after="0" w:line="54" w:lineRule="exact"/>
        <w:rPr>
          <w:sz w:val="20"/>
          <w:szCs w:val="20"/>
          <w:color w:val="auto"/>
        </w:rPr>
      </w:pPr>
    </w:p>
    <w:p>
      <w:pPr>
        <w:ind w:right="60" w:firstLine="357"/>
        <w:spacing w:after="0" w:line="238" w:lineRule="auto"/>
        <w:rPr>
          <w:sz w:val="20"/>
          <w:szCs w:val="20"/>
          <w:color w:val="auto"/>
        </w:rPr>
      </w:pPr>
      <w:r>
        <w:rPr>
          <w:rFonts w:ascii="Arial" w:cs="Arial" w:eastAsia="Arial" w:hAnsi="Arial"/>
          <w:sz w:val="19"/>
          <w:szCs w:val="19"/>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We are subject to various federal, state, local and foreign government requirements regulating the discharge of materials into the environment or otherwise relating to the protection of the environment. These laws and regulations can impose substantial fines and criminal sanctions for violations, and require installation of costly equipment or operational changes to limit emissions and/or decrease the likelihood of accidental hazardous substance releases. We incur, and expect to continue to incur, capital and operating costs to comply with these laws and regulations. In addition, changes in laws, regulations and enforcement of policies, the discovery of previously unknown contamination or new technology or information related to individual sites, the establishment of stricter state or federal toxicity standards with respect to certain contaminants, or the imposition of new clean-up requirements or remedial techniques could require us to incur costs in the future that would have a negative effect on our financial condition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expenses include significant costs related to employee and retiree health benefits.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With approximately 132,000 employees, including approximately 52,000 in the U.S., our expenses relating to employee health and retiree health benefits are significant. In recent years, we have experienced significant increases in certain of these costs, largely as a result of economic factors beyond our control, in particular, ongoing increases in health care costs well in excess of the rate of inflation. Continued increasing health-care costs, legislative or regulatory changes, and volatility in discount rates, as well as changes in other assumptions used to calculate retiree health benefit expenses, may adversely affect our financial position and results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related to our defined benefit pension plans may adversely impact our results of operations and cash flow.</w:t>
      </w:r>
    </w:p>
    <w:p>
      <w:pPr>
        <w:spacing w:after="0" w:line="130"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Significant changes in actual investment return on pension assets, discount rates, and other factors could adversely affect our results of operations and pension contributions in future periods. U.S. generally accepted accounting principles require that we calculate income or expense for the plans using actuarial valuations. These valuations reflect assumptions about financial markets and interest rates, which may change based on economic conditions. Funding requirements for our U.S. pension plans may become more significant. However,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2" w:name="page23"/>
    <w:bookmarkEnd w:id="22"/>
    <w:p>
      <w:pPr>
        <w:ind w:right="640"/>
        <w:spacing w:after="0" w:line="253" w:lineRule="auto"/>
        <w:rPr>
          <w:sz w:val="20"/>
          <w:szCs w:val="20"/>
          <w:color w:val="auto"/>
        </w:rPr>
      </w:pPr>
      <w:r>
        <w:rPr>
          <w:rFonts w:ascii="Arial" w:cs="Arial" w:eastAsia="Arial" w:hAnsi="Arial"/>
          <w:sz w:val="19"/>
          <w:szCs w:val="19"/>
          <w:color w:val="auto"/>
        </w:rPr>
        <w:t>accounting policies, see “Critical Accounting Policies” included in “Item 7. Management’s Discussion and Analysis of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Additional tax expense or additional tax exposures could affect our future profitability.</w:t>
      </w:r>
    </w:p>
    <w:p>
      <w:pPr>
        <w:spacing w:after="0" w:line="13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We are subject to income taxes in both the United States and various non-U.S. jurisdictions, and our domestic and international tax liabilities are dependent upon the distribution of income among these different jurisdictions. In 2012, our tax expense represented 24.4 percent of our income before tax, and includes estimates of additional tax which may be incurred for tax exposures and reflects various estimates and assumptions, including assessments of future earnings of the Company, that could impact the valuation of our deferred tax assets. Our future results of operations could be adversely affected by changes in the effective tax rate as a result of a change in the mix of earnings in countries with differing statutory tax rates, changes in the overall profitability of the Company, changes in tax legislation and rates,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w:t>
      </w: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147" w:lineRule="exact"/>
        <w:rPr>
          <w:sz w:val="20"/>
          <w:szCs w:val="20"/>
          <w:color w:val="auto"/>
        </w:rPr>
      </w:pPr>
    </w:p>
    <w:p>
      <w:pPr>
        <w:ind w:right="140" w:firstLine="357"/>
        <w:spacing w:after="0" w:line="239" w:lineRule="auto"/>
        <w:rPr>
          <w:sz w:val="20"/>
          <w:szCs w:val="20"/>
          <w:color w:val="auto"/>
        </w:rPr>
      </w:pPr>
      <w:r>
        <w:rPr>
          <w:rFonts w:ascii="Arial" w:cs="Arial" w:eastAsia="Arial" w:hAnsi="Arial"/>
          <w:sz w:val="19"/>
          <w:szCs w:val="19"/>
          <w:color w:val="auto"/>
        </w:rPr>
        <w:t>We have approximately 1,300 locations consisting of plants, research laboratories, sales offices and other facilities. Our headquarters and administrative complex is located in Morris Township, New Jersey. Our plants are generally located to serve large marketing areas and to provide accessibility to raw materials and labor pools. Our properties are generally maintained in good operating condition. Utilization of these plants may vary with sales to customers and other business conditions; however, no major operating facility is significantly idle. We own or lease warehouses, railroad cars, barges, automobiles, trucks, airplanes and materials handling and data processing equipment. We also lease space for administrative and sales staffs. Our properties and equipment are in good operating condition and are adequate for our present needs. We do not anticipate difficulty in renewing existing leases as they expire or in finding alternative facilities.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principal plants, which are owned in fee unless otherwise indicated,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spacing w:after="0"/>
              <w:rPr>
                <w:sz w:val="19"/>
                <w:szCs w:val="19"/>
                <w:color w:val="auto"/>
              </w:rPr>
            </w:pPr>
          </w:p>
        </w:tc>
        <w:tc>
          <w:tcPr>
            <w:tcW w:w="4740" w:type="dxa"/>
            <w:vAlign w:val="bottom"/>
            <w:gridSpan w:val="3"/>
          </w:tcPr>
          <w:p>
            <w:pPr>
              <w:jc w:val="center"/>
              <w:ind w:left="143"/>
              <w:spacing w:after="0"/>
              <w:rPr>
                <w:sz w:val="20"/>
                <w:szCs w:val="20"/>
                <w:color w:val="auto"/>
              </w:rPr>
            </w:pPr>
            <w:r>
              <w:rPr>
                <w:rFonts w:ascii="Arial" w:cs="Arial" w:eastAsia="Arial" w:hAnsi="Arial"/>
                <w:sz w:val="19"/>
                <w:szCs w:val="19"/>
                <w:b w:val="1"/>
                <w:bCs w:val="1"/>
                <w:color w:val="auto"/>
              </w:rPr>
              <w:t>Aerospace</w:t>
            </w:r>
          </w:p>
        </w:tc>
        <w:tc>
          <w:tcPr>
            <w:tcW w:w="3140" w:type="dxa"/>
            <w:vAlign w:val="bottom"/>
          </w:tcPr>
          <w:p>
            <w:pPr>
              <w:spacing w:after="0"/>
              <w:rPr>
                <w:sz w:val="19"/>
                <w:szCs w:val="19"/>
                <w:color w:val="auto"/>
              </w:rPr>
            </w:pPr>
          </w:p>
        </w:tc>
      </w:tr>
      <w:tr>
        <w:trPr>
          <w:trHeight w:val="277"/>
        </w:trPr>
        <w:tc>
          <w:tcPr>
            <w:tcW w:w="3540" w:type="dxa"/>
            <w:vAlign w:val="bottom"/>
          </w:tcPr>
          <w:p>
            <w:pPr>
              <w:ind w:left="20"/>
              <w:spacing w:after="0"/>
              <w:rPr>
                <w:sz w:val="20"/>
                <w:szCs w:val="20"/>
                <w:color w:val="auto"/>
              </w:rPr>
            </w:pPr>
            <w:r>
              <w:rPr>
                <w:rFonts w:ascii="Arial" w:cs="Arial" w:eastAsia="Arial" w:hAnsi="Arial"/>
                <w:sz w:val="19"/>
                <w:szCs w:val="19"/>
                <w:color w:val="auto"/>
              </w:rPr>
              <w:t>Anniston, AL (leased)</w:t>
            </w:r>
          </w:p>
        </w:tc>
        <w:tc>
          <w:tcPr>
            <w:tcW w:w="2000" w:type="dxa"/>
            <w:vAlign w:val="bottom"/>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Olathe, KS</w:t>
            </w:r>
          </w:p>
        </w:tc>
        <w:tc>
          <w:tcPr>
            <w:tcW w:w="1760" w:type="dxa"/>
            <w:vAlign w:val="bottom"/>
          </w:tcPr>
          <w:p>
            <w:pPr>
              <w:spacing w:after="0"/>
              <w:rPr>
                <w:sz w:val="24"/>
                <w:szCs w:val="24"/>
                <w:color w:val="auto"/>
              </w:rPr>
            </w:pPr>
          </w:p>
        </w:tc>
        <w:tc>
          <w:tcPr>
            <w:tcW w:w="3140" w:type="dxa"/>
            <w:vAlign w:val="bottom"/>
          </w:tcPr>
          <w:p>
            <w:pPr>
              <w:ind w:left="760"/>
              <w:spacing w:after="0"/>
              <w:rPr>
                <w:sz w:val="20"/>
                <w:szCs w:val="20"/>
                <w:color w:val="auto"/>
              </w:rPr>
            </w:pPr>
            <w:r>
              <w:rPr>
                <w:rFonts w:ascii="Arial" w:cs="Arial" w:eastAsia="Arial" w:hAnsi="Arial"/>
                <w:sz w:val="19"/>
                <w:szCs w:val="19"/>
                <w:color w:val="auto"/>
              </w:rPr>
              <w:t>Toronto, Canada</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Glendale, AZ (leased)</w:t>
            </w:r>
          </w:p>
        </w:tc>
        <w:tc>
          <w:tcPr>
            <w:tcW w:w="4740" w:type="dxa"/>
            <w:vAlign w:val="bottom"/>
            <w:gridSpan w:val="3"/>
          </w:tcPr>
          <w:p>
            <w:pPr>
              <w:jc w:val="center"/>
              <w:ind w:left="163"/>
              <w:spacing w:after="0" w:line="216" w:lineRule="exact"/>
              <w:rPr>
                <w:sz w:val="20"/>
                <w:szCs w:val="20"/>
                <w:color w:val="auto"/>
              </w:rPr>
            </w:pPr>
            <w:r>
              <w:rPr>
                <w:rFonts w:ascii="Arial" w:cs="Arial" w:eastAsia="Arial" w:hAnsi="Arial"/>
                <w:sz w:val="19"/>
                <w:szCs w:val="19"/>
                <w:color w:val="auto"/>
              </w:rPr>
              <w:t>Minneapolis, MN (partially leased)</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Olomouc, Czech Republic</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Phoenix, AZ (partially leased)</w:t>
            </w:r>
          </w:p>
        </w:tc>
        <w:tc>
          <w:tcPr>
            <w:tcW w:w="4740" w:type="dxa"/>
            <w:vAlign w:val="bottom"/>
            <w:gridSpan w:val="3"/>
          </w:tcPr>
          <w:p>
            <w:pPr>
              <w:jc w:val="center"/>
              <w:ind w:left="143"/>
              <w:spacing w:after="0" w:line="216" w:lineRule="exact"/>
              <w:rPr>
                <w:sz w:val="20"/>
                <w:szCs w:val="20"/>
                <w:color w:val="auto"/>
              </w:rPr>
            </w:pPr>
            <w:r>
              <w:rPr>
                <w:rFonts w:ascii="Arial" w:cs="Arial" w:eastAsia="Arial" w:hAnsi="Arial"/>
                <w:sz w:val="19"/>
                <w:szCs w:val="19"/>
                <w:color w:val="auto"/>
              </w:rPr>
              <w:t>Plymouth, MN</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(leased)</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Tempe, AZ</w:t>
            </w:r>
          </w:p>
        </w:tc>
        <w:tc>
          <w:tcPr>
            <w:tcW w:w="4740" w:type="dxa"/>
            <w:vAlign w:val="bottom"/>
            <w:gridSpan w:val="3"/>
          </w:tcPr>
          <w:p>
            <w:pPr>
              <w:jc w:val="center"/>
              <w:ind w:left="163"/>
              <w:spacing w:after="0" w:line="216" w:lineRule="exact"/>
              <w:rPr>
                <w:sz w:val="20"/>
                <w:szCs w:val="20"/>
                <w:color w:val="auto"/>
              </w:rPr>
            </w:pPr>
            <w:r>
              <w:rPr>
                <w:rFonts w:ascii="Arial" w:cs="Arial" w:eastAsia="Arial" w:hAnsi="Arial"/>
                <w:sz w:val="19"/>
                <w:szCs w:val="19"/>
                <w:color w:val="auto"/>
              </w:rPr>
              <w:t>Rocky Mount, NC</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Penang, Malaysia</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Tucson, AZ</w:t>
            </w:r>
          </w:p>
        </w:tc>
        <w:tc>
          <w:tcPr>
            <w:tcW w:w="4740" w:type="dxa"/>
            <w:vAlign w:val="bottom"/>
            <w:gridSpan w:val="3"/>
          </w:tcPr>
          <w:p>
            <w:pPr>
              <w:jc w:val="center"/>
              <w:ind w:left="143"/>
              <w:spacing w:after="0" w:line="216" w:lineRule="exact"/>
              <w:rPr>
                <w:sz w:val="20"/>
                <w:szCs w:val="20"/>
                <w:color w:val="auto"/>
              </w:rPr>
            </w:pPr>
            <w:r>
              <w:rPr>
                <w:rFonts w:ascii="Arial" w:cs="Arial" w:eastAsia="Arial" w:hAnsi="Arial"/>
                <w:sz w:val="19"/>
                <w:szCs w:val="19"/>
                <w:color w:val="auto"/>
              </w:rPr>
              <w:t>Albuquerque, NM (partially leased)</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Chihuahua, Mexico</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Torrance, CA</w:t>
            </w:r>
          </w:p>
        </w:tc>
        <w:tc>
          <w:tcPr>
            <w:tcW w:w="4740" w:type="dxa"/>
            <w:vAlign w:val="bottom"/>
            <w:gridSpan w:val="3"/>
          </w:tcPr>
          <w:p>
            <w:pPr>
              <w:jc w:val="center"/>
              <w:ind w:left="143"/>
              <w:spacing w:after="0" w:line="216" w:lineRule="exact"/>
              <w:rPr>
                <w:sz w:val="20"/>
                <w:szCs w:val="20"/>
                <w:color w:val="auto"/>
              </w:rPr>
            </w:pPr>
            <w:r>
              <w:rPr>
                <w:rFonts w:ascii="Arial" w:cs="Arial" w:eastAsia="Arial" w:hAnsi="Arial"/>
                <w:sz w:val="19"/>
                <w:szCs w:val="19"/>
                <w:color w:val="auto"/>
              </w:rPr>
              <w:t>Urbana, OH</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Singapore</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9"/>
                <w:szCs w:val="19"/>
                <w:color w:val="auto"/>
              </w:rPr>
              <w:t>Clearwater, FL</w:t>
            </w:r>
          </w:p>
        </w:tc>
        <w:tc>
          <w:tcPr>
            <w:tcW w:w="2000" w:type="dxa"/>
            <w:vAlign w:val="bottom"/>
          </w:tcPr>
          <w:p>
            <w:pPr>
              <w:spacing w:after="0"/>
              <w:rPr>
                <w:sz w:val="18"/>
                <w:szCs w:val="18"/>
                <w:color w:val="auto"/>
              </w:rPr>
            </w:pPr>
          </w:p>
        </w:tc>
        <w:tc>
          <w:tcPr>
            <w:tcW w:w="2740" w:type="dxa"/>
            <w:vAlign w:val="bottom"/>
            <w:gridSpan w:val="2"/>
          </w:tcPr>
          <w:p>
            <w:pPr>
              <w:jc w:val="center"/>
              <w:ind w:right="1760"/>
              <w:spacing w:after="0" w:line="216" w:lineRule="exact"/>
              <w:rPr>
                <w:sz w:val="20"/>
                <w:szCs w:val="20"/>
                <w:color w:val="auto"/>
              </w:rPr>
            </w:pPr>
            <w:r>
              <w:rPr>
                <w:rFonts w:ascii="Arial" w:cs="Arial" w:eastAsia="Arial" w:hAnsi="Arial"/>
                <w:sz w:val="19"/>
                <w:szCs w:val="19"/>
                <w:color w:val="auto"/>
              </w:rPr>
              <w:t>Greer, SC</w:t>
            </w:r>
          </w:p>
        </w:tc>
        <w:tc>
          <w:tcPr>
            <w:tcW w:w="3140" w:type="dxa"/>
            <w:vAlign w:val="bottom"/>
          </w:tcPr>
          <w:p>
            <w:pPr>
              <w:ind w:left="760"/>
              <w:spacing w:after="0" w:line="216" w:lineRule="exact"/>
              <w:rPr>
                <w:sz w:val="20"/>
                <w:szCs w:val="20"/>
                <w:color w:val="auto"/>
              </w:rPr>
            </w:pPr>
            <w:r>
              <w:rPr>
                <w:rFonts w:ascii="Arial" w:cs="Arial" w:eastAsia="Arial" w:hAnsi="Arial"/>
                <w:sz w:val="19"/>
                <w:szCs w:val="19"/>
                <w:color w:val="auto"/>
              </w:rPr>
              <w:t>Yeovil, UK (leased)</w:t>
            </w:r>
          </w:p>
        </w:tc>
      </w:tr>
      <w:tr>
        <w:trPr>
          <w:trHeight w:val="234"/>
        </w:trPr>
        <w:tc>
          <w:tcPr>
            <w:tcW w:w="3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140" w:type="dxa"/>
            <w:vAlign w:val="bottom"/>
          </w:tcPr>
          <w:p>
            <w:pPr>
              <w:ind w:left="760"/>
              <w:spacing w:after="0"/>
              <w:rPr>
                <w:sz w:val="20"/>
                <w:szCs w:val="20"/>
                <w:color w:val="auto"/>
              </w:rPr>
            </w:pPr>
            <w:r>
              <w:rPr>
                <w:rFonts w:ascii="Arial" w:cs="Arial" w:eastAsia="Arial" w:hAnsi="Arial"/>
                <w:sz w:val="19"/>
                <w:szCs w:val="19"/>
                <w:color w:val="auto"/>
              </w:rPr>
              <w:t>South Bend, IN</w:t>
            </w:r>
          </w:p>
        </w:tc>
      </w:tr>
      <w:tr>
        <w:trPr>
          <w:trHeight w:val="338"/>
        </w:trPr>
        <w:tc>
          <w:tcPr>
            <w:tcW w:w="3540" w:type="dxa"/>
            <w:vAlign w:val="bottom"/>
          </w:tcPr>
          <w:p>
            <w:pPr>
              <w:spacing w:after="0"/>
              <w:rPr>
                <w:sz w:val="24"/>
                <w:szCs w:val="24"/>
                <w:color w:val="auto"/>
              </w:rPr>
            </w:pPr>
          </w:p>
        </w:tc>
        <w:tc>
          <w:tcPr>
            <w:tcW w:w="2980" w:type="dxa"/>
            <w:vAlign w:val="bottom"/>
            <w:gridSpan w:val="2"/>
          </w:tcPr>
          <w:p>
            <w:pPr>
              <w:jc w:val="right"/>
              <w:ind w:right="603"/>
              <w:spacing w:after="0"/>
              <w:rPr>
                <w:sz w:val="20"/>
                <w:szCs w:val="20"/>
                <w:color w:val="auto"/>
              </w:rPr>
            </w:pPr>
            <w:r>
              <w:rPr>
                <w:rFonts w:ascii="Arial" w:cs="Arial" w:eastAsia="Arial" w:hAnsi="Arial"/>
                <w:sz w:val="19"/>
                <w:szCs w:val="19"/>
                <w:color w:val="auto"/>
              </w:rPr>
              <w:t>19</w:t>
            </w:r>
          </w:p>
        </w:tc>
        <w:tc>
          <w:tcPr>
            <w:tcW w:w="17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9"/>
        </w:trPr>
        <w:tc>
          <w:tcPr>
            <w:tcW w:w="35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18"/>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gridSpan w:val="5"/>
          </w:tcPr>
          <w:p>
            <w:pPr>
              <w:jc w:val="center"/>
              <w:ind w:right="880"/>
              <w:spacing w:after="0"/>
              <w:rPr>
                <w:sz w:val="20"/>
                <w:szCs w:val="20"/>
                <w:color w:val="auto"/>
              </w:rPr>
            </w:pPr>
            <w:r>
              <w:rPr>
                <w:rFonts w:ascii="Arial" w:cs="Arial" w:eastAsia="Arial" w:hAnsi="Arial"/>
                <w:sz w:val="19"/>
                <w:szCs w:val="19"/>
                <w:b w:val="1"/>
                <w:bCs w:val="1"/>
                <w:color w:val="auto"/>
              </w:rPr>
              <w:t>Automation and Control Solutions</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0"/>
                <w:szCs w:val="20"/>
                <w:color w:val="auto"/>
              </w:rPr>
            </w:pPr>
            <w:r>
              <w:rPr>
                <w:rFonts w:ascii="Arial" w:cs="Arial" w:eastAsia="Arial" w:hAnsi="Arial"/>
                <w:sz w:val="19"/>
                <w:szCs w:val="19"/>
                <w:color w:val="auto"/>
              </w:rPr>
              <w:t>San Diego, CA (leased)</w:t>
            </w:r>
          </w:p>
        </w:tc>
        <w:tc>
          <w:tcPr>
            <w:tcW w:w="320" w:type="dxa"/>
            <w:vAlign w:val="bottom"/>
          </w:tcPr>
          <w:p>
            <w:pPr>
              <w:spacing w:after="0"/>
              <w:rPr>
                <w:sz w:val="24"/>
                <w:szCs w:val="24"/>
                <w:color w:val="auto"/>
              </w:rPr>
            </w:pPr>
          </w:p>
        </w:tc>
        <w:tc>
          <w:tcPr>
            <w:tcW w:w="314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rPr>
              <w:t>Pleasant Prairie, WI (leased)</w:t>
            </w:r>
          </w:p>
        </w:tc>
        <w:tc>
          <w:tcPr>
            <w:tcW w:w="880" w:type="dxa"/>
            <w:vAlign w:val="bottom"/>
            <w:gridSpan w:val="2"/>
          </w:tcPr>
          <w:p>
            <w:pPr>
              <w:spacing w:after="0"/>
              <w:rPr>
                <w:sz w:val="24"/>
                <w:szCs w:val="24"/>
                <w:color w:val="auto"/>
              </w:rPr>
            </w:pPr>
          </w:p>
        </w:tc>
        <w:tc>
          <w:tcPr>
            <w:tcW w:w="2780" w:type="dxa"/>
            <w:vAlign w:val="bottom"/>
          </w:tcPr>
          <w:p>
            <w:pPr>
              <w:ind w:left="560"/>
              <w:spacing w:after="0"/>
              <w:rPr>
                <w:sz w:val="20"/>
                <w:szCs w:val="20"/>
                <w:color w:val="auto"/>
              </w:rPr>
            </w:pPr>
            <w:r>
              <w:rPr>
                <w:rFonts w:ascii="Arial" w:cs="Arial" w:eastAsia="Arial" w:hAnsi="Arial"/>
                <w:sz w:val="19"/>
                <w:szCs w:val="19"/>
                <w:color w:val="auto"/>
              </w:rPr>
              <w:t>Schonaich, Germany</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Northford, CT</w:t>
            </w:r>
          </w:p>
        </w:tc>
        <w:tc>
          <w:tcPr>
            <w:tcW w:w="320" w:type="dxa"/>
            <w:vAlign w:val="bottom"/>
          </w:tcPr>
          <w:p>
            <w:pPr>
              <w:spacing w:after="0"/>
              <w:rPr>
                <w:sz w:val="18"/>
                <w:szCs w:val="18"/>
                <w:color w:val="auto"/>
              </w:rPr>
            </w:pPr>
          </w:p>
        </w:tc>
        <w:tc>
          <w:tcPr>
            <w:tcW w:w="4020" w:type="dxa"/>
            <w:vAlign w:val="bottom"/>
            <w:gridSpan w:val="5"/>
          </w:tcPr>
          <w:p>
            <w:pPr>
              <w:jc w:val="center"/>
              <w:ind w:right="860"/>
              <w:spacing w:after="0" w:line="216" w:lineRule="exact"/>
              <w:rPr>
                <w:sz w:val="20"/>
                <w:szCs w:val="20"/>
                <w:color w:val="auto"/>
              </w:rPr>
            </w:pPr>
            <w:r>
              <w:rPr>
                <w:rFonts w:ascii="Arial" w:cs="Arial" w:eastAsia="Arial" w:hAnsi="Arial"/>
                <w:sz w:val="19"/>
                <w:szCs w:val="19"/>
                <w:color w:val="auto"/>
              </w:rPr>
              <w:t>Shenzhen, China (leased)</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(leased)</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Freeport, IL</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Suzhou, China</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Pune, India (partially</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St. Charles, IL (leased)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Tianjin, China (leased)</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leased)</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Golden Valley, MN</w:t>
            </w:r>
          </w:p>
        </w:tc>
        <w:tc>
          <w:tcPr>
            <w:tcW w:w="320" w:type="dxa"/>
            <w:vAlign w:val="bottom"/>
          </w:tcPr>
          <w:p>
            <w:pPr>
              <w:spacing w:after="0"/>
              <w:rPr>
                <w:sz w:val="18"/>
                <w:szCs w:val="18"/>
                <w:color w:val="auto"/>
              </w:rPr>
            </w:pPr>
          </w:p>
        </w:tc>
        <w:tc>
          <w:tcPr>
            <w:tcW w:w="4020" w:type="dxa"/>
            <w:vAlign w:val="bottom"/>
            <w:gridSpan w:val="5"/>
          </w:tcPr>
          <w:p>
            <w:pPr>
              <w:jc w:val="center"/>
              <w:ind w:right="880"/>
              <w:spacing w:after="0" w:line="216" w:lineRule="exact"/>
              <w:rPr>
                <w:sz w:val="20"/>
                <w:szCs w:val="20"/>
                <w:color w:val="auto"/>
              </w:rPr>
            </w:pPr>
            <w:r>
              <w:rPr>
                <w:rFonts w:ascii="Arial" w:cs="Arial" w:eastAsia="Arial" w:hAnsi="Arial"/>
                <w:sz w:val="19"/>
                <w:szCs w:val="19"/>
                <w:color w:val="auto"/>
              </w:rPr>
              <w:t>Brno, Czech Republic (leased)</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Chihuahua, Mexico</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York, PA (leased)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Mosbach, Germany</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(partially leased)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Neuss, Germany</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Juarez, Mexico (partially</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leased)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Tijuana, Mexico (leased)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Emmen, Netherlands</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780" w:type="dxa"/>
            <w:vAlign w:val="bottom"/>
            <w:gridSpan w:val="5"/>
            <w:vMerge w:val="restart"/>
          </w:tcPr>
          <w:p>
            <w:pPr>
              <w:jc w:val="center"/>
              <w:spacing w:after="0"/>
              <w:rPr>
                <w:sz w:val="20"/>
                <w:szCs w:val="20"/>
                <w:color w:val="auto"/>
              </w:rPr>
            </w:pPr>
            <w:r>
              <w:rPr>
                <w:rFonts w:ascii="Arial" w:cs="Arial" w:eastAsia="Arial" w:hAnsi="Arial"/>
                <w:sz w:val="19"/>
                <w:szCs w:val="19"/>
                <w:b w:val="1"/>
                <w:bCs w:val="1"/>
                <w:color w:val="auto"/>
              </w:rPr>
              <w:t>Performance Materials and Technologies</w:t>
            </w:r>
          </w:p>
        </w:tc>
        <w:tc>
          <w:tcPr>
            <w:tcW w:w="560" w:type="dxa"/>
            <w:vAlign w:val="bottom"/>
            <w:vMerge w:val="restart"/>
          </w:tcPr>
          <w:p>
            <w:pPr>
              <w:spacing w:after="0"/>
              <w:rPr>
                <w:sz w:val="20"/>
                <w:szCs w:val="20"/>
                <w:color w:val="auto"/>
              </w:rPr>
            </w:pPr>
          </w:p>
        </w:tc>
        <w:tc>
          <w:tcPr>
            <w:tcW w:w="2780" w:type="dxa"/>
            <w:vAlign w:val="bottom"/>
          </w:tcPr>
          <w:p>
            <w:pPr>
              <w:ind w:left="560"/>
              <w:spacing w:after="0"/>
              <w:rPr>
                <w:sz w:val="20"/>
                <w:szCs w:val="20"/>
                <w:color w:val="auto"/>
              </w:rPr>
            </w:pPr>
            <w:r>
              <w:rPr>
                <w:rFonts w:ascii="Arial" w:cs="Arial" w:eastAsia="Arial" w:hAnsi="Arial"/>
                <w:sz w:val="19"/>
                <w:szCs w:val="19"/>
                <w:color w:val="auto"/>
              </w:rPr>
              <w:t>Newhouse, Scotland</w:t>
            </w: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3780" w:type="dxa"/>
            <w:vAlign w:val="bottom"/>
            <w:tcBorders>
              <w:bottom w:val="single" w:sz="8" w:color="auto"/>
            </w:tcBorders>
            <w:gridSpan w:val="5"/>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0"/>
                <w:szCs w:val="20"/>
                <w:color w:val="auto"/>
              </w:rPr>
            </w:pPr>
            <w:r>
              <w:rPr>
                <w:rFonts w:ascii="Arial" w:cs="Arial" w:eastAsia="Arial" w:hAnsi="Arial"/>
                <w:sz w:val="19"/>
                <w:szCs w:val="19"/>
                <w:color w:val="auto"/>
              </w:rPr>
              <w:t>Mobile, AL (partially leased)</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gridSpan w:val="4"/>
          </w:tcPr>
          <w:p>
            <w:pPr>
              <w:jc w:val="center"/>
              <w:ind w:right="1340"/>
              <w:spacing w:after="0"/>
              <w:rPr>
                <w:sz w:val="20"/>
                <w:szCs w:val="20"/>
                <w:color w:val="auto"/>
              </w:rPr>
            </w:pPr>
            <w:r>
              <w:rPr>
                <w:rFonts w:ascii="Arial" w:cs="Arial" w:eastAsia="Arial" w:hAnsi="Arial"/>
                <w:sz w:val="19"/>
                <w:szCs w:val="19"/>
                <w:color w:val="auto"/>
              </w:rPr>
              <w:t>Shreveport, LA</w:t>
            </w:r>
          </w:p>
        </w:tc>
        <w:tc>
          <w:tcPr>
            <w:tcW w:w="2780" w:type="dxa"/>
            <w:vAlign w:val="bottom"/>
          </w:tcPr>
          <w:p>
            <w:pPr>
              <w:ind w:left="560"/>
              <w:spacing w:after="0"/>
              <w:rPr>
                <w:sz w:val="20"/>
                <w:szCs w:val="20"/>
                <w:color w:val="auto"/>
              </w:rPr>
            </w:pPr>
            <w:r>
              <w:rPr>
                <w:rFonts w:ascii="Arial" w:cs="Arial" w:eastAsia="Arial" w:hAnsi="Arial"/>
                <w:sz w:val="19"/>
                <w:szCs w:val="19"/>
                <w:color w:val="auto"/>
              </w:rPr>
              <w:t>Colonial Heights, VA</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Des Plaines, IL</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Frankford, PA</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Hopewell, VA</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Metropolis, IL</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Pottsville, PA</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Spokane, WA (partially</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Baton Rouge, LA</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20"/>
              <w:spacing w:after="0" w:line="216" w:lineRule="exact"/>
              <w:rPr>
                <w:sz w:val="20"/>
                <w:szCs w:val="20"/>
                <w:color w:val="auto"/>
              </w:rPr>
            </w:pPr>
            <w:r>
              <w:rPr>
                <w:rFonts w:ascii="Arial" w:cs="Arial" w:eastAsia="Arial" w:hAnsi="Arial"/>
                <w:sz w:val="19"/>
                <w:szCs w:val="19"/>
                <w:color w:val="auto"/>
              </w:rPr>
              <w:t>Orange, TX</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leased)</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9"/>
                <w:szCs w:val="19"/>
                <w:color w:val="auto"/>
              </w:rPr>
              <w:t>Geismar, LA</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60" w:type="dxa"/>
            <w:vAlign w:val="bottom"/>
            <w:gridSpan w:val="4"/>
          </w:tcPr>
          <w:p>
            <w:pPr>
              <w:jc w:val="center"/>
              <w:ind w:right="1340"/>
              <w:spacing w:after="0"/>
              <w:rPr>
                <w:sz w:val="20"/>
                <w:szCs w:val="20"/>
                <w:color w:val="auto"/>
              </w:rPr>
            </w:pPr>
            <w:r>
              <w:rPr>
                <w:rFonts w:ascii="Arial" w:cs="Arial" w:eastAsia="Arial" w:hAnsi="Arial"/>
                <w:sz w:val="19"/>
                <w:szCs w:val="19"/>
                <w:color w:val="auto"/>
              </w:rPr>
              <w:t>Chesterfield, VA</w:t>
            </w:r>
          </w:p>
        </w:tc>
        <w:tc>
          <w:tcPr>
            <w:tcW w:w="2780" w:type="dxa"/>
            <w:vAlign w:val="bottom"/>
          </w:tcPr>
          <w:p>
            <w:pPr>
              <w:ind w:left="560"/>
              <w:spacing w:after="0"/>
              <w:rPr>
                <w:sz w:val="20"/>
                <w:szCs w:val="20"/>
                <w:color w:val="auto"/>
              </w:rPr>
            </w:pPr>
            <w:r>
              <w:rPr>
                <w:rFonts w:ascii="Arial" w:cs="Arial" w:eastAsia="Arial" w:hAnsi="Arial"/>
                <w:sz w:val="19"/>
                <w:szCs w:val="19"/>
                <w:color w:val="auto"/>
              </w:rPr>
              <w:t>Seelze, Germany</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Transportation Systems</w:t>
            </w:r>
          </w:p>
        </w:tc>
        <w:tc>
          <w:tcPr>
            <w:tcW w:w="1340" w:type="dxa"/>
            <w:vAlign w:val="bottom"/>
            <w:gridSpan w:val="3"/>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0"/>
                <w:szCs w:val="20"/>
                <w:color w:val="auto"/>
              </w:rPr>
            </w:pPr>
            <w:r>
              <w:rPr>
                <w:rFonts w:ascii="Arial" w:cs="Arial" w:eastAsia="Arial" w:hAnsi="Arial"/>
                <w:sz w:val="19"/>
                <w:szCs w:val="19"/>
                <w:color w:val="auto"/>
              </w:rPr>
              <w:t>Shanghai, China</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gridSpan w:val="4"/>
          </w:tcPr>
          <w:p>
            <w:pPr>
              <w:jc w:val="center"/>
              <w:ind w:right="1340"/>
              <w:spacing w:after="0"/>
              <w:rPr>
                <w:sz w:val="20"/>
                <w:szCs w:val="20"/>
                <w:color w:val="auto"/>
              </w:rPr>
            </w:pPr>
            <w:r>
              <w:rPr>
                <w:rFonts w:ascii="Arial" w:cs="Arial" w:eastAsia="Arial" w:hAnsi="Arial"/>
                <w:sz w:val="19"/>
                <w:szCs w:val="19"/>
                <w:color w:val="auto"/>
              </w:rPr>
              <w:t>Atessa, Italy</w:t>
            </w:r>
          </w:p>
        </w:tc>
        <w:tc>
          <w:tcPr>
            <w:tcW w:w="2780" w:type="dxa"/>
            <w:vAlign w:val="bottom"/>
          </w:tcPr>
          <w:p>
            <w:pPr>
              <w:ind w:left="560"/>
              <w:spacing w:after="0"/>
              <w:rPr>
                <w:sz w:val="20"/>
                <w:szCs w:val="20"/>
                <w:color w:val="auto"/>
              </w:rPr>
            </w:pPr>
            <w:r>
              <w:rPr>
                <w:rFonts w:ascii="Arial" w:cs="Arial" w:eastAsia="Arial" w:hAnsi="Arial"/>
                <w:sz w:val="19"/>
                <w:szCs w:val="19"/>
                <w:color w:val="auto"/>
              </w:rPr>
              <w:t>Mexicali, Mexico (partially</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9"/>
                <w:szCs w:val="19"/>
                <w:color w:val="auto"/>
              </w:rPr>
              <w:t>Glinde, Germany</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20"/>
              <w:spacing w:after="0" w:line="216" w:lineRule="exact"/>
              <w:rPr>
                <w:sz w:val="20"/>
                <w:szCs w:val="20"/>
                <w:color w:val="auto"/>
              </w:rPr>
            </w:pPr>
            <w:r>
              <w:rPr>
                <w:rFonts w:ascii="Arial" w:cs="Arial" w:eastAsia="Arial" w:hAnsi="Arial"/>
                <w:sz w:val="19"/>
                <w:szCs w:val="19"/>
                <w:color w:val="auto"/>
              </w:rPr>
              <w:t>Kodama, Japan</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leased)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gridSpan w:val="4"/>
          </w:tcPr>
          <w:p>
            <w:pPr>
              <w:jc w:val="center"/>
              <w:ind w:right="1340"/>
              <w:spacing w:after="0" w:line="216" w:lineRule="exact"/>
              <w:rPr>
                <w:sz w:val="20"/>
                <w:szCs w:val="20"/>
                <w:color w:val="auto"/>
              </w:rPr>
            </w:pPr>
            <w:r>
              <w:rPr>
                <w:rFonts w:ascii="Arial" w:cs="Arial" w:eastAsia="Arial" w:hAnsi="Arial"/>
                <w:sz w:val="19"/>
                <w:szCs w:val="19"/>
                <w:color w:val="auto"/>
              </w:rPr>
              <w:t>Ansan, Korea (leased)</w:t>
            </w:r>
          </w:p>
        </w:tc>
        <w:tc>
          <w:tcPr>
            <w:tcW w:w="2780" w:type="dxa"/>
            <w:vAlign w:val="bottom"/>
          </w:tcPr>
          <w:p>
            <w:pPr>
              <w:ind w:left="560"/>
              <w:spacing w:after="0" w:line="216" w:lineRule="exact"/>
              <w:rPr>
                <w:sz w:val="20"/>
                <w:szCs w:val="20"/>
                <w:color w:val="auto"/>
              </w:rPr>
            </w:pPr>
            <w:r>
              <w:rPr>
                <w:rFonts w:ascii="Arial" w:cs="Arial" w:eastAsia="Arial" w:hAnsi="Arial"/>
                <w:sz w:val="19"/>
                <w:szCs w:val="19"/>
                <w:color w:val="auto"/>
              </w:rPr>
              <w:t>Bucharest, Romania</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80" w:type="dxa"/>
            <w:vAlign w:val="bottom"/>
          </w:tcPr>
          <w:p>
            <w:pPr>
              <w:ind w:left="560"/>
              <w:spacing w:after="0"/>
              <w:rPr>
                <w:sz w:val="20"/>
                <w:szCs w:val="20"/>
                <w:color w:val="auto"/>
              </w:rPr>
            </w:pPr>
            <w:r>
              <w:rPr>
                <w:rFonts w:ascii="Arial" w:cs="Arial" w:eastAsia="Arial" w:hAnsi="Arial"/>
                <w:sz w:val="19"/>
                <w:szCs w:val="19"/>
                <w:color w:val="auto"/>
              </w:rPr>
              <w:t>Pune, India</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147"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are subject to a number of lawsuits, investigations and claims (some of which involve substantial amounts) arising out of the conduct of our business. See a discussion of environmental, asbestos and other litigation matters in Note 22 Commitments and Contingencies of Notes to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Environmental Matters Involving Potential Monetary Sanctions in Excess of $100,000</w:t>
      </w:r>
    </w:p>
    <w:p>
      <w:pPr>
        <w:spacing w:after="0" w:line="116" w:lineRule="exact"/>
        <w:rPr>
          <w:sz w:val="20"/>
          <w:szCs w:val="20"/>
          <w:color w:val="auto"/>
        </w:rPr>
      </w:pPr>
    </w:p>
    <w:p>
      <w:pPr>
        <w:ind w:right="420" w:firstLine="357"/>
        <w:spacing w:after="0" w:line="253" w:lineRule="auto"/>
        <w:rPr>
          <w:sz w:val="20"/>
          <w:szCs w:val="20"/>
          <w:color w:val="auto"/>
        </w:rPr>
      </w:pPr>
      <w:r>
        <w:rPr>
          <w:rFonts w:ascii="Arial" w:cs="Arial" w:eastAsia="Arial" w:hAnsi="Arial"/>
          <w:sz w:val="19"/>
          <w:szCs w:val="19"/>
          <w:color w:val="auto"/>
        </w:rPr>
        <w:t>Although the outcome of the matter discussed below cannot be predicted with certainty, we do not believe that it will have a material adverse effect on our consolidated financial position, consolidated results of operations or operating cash flows.</w:t>
      </w:r>
    </w:p>
    <w:p>
      <w:pPr>
        <w:spacing w:after="0" w:line="8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United States Environmental Protection Agency and the United States Department of Justice are investigating whether the Company’s manufacturing facility in Hopewell, Virginia is in compliance with the requirements of the Clean Air Act and the facility’s air operating permit. Based on these investigations, the federal authorities have issued notices of violation with respect to the facility’s benzene waste operations, leak detection and repair program, emissions of nitrogen oxides and emissions of particulate matter. The Company has entered into negotiations with federal authorities to resolve the alleged violations.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94" w:right="339" w:bottom="1440" w:gutter="0" w:footer="0" w:header="0"/>
        </w:sectPr>
      </w:pPr>
    </w:p>
    <w:bookmarkStart w:id="24" w:name="page25"/>
    <w:bookmarkEnd w:id="24"/>
    <w:p>
      <w:pPr>
        <w:spacing w:after="0"/>
        <w:rPr>
          <w:sz w:val="20"/>
          <w:szCs w:val="20"/>
          <w:color w:val="auto"/>
        </w:rPr>
      </w:pPr>
      <w:r>
        <w:rPr>
          <w:rFonts w:ascii="Arial" w:cs="Arial" w:eastAsia="Arial" w:hAnsi="Arial"/>
          <w:sz w:val="23"/>
          <w:szCs w:val="23"/>
          <w:b w:val="1"/>
          <w:bCs w:val="1"/>
          <w:color w:val="auto"/>
        </w:rPr>
        <w:t>Executive Officers of the Registrant</w:t>
      </w:r>
    </w:p>
    <w:p>
      <w:pPr>
        <w:spacing w:after="0" w:line="148" w:lineRule="exact"/>
        <w:rPr>
          <w:sz w:val="20"/>
          <w:szCs w:val="20"/>
          <w:color w:val="auto"/>
        </w:rPr>
      </w:pPr>
    </w:p>
    <w:p>
      <w:pPr>
        <w:ind w:right="720" w:firstLine="357"/>
        <w:spacing w:after="0" w:line="253" w:lineRule="auto"/>
        <w:rPr>
          <w:sz w:val="20"/>
          <w:szCs w:val="20"/>
          <w:color w:val="auto"/>
        </w:rPr>
      </w:pPr>
      <w:r>
        <w:rPr>
          <w:rFonts w:ascii="Arial" w:cs="Arial" w:eastAsia="Arial" w:hAnsi="Arial"/>
          <w:sz w:val="19"/>
          <w:szCs w:val="19"/>
          <w:color w:val="auto"/>
        </w:rPr>
        <w:t>The executive officers of Honeywell, listed as follows, are elected annually by the Board of Directors. There are no family relationships among them.</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940" w:type="dxa"/>
            <w:vAlign w:val="bottom"/>
          </w:tcPr>
          <w:p>
            <w:pPr>
              <w:jc w:val="center"/>
              <w:ind w:right="789"/>
              <w:spacing w:after="0"/>
              <w:rPr>
                <w:sz w:val="20"/>
                <w:szCs w:val="20"/>
                <w:color w:val="auto"/>
              </w:rPr>
            </w:pPr>
            <w:r>
              <w:rPr>
                <w:rFonts w:ascii="Arial" w:cs="Arial" w:eastAsia="Arial" w:hAnsi="Arial"/>
                <w:sz w:val="16"/>
                <w:szCs w:val="16"/>
                <w:b w:val="1"/>
                <w:bCs w:val="1"/>
                <w:color w:val="auto"/>
                <w:w w:val="98"/>
              </w:rPr>
              <w:t>Name, Age,</w:t>
            </w:r>
          </w:p>
        </w:tc>
        <w:tc>
          <w:tcPr>
            <w:tcW w:w="300" w:type="dxa"/>
            <w:vAlign w:val="bottom"/>
          </w:tcPr>
          <w:p>
            <w:pPr>
              <w:spacing w:after="0"/>
              <w:rPr>
                <w:sz w:val="16"/>
                <w:szCs w:val="16"/>
                <w:color w:val="auto"/>
              </w:rPr>
            </w:pPr>
          </w:p>
        </w:tc>
        <w:tc>
          <w:tcPr>
            <w:tcW w:w="728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2940" w:type="dxa"/>
            <w:vAlign w:val="bottom"/>
          </w:tcPr>
          <w:p>
            <w:pPr>
              <w:jc w:val="center"/>
              <w:ind w:right="789"/>
              <w:spacing w:after="0" w:line="176" w:lineRule="exact"/>
              <w:rPr>
                <w:sz w:val="20"/>
                <w:szCs w:val="20"/>
                <w:color w:val="auto"/>
              </w:rPr>
            </w:pPr>
            <w:r>
              <w:rPr>
                <w:rFonts w:ascii="Arial" w:cs="Arial" w:eastAsia="Arial" w:hAnsi="Arial"/>
                <w:sz w:val="16"/>
                <w:szCs w:val="16"/>
                <w:b w:val="1"/>
                <w:bCs w:val="1"/>
                <w:color w:val="auto"/>
              </w:rPr>
              <w:t>Date First</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940" w:type="dxa"/>
            <w:vAlign w:val="bottom"/>
          </w:tcPr>
          <w:p>
            <w:pPr>
              <w:jc w:val="center"/>
              <w:ind w:right="789"/>
              <w:spacing w:after="0" w:line="176" w:lineRule="exact"/>
              <w:rPr>
                <w:sz w:val="20"/>
                <w:szCs w:val="20"/>
                <w:color w:val="auto"/>
              </w:rPr>
            </w:pPr>
            <w:r>
              <w:rPr>
                <w:rFonts w:ascii="Arial" w:cs="Arial" w:eastAsia="Arial" w:hAnsi="Arial"/>
                <w:sz w:val="16"/>
                <w:szCs w:val="16"/>
                <w:b w:val="1"/>
                <w:bCs w:val="1"/>
                <w:color w:val="auto"/>
                <w:w w:val="97"/>
              </w:rPr>
              <w:t>Elected an</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204"/>
        </w:trPr>
        <w:tc>
          <w:tcPr>
            <w:tcW w:w="9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ind w:right="789"/>
              <w:spacing w:after="0"/>
              <w:rPr>
                <w:sz w:val="20"/>
                <w:szCs w:val="20"/>
                <w:color w:val="auto"/>
              </w:rPr>
            </w:pPr>
            <w:r>
              <w:rPr>
                <w:rFonts w:ascii="Arial" w:cs="Arial" w:eastAsia="Arial" w:hAnsi="Arial"/>
                <w:sz w:val="16"/>
                <w:szCs w:val="16"/>
                <w:b w:val="1"/>
                <w:bCs w:val="1"/>
                <w:color w:val="auto"/>
                <w:w w:val="99"/>
              </w:rPr>
              <w:t>Executive Officer</w:t>
            </w:r>
          </w:p>
        </w:tc>
        <w:tc>
          <w:tcPr>
            <w:tcW w:w="300" w:type="dxa"/>
            <w:vAlign w:val="bottom"/>
          </w:tcPr>
          <w:p>
            <w:pPr>
              <w:spacing w:after="0"/>
              <w:rPr>
                <w:sz w:val="17"/>
                <w:szCs w:val="17"/>
                <w:color w:val="auto"/>
              </w:rPr>
            </w:pPr>
          </w:p>
        </w:tc>
        <w:tc>
          <w:tcPr>
            <w:tcW w:w="728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Business Experience</w:t>
            </w:r>
          </w:p>
        </w:tc>
      </w:tr>
      <w:tr>
        <w:trPr>
          <w:trHeight w:val="223"/>
        </w:trPr>
        <w:tc>
          <w:tcPr>
            <w:tcW w:w="900" w:type="dxa"/>
            <w:vAlign w:val="bottom"/>
          </w:tcPr>
          <w:p>
            <w:pPr>
              <w:spacing w:after="0"/>
              <w:rPr>
                <w:sz w:val="19"/>
                <w:szCs w:val="19"/>
                <w:color w:val="auto"/>
              </w:rPr>
            </w:pPr>
          </w:p>
        </w:tc>
        <w:tc>
          <w:tcPr>
            <w:tcW w:w="2940" w:type="dxa"/>
            <w:vAlign w:val="bottom"/>
          </w:tcPr>
          <w:p>
            <w:pPr>
              <w:jc w:val="center"/>
              <w:ind w:right="809"/>
              <w:spacing w:after="0"/>
              <w:rPr>
                <w:sz w:val="20"/>
                <w:szCs w:val="20"/>
                <w:color w:val="auto"/>
              </w:rPr>
            </w:pPr>
            <w:r>
              <w:rPr>
                <w:rFonts w:ascii="Arial" w:cs="Arial" w:eastAsia="Arial" w:hAnsi="Arial"/>
                <w:sz w:val="19"/>
                <w:szCs w:val="19"/>
                <w:color w:val="auto"/>
              </w:rPr>
              <w:t>David M. Cote, 60</w:t>
            </w:r>
          </w:p>
        </w:tc>
        <w:tc>
          <w:tcPr>
            <w:tcW w:w="30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Chairman of the Board and Chief Executive Officer since July 2002.</w:t>
            </w:r>
          </w:p>
        </w:tc>
      </w:tr>
      <w:tr>
        <w:trPr>
          <w:trHeight w:val="234"/>
        </w:trPr>
        <w:tc>
          <w:tcPr>
            <w:tcW w:w="900" w:type="dxa"/>
            <w:vAlign w:val="bottom"/>
          </w:tcPr>
          <w:p>
            <w:pPr>
              <w:spacing w:after="0"/>
              <w:rPr>
                <w:sz w:val="20"/>
                <w:szCs w:val="20"/>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2002(a)</w:t>
            </w:r>
          </w:p>
        </w:tc>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334"/>
        </w:trPr>
        <w:tc>
          <w:tcPr>
            <w:tcW w:w="900" w:type="dxa"/>
            <w:vAlign w:val="bottom"/>
          </w:tcPr>
          <w:p>
            <w:pPr>
              <w:spacing w:after="0"/>
              <w:rPr>
                <w:sz w:val="24"/>
                <w:szCs w:val="24"/>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Katherine L. Adams, 48</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and General Counsel since April 2009. Vice President and</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General Counsel from September 2008 to April 2009. Vice President and General</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Counsel for Performance Materials and Technologies from February 2005 to</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September 2008.</w:t>
            </w:r>
          </w:p>
        </w:tc>
      </w:tr>
      <w:tr>
        <w:trPr>
          <w:trHeight w:val="334"/>
        </w:trPr>
        <w:tc>
          <w:tcPr>
            <w:tcW w:w="900" w:type="dxa"/>
            <w:vAlign w:val="bottom"/>
          </w:tcPr>
          <w:p>
            <w:pPr>
              <w:spacing w:after="0"/>
              <w:rPr>
                <w:sz w:val="24"/>
                <w:szCs w:val="24"/>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David J. Anderson, 63</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and Chief Financial Officer since June 2003.</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2003</w:t>
            </w:r>
          </w:p>
        </w:tc>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334"/>
        </w:trPr>
        <w:tc>
          <w:tcPr>
            <w:tcW w:w="900" w:type="dxa"/>
            <w:vAlign w:val="bottom"/>
          </w:tcPr>
          <w:p>
            <w:pPr>
              <w:spacing w:after="0"/>
              <w:rPr>
                <w:sz w:val="24"/>
                <w:szCs w:val="24"/>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Roger Fradin, 59</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Automation and Control Solutions since</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2004</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January 2004.</w:t>
            </w:r>
          </w:p>
        </w:tc>
      </w:tr>
      <w:tr>
        <w:trPr>
          <w:trHeight w:val="334"/>
        </w:trPr>
        <w:tc>
          <w:tcPr>
            <w:tcW w:w="900" w:type="dxa"/>
            <w:vAlign w:val="bottom"/>
          </w:tcPr>
          <w:p>
            <w:pPr>
              <w:spacing w:after="0"/>
              <w:rPr>
                <w:sz w:val="24"/>
                <w:szCs w:val="24"/>
                <w:color w:val="auto"/>
              </w:rPr>
            </w:pPr>
          </w:p>
        </w:tc>
        <w:tc>
          <w:tcPr>
            <w:tcW w:w="2940" w:type="dxa"/>
            <w:vAlign w:val="bottom"/>
          </w:tcPr>
          <w:p>
            <w:pPr>
              <w:jc w:val="center"/>
              <w:ind w:right="809"/>
              <w:spacing w:after="0"/>
              <w:rPr>
                <w:sz w:val="20"/>
                <w:szCs w:val="20"/>
                <w:color w:val="auto"/>
              </w:rPr>
            </w:pPr>
            <w:r>
              <w:rPr>
                <w:rFonts w:ascii="Arial" w:cs="Arial" w:eastAsia="Arial" w:hAnsi="Arial"/>
                <w:sz w:val="19"/>
                <w:szCs w:val="19"/>
                <w:color w:val="auto"/>
              </w:rPr>
              <w:t>Alexandre Ismail, 47</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Transportation Systems since April 2009.</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Turbo Technologies from November 2008 to April 2009. President</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Global Passengers Vehicles from August 2006 to November 2008.</w:t>
            </w:r>
          </w:p>
        </w:tc>
      </w:tr>
      <w:tr>
        <w:trPr>
          <w:trHeight w:val="334"/>
        </w:trPr>
        <w:tc>
          <w:tcPr>
            <w:tcW w:w="900" w:type="dxa"/>
            <w:vAlign w:val="bottom"/>
          </w:tcPr>
          <w:p>
            <w:pPr>
              <w:spacing w:after="0"/>
              <w:rPr>
                <w:sz w:val="24"/>
                <w:szCs w:val="24"/>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Mark R. James, 51</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Human Resources and Communications since November</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2007</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2007. Vice President of Human Resources and Communications for Aerospace</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from October 2004 to November 2007.</w:t>
            </w:r>
          </w:p>
        </w:tc>
      </w:tr>
      <w:tr>
        <w:trPr>
          <w:trHeight w:val="3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Andreas C. Kramvis, 60</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Performance Materials and Technologies</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2008</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since March 2008. President of Environmental and Combustion Controls from</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September 2002 to February 2008.</w:t>
            </w:r>
          </w:p>
        </w:tc>
      </w:tr>
      <w:tr>
        <w:trPr>
          <w:trHeight w:val="3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Timothy O. Mahoney, 56</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President and Chief Executive Officer Aerospace since September 2009. Vice</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Aerospace Engineering and Technology and Chief Technology Officer</w:t>
            </w:r>
          </w:p>
        </w:tc>
      </w:tr>
      <w:tr>
        <w:trPr>
          <w:trHeight w:val="216"/>
        </w:trPr>
        <w:tc>
          <w:tcPr>
            <w:tcW w:w="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from March 2007 to August 2009. President of Air Transport and Regional from</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July 2005 to March 2007.</w:t>
            </w:r>
          </w:p>
        </w:tc>
      </w:tr>
      <w:tr>
        <w:trPr>
          <w:trHeight w:val="334"/>
        </w:trPr>
        <w:tc>
          <w:tcPr>
            <w:tcW w:w="900" w:type="dxa"/>
            <w:vAlign w:val="bottom"/>
          </w:tcPr>
          <w:p>
            <w:pPr>
              <w:spacing w:after="0"/>
              <w:rPr>
                <w:sz w:val="24"/>
                <w:szCs w:val="24"/>
                <w:color w:val="auto"/>
              </w:rPr>
            </w:pPr>
          </w:p>
        </w:tc>
        <w:tc>
          <w:tcPr>
            <w:tcW w:w="2940" w:type="dxa"/>
            <w:vAlign w:val="bottom"/>
          </w:tcPr>
          <w:p>
            <w:pPr>
              <w:jc w:val="center"/>
              <w:ind w:right="789"/>
              <w:spacing w:after="0"/>
              <w:rPr>
                <w:sz w:val="20"/>
                <w:szCs w:val="20"/>
                <w:color w:val="auto"/>
              </w:rPr>
            </w:pPr>
            <w:r>
              <w:rPr>
                <w:rFonts w:ascii="Arial" w:cs="Arial" w:eastAsia="Arial" w:hAnsi="Arial"/>
                <w:sz w:val="19"/>
                <w:szCs w:val="19"/>
                <w:color w:val="auto"/>
              </w:rPr>
              <w:t>Krishna Mikkilineni, 53</w:t>
            </w:r>
          </w:p>
        </w:tc>
        <w:tc>
          <w:tcPr>
            <w:tcW w:w="30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9"/>
                <w:szCs w:val="19"/>
                <w:color w:val="auto"/>
              </w:rPr>
              <w:t>Senior Vice President Engineering and Operations since April 2010 and President</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2010</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Honeywell Technology Solutions since January 2009. Vice President Honeywell</w:t>
            </w:r>
          </w:p>
        </w:tc>
      </w:tr>
      <w:tr>
        <w:trPr>
          <w:trHeight w:val="234"/>
        </w:trPr>
        <w:tc>
          <w:tcPr>
            <w:tcW w:w="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Technology Solutions from July 2002 to January 2009.</w:t>
            </w:r>
          </w:p>
        </w:tc>
      </w:tr>
      <w:tr>
        <w:trPr>
          <w:trHeight w:val="465"/>
        </w:trPr>
        <w:tc>
          <w:tcPr>
            <w:tcW w:w="900" w:type="dxa"/>
            <w:vAlign w:val="bottom"/>
            <w:tcBorders>
              <w:bottom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298"/>
        </w:trPr>
        <w:tc>
          <w:tcPr>
            <w:tcW w:w="3840" w:type="dxa"/>
            <w:vAlign w:val="bottom"/>
            <w:gridSpan w:val="2"/>
          </w:tcPr>
          <w:p>
            <w:pPr>
              <w:ind w:left="60"/>
              <w:spacing w:after="0"/>
              <w:rPr>
                <w:sz w:val="20"/>
                <w:szCs w:val="20"/>
                <w:color w:val="auto"/>
              </w:rPr>
            </w:pPr>
            <w:r>
              <w:rPr>
                <w:rFonts w:ascii="Arial" w:cs="Arial" w:eastAsia="Arial" w:hAnsi="Arial"/>
                <w:sz w:val="19"/>
                <w:szCs w:val="19"/>
                <w:color w:val="auto"/>
              </w:rPr>
              <w:t>(a) Also a Director.</w:t>
            </w: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38"/>
        </w:trPr>
        <w:tc>
          <w:tcPr>
            <w:tcW w:w="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580" w:type="dxa"/>
            <w:vAlign w:val="bottom"/>
            <w:gridSpan w:val="2"/>
          </w:tcPr>
          <w:p>
            <w:pPr>
              <w:jc w:val="right"/>
              <w:ind w:right="5504"/>
              <w:spacing w:after="0"/>
              <w:rPr>
                <w:sz w:val="20"/>
                <w:szCs w:val="20"/>
                <w:color w:val="auto"/>
              </w:rPr>
            </w:pPr>
            <w:r>
              <w:rPr>
                <w:rFonts w:ascii="Arial" w:cs="Arial" w:eastAsia="Arial" w:hAnsi="Arial"/>
                <w:sz w:val="19"/>
                <w:szCs w:val="19"/>
                <w:color w:val="auto"/>
              </w:rPr>
              <w:t>21</w:t>
            </w:r>
          </w:p>
        </w:tc>
      </w:tr>
      <w:tr>
        <w:trPr>
          <w:trHeight w:val="209"/>
        </w:trPr>
        <w:tc>
          <w:tcPr>
            <w:tcW w:w="9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-577850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3"/>
          <w:szCs w:val="23"/>
          <w:b w:val="1"/>
          <w:bCs w:val="1"/>
          <w:color w:val="auto"/>
        </w:rPr>
        <w:t>Part II.</w:t>
      </w:r>
    </w:p>
    <w:p>
      <w:pPr>
        <w:spacing w:after="0" w:line="182" w:lineRule="exact"/>
        <w:rPr>
          <w:sz w:val="20"/>
          <w:szCs w:val="20"/>
          <w:color w:val="auto"/>
        </w:rPr>
      </w:pPr>
    </w:p>
    <w:p>
      <w:pPr>
        <w:ind w:left="800" w:right="380" w:hanging="790"/>
        <w:spacing w:after="0" w:line="280"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64"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Honeywell’s common stock is listed on the New York Stock Exchange. Market and dividend information for Honeywell’s common stock is included in Note 27 Unaudited Quarterly Financial Information of Notes to Financial Statements in “Item 8. Financial Statements and Supplementary Data.”</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record holders of our common stock at December 31, 2012 was 55,879.</w:t>
      </w:r>
    </w:p>
    <w:p>
      <w:pPr>
        <w:spacing w:after="0" w:line="106" w:lineRule="exact"/>
        <w:rPr>
          <w:sz w:val="20"/>
          <w:szCs w:val="20"/>
          <w:color w:val="auto"/>
        </w:rPr>
      </w:pPr>
    </w:p>
    <w:p>
      <w:pPr>
        <w:ind w:right="180" w:firstLine="357"/>
        <w:spacing w:after="0"/>
        <w:rPr>
          <w:sz w:val="20"/>
          <w:szCs w:val="20"/>
          <w:color w:val="auto"/>
        </w:rPr>
      </w:pPr>
      <w:r>
        <w:rPr>
          <w:rFonts w:ascii="Arial" w:cs="Arial" w:eastAsia="Arial" w:hAnsi="Arial"/>
          <w:sz w:val="19"/>
          <w:szCs w:val="19"/>
          <w:color w:val="auto"/>
        </w:rPr>
        <w:t>Honeywell purchased 5,000,000 shares of its common stock, par value $1 per share, in the quarter and year ending December 31, 2012. Under the Company’s previously reported $ 3 billion share repurchase program, $1.6 billion remained available as of December 31, 2012 for additional share repurchases. Honeywell presently expects to repurchase outstanding shares from time to time during 2013 to offset the dilutive impact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Honeywell’s purchase of its common stock, par value $1 per share, for the three months ended</w:t>
      </w:r>
    </w:p>
    <w:p>
      <w:pPr>
        <w:spacing w:after="0"/>
        <w:rPr>
          <w:sz w:val="20"/>
          <w:szCs w:val="20"/>
          <w:color w:val="auto"/>
        </w:rPr>
      </w:pPr>
      <w:r>
        <w:rPr>
          <w:rFonts w:ascii="Arial" w:cs="Arial" w:eastAsia="Arial" w:hAnsi="Arial"/>
          <w:sz w:val="19"/>
          <w:szCs w:val="19"/>
          <w:color w:val="auto"/>
        </w:rPr>
        <w:t>December 31, 2012: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gridSpan w:val="5"/>
          </w:tcPr>
          <w:p>
            <w:pPr>
              <w:jc w:val="center"/>
              <w:ind w:right="1121"/>
              <w:spacing w:after="0"/>
              <w:rPr>
                <w:sz w:val="20"/>
                <w:szCs w:val="20"/>
                <w:color w:val="auto"/>
              </w:rPr>
            </w:pPr>
            <w:r>
              <w:rPr>
                <w:rFonts w:ascii="Arial" w:cs="Arial" w:eastAsia="Arial" w:hAnsi="Arial"/>
                <w:sz w:val="16"/>
                <w:szCs w:val="16"/>
                <w:b w:val="1"/>
                <w:bCs w:val="1"/>
                <w:color w:val="auto"/>
                <w:w w:val="98"/>
              </w:rPr>
              <w:t>Issuer Purchases of Equity Securities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(d)</w:t>
            </w:r>
          </w:p>
        </w:tc>
        <w:tc>
          <w:tcPr>
            <w:tcW w:w="520" w:type="dxa"/>
            <w:vAlign w:val="bottom"/>
          </w:tcPr>
          <w:p>
            <w:pPr>
              <w:spacing w:after="0"/>
              <w:rPr>
                <w:sz w:val="17"/>
                <w:szCs w:val="17"/>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Total Number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of Shares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center"/>
              <w:ind w:right="159"/>
              <w:spacing w:after="0" w:line="176" w:lineRule="exact"/>
              <w:rPr>
                <w:sz w:val="20"/>
                <w:szCs w:val="20"/>
                <w:color w:val="auto"/>
              </w:rPr>
            </w:pPr>
            <w:r>
              <w:rPr>
                <w:rFonts w:ascii="Arial" w:cs="Arial" w:eastAsia="Arial" w:hAnsi="Arial"/>
                <w:sz w:val="16"/>
                <w:szCs w:val="16"/>
                <w:b w:val="1"/>
                <w:bCs w:val="1"/>
                <w:color w:val="auto"/>
                <w:w w:val="97"/>
              </w:rPr>
              <w:t>Approximate Dollar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Purchased as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center"/>
              <w:ind w:right="159"/>
              <w:spacing w:after="0" w:line="176" w:lineRule="exact"/>
              <w:rPr>
                <w:sz w:val="20"/>
                <w:szCs w:val="20"/>
                <w:color w:val="auto"/>
              </w:rPr>
            </w:pPr>
            <w:r>
              <w:rPr>
                <w:rFonts w:ascii="Arial" w:cs="Arial" w:eastAsia="Arial" w:hAnsi="Arial"/>
                <w:sz w:val="16"/>
                <w:szCs w:val="16"/>
                <w:b w:val="1"/>
                <w:bCs w:val="1"/>
                <w:color w:val="auto"/>
                <w:w w:val="98"/>
              </w:rPr>
              <w:t>Value of Shares that</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Part of Publicly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center"/>
              <w:ind w:right="159"/>
              <w:spacing w:after="0" w:line="176" w:lineRule="exact"/>
              <w:rPr>
                <w:sz w:val="20"/>
                <w:szCs w:val="20"/>
                <w:color w:val="auto"/>
              </w:rPr>
            </w:pPr>
            <w:r>
              <w:rPr>
                <w:rFonts w:ascii="Arial" w:cs="Arial" w:eastAsia="Arial" w:hAnsi="Arial"/>
                <w:sz w:val="16"/>
                <w:szCs w:val="16"/>
                <w:b w:val="1"/>
                <w:bCs w:val="1"/>
                <w:color w:val="auto"/>
                <w:w w:val="98"/>
              </w:rPr>
              <w:t>May Yet be Purchased</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Announced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center"/>
              <w:ind w:right="159"/>
              <w:spacing w:after="0" w:line="176" w:lineRule="exact"/>
              <w:rPr>
                <w:sz w:val="20"/>
                <w:szCs w:val="20"/>
                <w:color w:val="auto"/>
              </w:rPr>
            </w:pPr>
            <w:r>
              <w:rPr>
                <w:rFonts w:ascii="Arial" w:cs="Arial" w:eastAsia="Arial" w:hAnsi="Arial"/>
                <w:sz w:val="16"/>
                <w:szCs w:val="16"/>
                <w:b w:val="1"/>
                <w:bCs w:val="1"/>
                <w:color w:val="auto"/>
                <w:w w:val="98"/>
              </w:rPr>
              <w:t>Under Plans or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Price Paid</w:t>
            </w:r>
          </w:p>
        </w:tc>
        <w:tc>
          <w:tcPr>
            <w:tcW w:w="3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Plans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center"/>
              <w:ind w:right="159"/>
              <w:spacing w:after="0" w:line="176" w:lineRule="exact"/>
              <w:rPr>
                <w:sz w:val="20"/>
                <w:szCs w:val="20"/>
                <w:color w:val="auto"/>
              </w:rPr>
            </w:pPr>
            <w:r>
              <w:rPr>
                <w:rFonts w:ascii="Arial" w:cs="Arial" w:eastAsia="Arial" w:hAnsi="Arial"/>
                <w:sz w:val="16"/>
                <w:szCs w:val="16"/>
                <w:b w:val="1"/>
                <w:bCs w:val="1"/>
                <w:color w:val="auto"/>
                <w:w w:val="96"/>
              </w:rPr>
              <w:t>Programs</w:t>
            </w:r>
          </w:p>
        </w:tc>
        <w:tc>
          <w:tcPr>
            <w:tcW w:w="520" w:type="dxa"/>
            <w:vAlign w:val="bottom"/>
          </w:tcPr>
          <w:p>
            <w:pPr>
              <w:spacing w:after="0"/>
              <w:rPr>
                <w:sz w:val="15"/>
                <w:szCs w:val="15"/>
                <w:color w:val="auto"/>
              </w:rPr>
            </w:pPr>
          </w:p>
        </w:tc>
      </w:tr>
      <w:tr>
        <w:trPr>
          <w:trHeight w:val="204"/>
        </w:trPr>
        <w:tc>
          <w:tcPr>
            <w:tcW w:w="500" w:type="dxa"/>
            <w:vAlign w:val="bottom"/>
          </w:tcPr>
          <w:p>
            <w:pPr>
              <w:spacing w:after="0"/>
              <w:rPr>
                <w:sz w:val="17"/>
                <w:szCs w:val="17"/>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Period</w:t>
            </w: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3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 Share</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or Programs</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(Dollars in millions)</w:t>
            </w:r>
          </w:p>
        </w:tc>
        <w:tc>
          <w:tcPr>
            <w:tcW w:w="520" w:type="dxa"/>
            <w:vAlign w:val="bottom"/>
          </w:tcPr>
          <w:p>
            <w:pPr>
              <w:spacing w:after="0"/>
              <w:rPr>
                <w:sz w:val="17"/>
                <w:szCs w:val="17"/>
                <w:color w:val="auto"/>
              </w:rPr>
            </w:pPr>
          </w:p>
        </w:tc>
      </w:tr>
      <w:tr>
        <w:trPr>
          <w:trHeight w:val="264"/>
        </w:trPr>
        <w:tc>
          <w:tcPr>
            <w:tcW w:w="500" w:type="dxa"/>
            <w:vAlign w:val="bottom"/>
          </w:tcPr>
          <w:p>
            <w:pPr>
              <w:spacing w:after="0"/>
              <w:rPr>
                <w:sz w:val="22"/>
                <w:szCs w:val="22"/>
                <w:color w:val="auto"/>
              </w:rPr>
            </w:pPr>
          </w:p>
        </w:tc>
        <w:tc>
          <w:tcPr>
            <w:tcW w:w="34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December 2012</w:t>
            </w:r>
          </w:p>
        </w:tc>
        <w:tc>
          <w:tcPr>
            <w:tcW w:w="14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5,000,000</w:t>
            </w:r>
          </w:p>
        </w:tc>
        <w:tc>
          <w:tcPr>
            <w:tcW w:w="1240" w:type="dxa"/>
            <w:vAlign w:val="bottom"/>
            <w:gridSpan w:val="2"/>
            <w:shd w:val="clear" w:color="auto" w:fill="E5FFFF"/>
          </w:tcPr>
          <w:p>
            <w:pPr>
              <w:jc w:val="center"/>
              <w:ind w:left="143"/>
              <w:spacing w:after="0"/>
              <w:rPr>
                <w:sz w:val="20"/>
                <w:szCs w:val="20"/>
                <w:color w:val="auto"/>
              </w:rPr>
            </w:pPr>
            <w:r>
              <w:rPr>
                <w:rFonts w:ascii="Arial" w:cs="Arial" w:eastAsia="Arial" w:hAnsi="Arial"/>
                <w:sz w:val="19"/>
                <w:szCs w:val="19"/>
                <w:color w:val="auto"/>
              </w:rPr>
              <w:t>$  63.31</w:t>
            </w:r>
          </w:p>
        </w:tc>
        <w:tc>
          <w:tcPr>
            <w:tcW w:w="176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5,000,000</w:t>
            </w:r>
          </w:p>
        </w:tc>
        <w:tc>
          <w:tcPr>
            <w:tcW w:w="5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960" w:type="dxa"/>
            <w:vAlign w:val="bottom"/>
            <w:shd w:val="clear" w:color="auto" w:fill="E5FFFF"/>
          </w:tcPr>
          <w:p>
            <w:pPr>
              <w:jc w:val="right"/>
              <w:ind w:right="159"/>
              <w:spacing w:after="0"/>
              <w:rPr>
                <w:sz w:val="20"/>
                <w:szCs w:val="20"/>
                <w:color w:val="auto"/>
              </w:rPr>
            </w:pPr>
            <w:r>
              <w:rPr>
                <w:rFonts w:ascii="Arial" w:cs="Arial" w:eastAsia="Arial" w:hAnsi="Arial"/>
                <w:sz w:val="19"/>
                <w:szCs w:val="19"/>
                <w:color w:val="auto"/>
              </w:rPr>
              <w:t>1,598</w:t>
            </w:r>
          </w:p>
        </w:tc>
        <w:tc>
          <w:tcPr>
            <w:tcW w:w="520" w:type="dxa"/>
            <w:vAlign w:val="bottom"/>
          </w:tcPr>
          <w:p>
            <w:pPr>
              <w:spacing w:after="0"/>
              <w:rPr>
                <w:sz w:val="22"/>
                <w:szCs w:val="22"/>
                <w:color w:val="auto"/>
              </w:rPr>
            </w:pPr>
          </w:p>
        </w:tc>
      </w:tr>
      <w:tr>
        <w:trPr>
          <w:trHeight w:val="342"/>
        </w:trPr>
        <w:tc>
          <w:tcPr>
            <w:tcW w:w="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gridSpan w:val="2"/>
          </w:tcPr>
          <w:p>
            <w:pPr>
              <w:jc w:val="right"/>
              <w:ind w:right="741"/>
              <w:spacing w:after="0"/>
              <w:rPr>
                <w:sz w:val="20"/>
                <w:szCs w:val="20"/>
                <w:color w:val="auto"/>
              </w:rPr>
            </w:pPr>
            <w:r>
              <w:rPr>
                <w:rFonts w:ascii="Arial" w:cs="Arial" w:eastAsia="Arial" w:hAnsi="Arial"/>
                <w:sz w:val="19"/>
                <w:szCs w:val="19"/>
                <w:color w:val="auto"/>
              </w:rPr>
              <w:t>22</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following graph compares the five-year cumulative total return on our Common Stock to the total returns on the Standard &amp; Poor’s 500 Stock Index and a composite of Standard &amp; Poor’s Industrial Conglomerates and Aerospace and Defense indices, on a 60%/40% weighted basis, respectively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2007 and that all dividends were reinvested.</w:t>
      </w:r>
    </w:p>
    <w:p>
      <w:pPr>
        <w:spacing w:after="0" w:line="283"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151130</wp:posOffset>
            </wp:positionV>
            <wp:extent cx="5411470" cy="3387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147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6"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148"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Consumer Products Group (CPG) automotive aftermarket business had historically been part of the Transportation Systems reportable segment. In accordance with generally accepted accounting principles, CPG is presented as discontinued operations in all periods presented. See Note 2 Acquisitions and Divestitures for further details. 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6"/>
                <w:szCs w:val="16"/>
                <w:b w:val="1"/>
                <w:bCs w:val="1"/>
                <w:color w:val="auto"/>
                <w:w w:val="98"/>
              </w:rPr>
              <w:t>Years Ended December 31,</w:t>
            </w:r>
          </w:p>
        </w:tc>
        <w:tc>
          <w:tcPr>
            <w:tcW w:w="920" w:type="dxa"/>
            <w:vAlign w:val="bottom"/>
            <w:tcBorders>
              <w:bottom w:val="single" w:sz="8" w:color="auto"/>
            </w:tcBorders>
          </w:tcPr>
          <w:p>
            <w:pPr>
              <w:spacing w:after="0"/>
              <w:rPr>
                <w:sz w:val="17"/>
                <w:szCs w:val="17"/>
                <w:color w:val="auto"/>
              </w:rPr>
            </w:pPr>
          </w:p>
        </w:tc>
      </w:tr>
      <w:tr>
        <w:trPr>
          <w:trHeight w:val="196"/>
        </w:trPr>
        <w:tc>
          <w:tcPr>
            <w:tcW w:w="5640" w:type="dxa"/>
            <w:vAlign w:val="bottom"/>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2010</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2009</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2008</w:t>
            </w:r>
          </w:p>
        </w:tc>
      </w:tr>
      <w:tr>
        <w:trPr>
          <w:trHeight w:val="264"/>
        </w:trPr>
        <w:tc>
          <w:tcPr>
            <w:tcW w:w="5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9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920" w:type="dxa"/>
            <w:vAlign w:val="bottom"/>
          </w:tcPr>
          <w:p>
            <w:pPr>
              <w:spacing w:after="0"/>
              <w:rPr>
                <w:sz w:val="22"/>
                <w:szCs w:val="22"/>
                <w:color w:val="auto"/>
              </w:rPr>
            </w:pPr>
          </w:p>
        </w:tc>
      </w:tr>
      <w:tr>
        <w:trPr>
          <w:trHeight w:val="243"/>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Results of Operations</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640" w:type="dxa"/>
            <w:vAlign w:val="bottom"/>
          </w:tcPr>
          <w:p>
            <w:pPr>
              <w:ind w:left="20"/>
              <w:spacing w:after="0"/>
              <w:rPr>
                <w:sz w:val="20"/>
                <w:szCs w:val="20"/>
                <w:color w:val="auto"/>
              </w:rPr>
            </w:pPr>
            <w:r>
              <w:rPr>
                <w:rFonts w:ascii="Arial" w:cs="Arial" w:eastAsia="Arial" w:hAnsi="Arial"/>
                <w:sz w:val="19"/>
                <w:szCs w:val="19"/>
                <w:color w:val="auto"/>
              </w:rPr>
              <w:t>Net sales</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$ 37,665</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$ 36,529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$ 32,350</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$ 29,951</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$ 35,520</w:t>
            </w:r>
          </w:p>
        </w:tc>
      </w:tr>
      <w:tr>
        <w:trPr>
          <w:trHeight w:val="243"/>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Amounts attributable to Honeywell:</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30"/>
        </w:trPr>
        <w:tc>
          <w:tcPr>
            <w:tcW w:w="5640" w:type="dxa"/>
            <w:vAlign w:val="bottom"/>
          </w:tcPr>
          <w:p>
            <w:pPr>
              <w:ind w:left="380"/>
              <w:spacing w:after="0"/>
              <w:rPr>
                <w:sz w:val="20"/>
                <w:szCs w:val="20"/>
                <w:color w:val="auto"/>
              </w:rPr>
            </w:pPr>
            <w:r>
              <w:rPr>
                <w:rFonts w:ascii="Arial" w:cs="Arial" w:eastAsia="Arial" w:hAnsi="Arial"/>
                <w:sz w:val="19"/>
                <w:szCs w:val="19"/>
                <w:color w:val="auto"/>
              </w:rPr>
              <w:t>Income from continuing operations less net income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40" w:type="dxa"/>
            <w:vAlign w:val="bottom"/>
          </w:tcPr>
          <w:p>
            <w:pPr>
              <w:ind w:left="560"/>
              <w:spacing w:after="0"/>
              <w:rPr>
                <w:sz w:val="20"/>
                <w:szCs w:val="20"/>
                <w:color w:val="auto"/>
              </w:rPr>
            </w:pPr>
            <w:r>
              <w:rPr>
                <w:rFonts w:ascii="Arial" w:cs="Arial" w:eastAsia="Arial" w:hAnsi="Arial"/>
                <w:sz w:val="19"/>
                <w:szCs w:val="19"/>
                <w:color w:val="auto"/>
              </w:rPr>
              <w:t>attributable to the noncontrolling interest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2,926</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1,858</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1,944</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1,492</w:t>
            </w:r>
          </w:p>
        </w:tc>
        <w:tc>
          <w:tcPr>
            <w:tcW w:w="3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789</w:t>
            </w:r>
          </w:p>
        </w:tc>
      </w:tr>
      <w:tr>
        <w:trPr>
          <w:trHeight w:val="270"/>
        </w:trPr>
        <w:tc>
          <w:tcPr>
            <w:tcW w:w="5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operations(1)</w:t>
            </w: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9"/>
                <w:szCs w:val="19"/>
                <w:color w:val="auto"/>
              </w:rPr>
              <w:t>209</w:t>
            </w:r>
          </w:p>
        </w:tc>
        <w:tc>
          <w:tcPr>
            <w:tcW w:w="300" w:type="dxa"/>
            <w:vAlign w:val="bottom"/>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w:t>
            </w:r>
          </w:p>
        </w:tc>
      </w:tr>
      <w:tr>
        <w:trPr>
          <w:trHeight w:val="304"/>
        </w:trPr>
        <w:tc>
          <w:tcPr>
            <w:tcW w:w="5640" w:type="dxa"/>
            <w:vAlign w:val="bottom"/>
          </w:tcPr>
          <w:p>
            <w:pPr>
              <w:ind w:left="380"/>
              <w:spacing w:after="0"/>
              <w:rPr>
                <w:sz w:val="20"/>
                <w:szCs w:val="20"/>
                <w:color w:val="auto"/>
              </w:rPr>
            </w:pPr>
            <w:r>
              <w:rPr>
                <w:rFonts w:ascii="Arial" w:cs="Arial" w:eastAsia="Arial" w:hAnsi="Arial"/>
                <w:sz w:val="19"/>
                <w:szCs w:val="19"/>
                <w:color w:val="auto"/>
              </w:rPr>
              <w:t>Net income attributable to Honeywell(2)</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2,926</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2,067</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2,022</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1,548</w:t>
            </w:r>
          </w:p>
        </w:tc>
        <w:tc>
          <w:tcPr>
            <w:tcW w:w="3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806</w:t>
            </w:r>
          </w:p>
        </w:tc>
      </w:tr>
      <w:tr>
        <w:trPr>
          <w:trHeight w:val="243"/>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Earnings Per Common Share</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9"/>
                <w:szCs w:val="19"/>
                <w:color w:val="auto"/>
              </w:rPr>
              <w:t>Basic:</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continuing operations</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3.74</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2.38</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2.51</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1.99</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1.07</w:t>
            </w:r>
          </w:p>
        </w:tc>
      </w:tr>
      <w:tr>
        <w:trPr>
          <w:trHeight w:val="270"/>
        </w:trPr>
        <w:tc>
          <w:tcPr>
            <w:tcW w:w="5640" w:type="dxa"/>
            <w:vAlign w:val="bottom"/>
          </w:tcPr>
          <w:p>
            <w:pPr>
              <w:ind w:left="38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0.27</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0.10</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0.07</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0.02</w:t>
            </w:r>
          </w:p>
        </w:tc>
      </w:tr>
      <w:tr>
        <w:trPr>
          <w:trHeight w:val="34"/>
        </w:trPr>
        <w:tc>
          <w:tcPr>
            <w:tcW w:w="56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270"/>
        </w:trPr>
        <w:tc>
          <w:tcPr>
            <w:tcW w:w="5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Net income attributable to Honeywell</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3.74</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2.65</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2.61</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2.06</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1.09</w:t>
            </w:r>
          </w:p>
        </w:tc>
      </w:tr>
      <w:tr>
        <w:trPr>
          <w:trHeight w:val="243"/>
        </w:trPr>
        <w:tc>
          <w:tcPr>
            <w:tcW w:w="5640" w:type="dxa"/>
            <w:vAlign w:val="bottom"/>
          </w:tcPr>
          <w:p>
            <w:pPr>
              <w:ind w:left="20"/>
              <w:spacing w:after="0"/>
              <w:rPr>
                <w:sz w:val="20"/>
                <w:szCs w:val="20"/>
                <w:color w:val="auto"/>
              </w:rPr>
            </w:pPr>
            <w:r>
              <w:rPr>
                <w:rFonts w:ascii="Arial" w:cs="Arial" w:eastAsia="Arial" w:hAnsi="Arial"/>
                <w:sz w:val="19"/>
                <w:szCs w:val="19"/>
                <w:color w:val="auto"/>
              </w:rPr>
              <w:t>Assuming dilution:</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continuing operations</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3.69</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2.35</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2.49</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1.98</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1.06</w:t>
            </w:r>
          </w:p>
        </w:tc>
      </w:tr>
      <w:tr>
        <w:trPr>
          <w:trHeight w:val="270"/>
        </w:trPr>
        <w:tc>
          <w:tcPr>
            <w:tcW w:w="5640" w:type="dxa"/>
            <w:vAlign w:val="bottom"/>
          </w:tcPr>
          <w:p>
            <w:pPr>
              <w:ind w:left="38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0.26</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0.10</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0.07</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0.02</w:t>
            </w:r>
          </w:p>
        </w:tc>
      </w:tr>
      <w:tr>
        <w:trPr>
          <w:trHeight w:val="34"/>
        </w:trPr>
        <w:tc>
          <w:tcPr>
            <w:tcW w:w="56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270"/>
        </w:trPr>
        <w:tc>
          <w:tcPr>
            <w:tcW w:w="56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Net income attributable to Honeywell</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3.69</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2.61</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2.59</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2.05</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1.08</w:t>
            </w:r>
          </w:p>
        </w:tc>
      </w:tr>
      <w:tr>
        <w:trPr>
          <w:trHeight w:val="270"/>
        </w:trPr>
        <w:tc>
          <w:tcPr>
            <w:tcW w:w="5640" w:type="dxa"/>
            <w:vAlign w:val="bottom"/>
          </w:tcPr>
          <w:p>
            <w:pPr>
              <w:ind w:left="20"/>
              <w:spacing w:after="0"/>
              <w:rPr>
                <w:sz w:val="20"/>
                <w:szCs w:val="20"/>
                <w:color w:val="auto"/>
              </w:rPr>
            </w:pPr>
            <w:r>
              <w:rPr>
                <w:rFonts w:ascii="Arial" w:cs="Arial" w:eastAsia="Arial" w:hAnsi="Arial"/>
                <w:sz w:val="19"/>
                <w:szCs w:val="19"/>
                <w:color w:val="auto"/>
              </w:rPr>
              <w:t>Dividends per share</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1.53</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1.37</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1.21</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1.21</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1.10</w:t>
            </w:r>
          </w:p>
        </w:tc>
      </w:tr>
      <w:tr>
        <w:trPr>
          <w:trHeight w:val="243"/>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Financial Position at Year-End</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640" w:type="dxa"/>
            <w:vAlign w:val="bottom"/>
          </w:tcPr>
          <w:p>
            <w:pPr>
              <w:ind w:left="20"/>
              <w:spacing w:after="0"/>
              <w:rPr>
                <w:sz w:val="20"/>
                <w:szCs w:val="20"/>
                <w:color w:val="auto"/>
              </w:rPr>
            </w:pPr>
            <w:r>
              <w:rPr>
                <w:rFonts w:ascii="Arial" w:cs="Arial" w:eastAsia="Arial" w:hAnsi="Arial"/>
                <w:sz w:val="19"/>
                <w:szCs w:val="19"/>
                <w:color w:val="auto"/>
              </w:rPr>
              <w:t>Property, plant and equipment—net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5,001</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4,804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4,724</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4,847</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4,934</w:t>
            </w:r>
          </w:p>
        </w:tc>
      </w:tr>
      <w:tr>
        <w:trPr>
          <w:trHeight w:val="270"/>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41,853</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39,808</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37,834</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35,993</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35,570</w:t>
            </w:r>
          </w:p>
        </w:tc>
      </w:tr>
      <w:tr>
        <w:trPr>
          <w:trHeight w:val="270"/>
        </w:trPr>
        <w:tc>
          <w:tcPr>
            <w:tcW w:w="5640" w:type="dxa"/>
            <w:vAlign w:val="bottom"/>
          </w:tcPr>
          <w:p>
            <w:pPr>
              <w:ind w:left="20"/>
              <w:spacing w:after="0"/>
              <w:rPr>
                <w:sz w:val="20"/>
                <w:szCs w:val="20"/>
                <w:color w:val="auto"/>
              </w:rPr>
            </w:pPr>
            <w:r>
              <w:rPr>
                <w:rFonts w:ascii="Arial" w:cs="Arial" w:eastAsia="Arial" w:hAnsi="Arial"/>
                <w:sz w:val="19"/>
                <w:szCs w:val="19"/>
                <w:color w:val="auto"/>
              </w:rPr>
              <w:t>Short-term debt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1,101</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674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889</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1,361</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2,510</w:t>
            </w:r>
          </w:p>
        </w:tc>
      </w:tr>
      <w:tr>
        <w:trPr>
          <w:trHeight w:val="270"/>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6,395</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6,881</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5,755</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6,246</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5,865</w:t>
            </w:r>
          </w:p>
        </w:tc>
      </w:tr>
      <w:tr>
        <w:trPr>
          <w:trHeight w:val="270"/>
        </w:trPr>
        <w:tc>
          <w:tcPr>
            <w:tcW w:w="5640" w:type="dxa"/>
            <w:vAlign w:val="bottom"/>
          </w:tcPr>
          <w:p>
            <w:pPr>
              <w:ind w:left="20"/>
              <w:spacing w:after="0"/>
              <w:rPr>
                <w:sz w:val="20"/>
                <w:szCs w:val="20"/>
                <w:color w:val="auto"/>
              </w:rPr>
            </w:pPr>
            <w:r>
              <w:rPr>
                <w:rFonts w:ascii="Arial" w:cs="Arial" w:eastAsia="Arial" w:hAnsi="Arial"/>
                <w:sz w:val="19"/>
                <w:szCs w:val="19"/>
                <w:color w:val="auto"/>
              </w:rPr>
              <w:t>Total debt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7,496</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7,555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6,644</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7,607</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8,375</w:t>
            </w:r>
          </w:p>
        </w:tc>
      </w:tr>
      <w:tr>
        <w:trPr>
          <w:trHeight w:val="270"/>
        </w:trPr>
        <w:tc>
          <w:tcPr>
            <w:tcW w:w="56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Redeemable noncontrolling interest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150</w:t>
            </w: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12"/>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220" w:type="dxa"/>
            <w:vAlign w:val="bottom"/>
            <w:gridSpan w:val="2"/>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4"/>
        </w:trPr>
        <w:tc>
          <w:tcPr>
            <w:tcW w:w="5640" w:type="dxa"/>
            <w:vAlign w:val="bottom"/>
          </w:tcPr>
          <w:p>
            <w:pPr>
              <w:ind w:left="20"/>
              <w:spacing w:after="0"/>
              <w:rPr>
                <w:sz w:val="20"/>
                <w:szCs w:val="20"/>
                <w:color w:val="auto"/>
              </w:rPr>
            </w:pPr>
            <w:r>
              <w:rPr>
                <w:rFonts w:ascii="Arial" w:cs="Arial" w:eastAsia="Arial" w:hAnsi="Arial"/>
                <w:sz w:val="19"/>
                <w:szCs w:val="19"/>
                <w:color w:val="auto"/>
              </w:rPr>
              <w:t>Shareowners’ equity</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13,065</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10,902</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10,787</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8,971</w:t>
            </w:r>
          </w:p>
        </w:tc>
        <w:tc>
          <w:tcPr>
            <w:tcW w:w="30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7,140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702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230" cy="21590"/>
                    </a:xfrm>
                    <a:prstGeom prst="rect">
                      <a:avLst/>
                    </a:prstGeom>
                    <a:noFill/>
                  </pic:spPr>
                </pic:pic>
              </a:graphicData>
            </a:graphic>
          </wp:anchor>
        </w:drawing>
      </w:r>
    </w:p>
    <w:p>
      <w:pPr>
        <w:spacing w:after="0" w:line="368" w:lineRule="exact"/>
        <w:rPr>
          <w:sz w:val="20"/>
          <w:szCs w:val="20"/>
          <w:color w:val="auto"/>
        </w:rPr>
      </w:pPr>
    </w:p>
    <w:p>
      <w:pPr>
        <w:ind w:left="400" w:right="160" w:hanging="332"/>
        <w:spacing w:after="0" w:line="253" w:lineRule="auto"/>
        <w:tabs>
          <w:tab w:leader="none" w:pos="400" w:val="left"/>
        </w:tabs>
        <w:numPr>
          <w:ilvl w:val="0"/>
          <w:numId w:val="1"/>
        </w:numPr>
        <w:rPr>
          <w:rFonts w:ascii="Arial" w:cs="Arial" w:eastAsia="Arial" w:hAnsi="Arial"/>
          <w:sz w:val="19"/>
          <w:szCs w:val="19"/>
          <w:color w:val="auto"/>
        </w:rPr>
      </w:pPr>
      <w:r>
        <w:rPr>
          <w:rFonts w:ascii="Arial" w:cs="Arial" w:eastAsia="Arial" w:hAnsi="Arial"/>
          <w:sz w:val="19"/>
          <w:szCs w:val="19"/>
          <w:color w:val="auto"/>
        </w:rPr>
        <w:t>For the year ended December 31, 2011, income from discontinued operations includes a $178 million, net of tax gain, resulting from the sale of the CPG business which funded a portion of the 2011 repositioning actions.</w:t>
      </w:r>
    </w:p>
    <w:p>
      <w:pPr>
        <w:spacing w:after="0" w:line="93" w:lineRule="exact"/>
        <w:rPr>
          <w:rFonts w:ascii="Arial" w:cs="Arial" w:eastAsia="Arial" w:hAnsi="Arial"/>
          <w:sz w:val="19"/>
          <w:szCs w:val="19"/>
          <w:color w:val="auto"/>
        </w:rPr>
      </w:pPr>
    </w:p>
    <w:p>
      <w:pPr>
        <w:ind w:left="400" w:right="200" w:hanging="332"/>
        <w:spacing w:after="0" w:line="245" w:lineRule="auto"/>
        <w:tabs>
          <w:tab w:leader="none" w:pos="400" w:val="left"/>
        </w:tabs>
        <w:numPr>
          <w:ilvl w:val="0"/>
          <w:numId w:val="1"/>
        </w:numPr>
        <w:rPr>
          <w:rFonts w:ascii="Arial" w:cs="Arial" w:eastAsia="Arial" w:hAnsi="Arial"/>
          <w:sz w:val="19"/>
          <w:szCs w:val="19"/>
          <w:color w:val="auto"/>
        </w:rPr>
      </w:pPr>
      <w:r>
        <w:rPr>
          <w:rFonts w:ascii="Arial" w:cs="Arial" w:eastAsia="Arial" w:hAnsi="Arial"/>
          <w:sz w:val="19"/>
          <w:szCs w:val="19"/>
          <w:color w:val="auto"/>
        </w:rPr>
        <w:t>For the year ended December 31, 2008, net income attributable to Honeywell includes a $417 million, net of tax gain, resulting from the sale of our Consumables Solutions business as well as a charge of $465 million for environmental liabilities deemed probable and reasonably estimable during 2008.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8" w:name="page29"/>
    <w:bookmarkEnd w:id="28"/>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(Dollars in millions, except per share amounts)</w:t>
      </w:r>
    </w:p>
    <w:p>
      <w:pPr>
        <w:spacing w:after="0" w:line="130"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intended to help the reader understand the results of operations and financial condition of Honeywell International Inc. and its consolidated subsidiaries (“Honeywell” or the “Company”) for the three years ended December 31, 2012. All references to Notes related to Notes to the Financial Statements in “Item 8—Financial Statements and Supplementary Data”.</w:t>
      </w:r>
    </w:p>
    <w:p>
      <w:pPr>
        <w:spacing w:after="0" w:line="91"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The Consumer Products Group (CPG) automotive aftermarket business had historically been part of the Transportation Systems reportable segment. In accordance with generally accepted accounting principles, CPG results are excluded from continuing operations and are presented as discontinued operations in all periods presented. See Note 2 Acquisitions and Divestitures for further details.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130" w:lineRule="exact"/>
        <w:rPr>
          <w:sz w:val="20"/>
          <w:szCs w:val="20"/>
          <w:color w:val="auto"/>
        </w:rPr>
      </w:pPr>
    </w:p>
    <w:p>
      <w:pPr>
        <w:ind w:right="80" w:firstLine="357"/>
        <w:spacing w:after="0" w:line="239" w:lineRule="auto"/>
        <w:rPr>
          <w:sz w:val="20"/>
          <w:szCs w:val="20"/>
          <w:color w:val="auto"/>
        </w:rPr>
      </w:pPr>
      <w:r>
        <w:rPr>
          <w:rFonts w:ascii="Arial" w:cs="Arial" w:eastAsia="Arial" w:hAnsi="Arial"/>
          <w:sz w:val="19"/>
          <w:szCs w:val="19"/>
          <w:color w:val="auto"/>
        </w:rPr>
        <w:t>For Honeywell, 2012 marked another year of strong growth despite a challenging political and macro-economic environment. The Company continued to manage uncertainty associated with slower than expected economic growth in the United States, recession in the European Union, political unrest in the Middle East, and slowing growth in China and other emerging economies. Despite a modest 2.6 percent growth in World GDP and Industrial Production, Honeywell’s 2012 revenues were $37.7 billion representing a 3 percent improvement compared to 2011 revenues of $36.5 billion. Honeywell’s 2012 revenue growth was achieved despite significant foreign exchange weakness in the Euro and other non-U.S. dollar currencies which had a negative 2 percent impact on our 2012 revenues. Our segment profit improved by 10 percent, in excess of three times revenue growth, evidencing the Company’s continued focus on operational excellence. See Review of Business Segments section of this MD&amp;A for a reconciliation of segment profit to consolidated income from continuing operations before taxes.</w:t>
      </w:r>
    </w:p>
    <w:p>
      <w:pPr>
        <w:spacing w:after="0" w:line="95" w:lineRule="exact"/>
        <w:rPr>
          <w:sz w:val="20"/>
          <w:szCs w:val="20"/>
          <w:color w:val="auto"/>
        </w:rPr>
      </w:pPr>
    </w:p>
    <w:p>
      <w:pPr>
        <w:ind w:right="400" w:firstLine="357"/>
        <w:spacing w:after="0" w:line="242" w:lineRule="auto"/>
        <w:rPr>
          <w:sz w:val="20"/>
          <w:szCs w:val="20"/>
          <w:color w:val="auto"/>
        </w:rPr>
      </w:pPr>
      <w:r>
        <w:rPr>
          <w:rFonts w:ascii="Arial" w:cs="Arial" w:eastAsia="Arial" w:hAnsi="Arial"/>
          <w:sz w:val="19"/>
          <w:szCs w:val="19"/>
          <w:color w:val="auto"/>
        </w:rPr>
        <w:t>The Company’s operational excellence and ability to expand profit faster than sales growth is due in part to a consistent, methodical application of several key internal business processes which drive efficiency and service quality, bringing world-class products and services to markets faster and more cost effectively for our customers. Honeywell refers to these processes as the Honeywell Enablers. In 2012, Honeywell continued to strengthen and expand the use of the Honeywell Enablers:</w:t>
      </w:r>
    </w:p>
    <w:p>
      <w:pPr>
        <w:spacing w:after="0" w:line="125" w:lineRule="exact"/>
        <w:rPr>
          <w:sz w:val="20"/>
          <w:szCs w:val="20"/>
          <w:color w:val="auto"/>
        </w:rPr>
      </w:pPr>
    </w:p>
    <w:p>
      <w:pPr>
        <w:ind w:left="540" w:hanging="158"/>
        <w:spacing w:after="0" w:line="256"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The Honeywell Operating System (“HOS”): </w:t>
      </w:r>
      <w:r>
        <w:rPr>
          <w:rFonts w:ascii="Arial" w:cs="Arial" w:eastAsia="Arial" w:hAnsi="Arial"/>
          <w:sz w:val="19"/>
          <w:szCs w:val="19"/>
          <w:color w:val="auto"/>
        </w:rPr>
        <w:t>HOS drives sustainable improvements in our manufacturing operations to generate</w:t>
      </w:r>
      <w:r>
        <w:rPr>
          <w:rFonts w:ascii="Arial" w:cs="Arial" w:eastAsia="Arial" w:hAnsi="Arial"/>
          <w:sz w:val="19"/>
          <w:szCs w:val="19"/>
          <w:i w:val="1"/>
          <w:iCs w:val="1"/>
          <w:color w:val="auto"/>
        </w:rPr>
        <w:t xml:space="preserve"> </w:t>
      </w:r>
      <w:r>
        <w:rPr>
          <w:rFonts w:ascii="Arial" w:cs="Arial" w:eastAsia="Arial" w:hAnsi="Arial"/>
          <w:sz w:val="19"/>
          <w:szCs w:val="19"/>
          <w:color w:val="auto"/>
        </w:rPr>
        <w:t>exceptional performance in safety, quality, delivery, cost, and inventory management. Approximately 70 percent of our manufacturing cost base has achieved HOS certification.</w:t>
      </w:r>
    </w:p>
    <w:p>
      <w:pPr>
        <w:spacing w:after="0" w:line="70" w:lineRule="exact"/>
        <w:rPr>
          <w:rFonts w:ascii="Arial" w:cs="Arial" w:eastAsia="Arial" w:hAnsi="Arial"/>
          <w:sz w:val="19"/>
          <w:szCs w:val="19"/>
          <w:color w:val="auto"/>
        </w:rPr>
      </w:pPr>
    </w:p>
    <w:p>
      <w:pPr>
        <w:ind w:left="540" w:right="180" w:hanging="158"/>
        <w:spacing w:after="0" w:line="256"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Velocity Product Development (“VPD”): </w:t>
      </w:r>
      <w:r>
        <w:rPr>
          <w:rFonts w:ascii="Arial" w:cs="Arial" w:eastAsia="Arial" w:hAnsi="Arial"/>
          <w:sz w:val="19"/>
          <w:szCs w:val="19"/>
          <w:color w:val="auto"/>
        </w:rPr>
        <w:t>VPD is a process which brings together all of the functions necessary to successfully</w:t>
      </w:r>
      <w:r>
        <w:rPr>
          <w:rFonts w:ascii="Arial" w:cs="Arial" w:eastAsia="Arial" w:hAnsi="Arial"/>
          <w:sz w:val="19"/>
          <w:szCs w:val="19"/>
          <w:i w:val="1"/>
          <w:iCs w:val="1"/>
          <w:color w:val="auto"/>
        </w:rPr>
        <w:t xml:space="preserve"> </w:t>
      </w:r>
      <w:r>
        <w:rPr>
          <w:rFonts w:ascii="Arial" w:cs="Arial" w:eastAsia="Arial" w:hAnsi="Arial"/>
          <w:sz w:val="19"/>
          <w:szCs w:val="19"/>
          <w:color w:val="auto"/>
        </w:rPr>
        <w:t>launch new products—R&amp;D, manufacturing, marketing and sales—to increase the probability that in commercializing new technologies Honeywell delivers the right products at the right price.</w:t>
      </w:r>
    </w:p>
    <w:p>
      <w:pPr>
        <w:spacing w:after="0" w:line="70" w:lineRule="exact"/>
        <w:rPr>
          <w:rFonts w:ascii="Arial" w:cs="Arial" w:eastAsia="Arial" w:hAnsi="Arial"/>
          <w:sz w:val="19"/>
          <w:szCs w:val="19"/>
          <w:color w:val="auto"/>
        </w:rPr>
      </w:pPr>
    </w:p>
    <w:p>
      <w:pPr>
        <w:ind w:left="540" w:right="200" w:hanging="158"/>
        <w:spacing w:after="0" w:line="275"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Functional Transformation (“FT”): </w:t>
      </w:r>
      <w:r>
        <w:rPr>
          <w:rFonts w:ascii="Arial" w:cs="Arial" w:eastAsia="Arial" w:hAnsi="Arial"/>
          <w:sz w:val="19"/>
          <w:szCs w:val="19"/>
          <w:color w:val="auto"/>
        </w:rPr>
        <w:t>Functional Transformation is HOS for our administrative functions—Finance, Legal, HR, IT</w:t>
      </w:r>
      <w:r>
        <w:rPr>
          <w:rFonts w:ascii="Arial" w:cs="Arial" w:eastAsia="Arial" w:hAnsi="Arial"/>
          <w:sz w:val="19"/>
          <w:szCs w:val="19"/>
          <w:i w:val="1"/>
          <w:iCs w:val="1"/>
          <w:color w:val="auto"/>
        </w:rPr>
        <w:t xml:space="preserve"> </w:t>
      </w:r>
      <w:r>
        <w:rPr>
          <w:rFonts w:ascii="Arial" w:cs="Arial" w:eastAsia="Arial" w:hAnsi="Arial"/>
          <w:sz w:val="19"/>
          <w:szCs w:val="19"/>
          <w:color w:val="auto"/>
        </w:rPr>
        <w:t>and Purchasing—standardizing the way we work, which improves service quality and reduces costs.</w:t>
      </w:r>
    </w:p>
    <w:p>
      <w:pPr>
        <w:spacing w:after="0" w:line="53" w:lineRule="exact"/>
        <w:rPr>
          <w:rFonts w:ascii="Arial" w:cs="Arial" w:eastAsia="Arial" w:hAnsi="Arial"/>
          <w:sz w:val="19"/>
          <w:szCs w:val="19"/>
          <w:color w:val="auto"/>
        </w:rPr>
      </w:pPr>
    </w:p>
    <w:p>
      <w:pPr>
        <w:ind w:left="540" w:right="160" w:hanging="158"/>
        <w:spacing w:after="0" w:line="275" w:lineRule="auto"/>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 xml:space="preserve">Organizational Efficiency (“OEF”): </w:t>
      </w:r>
      <w:r>
        <w:rPr>
          <w:rFonts w:ascii="Arial" w:cs="Arial" w:eastAsia="Arial" w:hAnsi="Arial"/>
          <w:sz w:val="19"/>
          <w:szCs w:val="19"/>
          <w:color w:val="auto"/>
        </w:rPr>
        <w:t>OEF is, in its simplest form, the cost of labor. Improvements in OEF represent the success</w:t>
      </w:r>
      <w:r>
        <w:rPr>
          <w:rFonts w:ascii="Arial" w:cs="Arial" w:eastAsia="Arial" w:hAnsi="Arial"/>
          <w:sz w:val="19"/>
          <w:szCs w:val="19"/>
          <w:i w:val="1"/>
          <w:iCs w:val="1"/>
          <w:color w:val="auto"/>
        </w:rPr>
        <w:t xml:space="preserve"> </w:t>
      </w:r>
      <w:r>
        <w:rPr>
          <w:rFonts w:ascii="Arial" w:cs="Arial" w:eastAsia="Arial" w:hAnsi="Arial"/>
          <w:sz w:val="19"/>
          <w:szCs w:val="19"/>
          <w:color w:val="auto"/>
        </w:rPr>
        <w:t>of Honeywell’s initiatives to increase labor cost efficiency and employee productivity.</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Company continues to invest for future growth as measured by a number of important metrics:</w:t>
      </w:r>
    </w:p>
    <w:p>
      <w:pPr>
        <w:spacing w:after="0" w:line="160" w:lineRule="exact"/>
        <w:rPr>
          <w:sz w:val="20"/>
          <w:szCs w:val="20"/>
          <w:color w:val="auto"/>
        </w:rPr>
      </w:pPr>
    </w:p>
    <w:p>
      <w:pPr>
        <w:ind w:left="540" w:right="600" w:hanging="158"/>
        <w:spacing w:after="0" w:line="253"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R&amp;D spending at 4.9 percent of revenues was targeted at such high growth areas as natural gas processing, low global warming refrigerants and blowing agents, and wireless control devices and technologies.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 w:right="279" w:bottom="1440" w:gutter="0" w:footer="0" w:header="0"/>
        </w:sectPr>
      </w:pPr>
    </w:p>
    <w:bookmarkStart w:id="29" w:name="page30"/>
    <w:bookmarkEnd w:id="29"/>
    <w:p>
      <w:pPr>
        <w:ind w:left="540" w:right="34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Capital expenditures grew 11 percent to $884 million including the construction or expansion of technology centers in India and Saudi Arabia.</w:t>
      </w:r>
    </w:p>
    <w:p>
      <w:pPr>
        <w:spacing w:after="0" w:line="93" w:lineRule="exact"/>
        <w:rPr>
          <w:rFonts w:ascii="Arial" w:cs="Arial" w:eastAsia="Arial" w:hAnsi="Arial"/>
          <w:sz w:val="19"/>
          <w:szCs w:val="19"/>
          <w:color w:val="auto"/>
        </w:rPr>
      </w:pPr>
    </w:p>
    <w:p>
      <w:pPr>
        <w:ind w:left="540" w:right="320" w:hanging="15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recognized approximately $119 million of restructuring actions to support sustainable productivity in years to come.</w:t>
      </w:r>
    </w:p>
    <w:p>
      <w:pPr>
        <w:spacing w:after="0" w:line="93" w:lineRule="exact"/>
        <w:rPr>
          <w:rFonts w:ascii="Arial" w:cs="Arial" w:eastAsia="Arial" w:hAnsi="Arial"/>
          <w:sz w:val="19"/>
          <w:szCs w:val="19"/>
          <w:color w:val="auto"/>
        </w:rPr>
      </w:pPr>
    </w:p>
    <w:p>
      <w:pPr>
        <w:ind w:left="540" w:right="340" w:hanging="158"/>
        <w:spacing w:after="0" w:line="245"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completed $438 million (net of cash acquired) in acquisitions in 2012, including acquisition of a 70 percent ownership interest in Thomas Russell L.L.C. (“Thomas Russell Co.”), a leader in technology and equipment for natural gas processing and treating, primarily serving the US market.</w:t>
      </w:r>
    </w:p>
    <w:p>
      <w:pPr>
        <w:spacing w:after="0" w:line="100" w:lineRule="exact"/>
        <w:rPr>
          <w:rFonts w:ascii="Arial" w:cs="Arial" w:eastAsia="Arial" w:hAnsi="Arial"/>
          <w:sz w:val="19"/>
          <w:szCs w:val="19"/>
          <w:color w:val="auto"/>
        </w:rPr>
      </w:pPr>
    </w:p>
    <w:p>
      <w:pPr>
        <w:ind w:left="540" w:right="80" w:hanging="158"/>
        <w:spacing w:after="0" w:line="245"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Expansion of Honeywell’s presence and sales in high growth regions and countries such as China, India, Eastern Europe, the Middle-East, and Latin America. Sales to customers outside the United States now account for approximately 55 percent of total revenues.</w:t>
      </w:r>
    </w:p>
    <w:p>
      <w:pPr>
        <w:spacing w:after="0" w:line="195" w:lineRule="exact"/>
        <w:rPr>
          <w:sz w:val="20"/>
          <w:szCs w:val="20"/>
          <w:color w:val="auto"/>
        </w:rPr>
      </w:pPr>
    </w:p>
    <w:p>
      <w:pPr>
        <w:ind w:right="320" w:firstLine="357"/>
        <w:spacing w:after="0" w:line="245" w:lineRule="auto"/>
        <w:rPr>
          <w:sz w:val="20"/>
          <w:szCs w:val="20"/>
          <w:color w:val="auto"/>
        </w:rPr>
      </w:pPr>
      <w:r>
        <w:rPr>
          <w:rFonts w:ascii="Arial" w:cs="Arial" w:eastAsia="Arial" w:hAnsi="Arial"/>
          <w:sz w:val="19"/>
          <w:szCs w:val="19"/>
          <w:color w:val="auto"/>
        </w:rPr>
        <w:t>Operating cash flow grew by 24 percent in 2012 to $3,517 million. This operating cash flow performance enabled us to invest $884 million in capital expenditures, fund the acquisitions discussed above, make $1,039 million in pension contributions, and provide an 11 percent increase in dividends paid (vs. 2011) and repurchase 5 million shares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Sales</w:t>
      </w:r>
    </w:p>
    <w:p>
      <w:pPr>
        <w:spacing w:after="0" w:line="291"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00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10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6"/>
                <w:szCs w:val="16"/>
                <w:b w:val="1"/>
                <w:bCs w:val="1"/>
                <w:color w:val="auto"/>
              </w:rPr>
              <w:t>2010</w:t>
            </w:r>
          </w:p>
        </w:tc>
      </w:tr>
      <w:tr>
        <w:trPr>
          <w:trHeight w:val="264"/>
        </w:trPr>
        <w:tc>
          <w:tcPr>
            <w:tcW w:w="140" w:type="dxa"/>
            <w:vAlign w:val="bottom"/>
          </w:tcPr>
          <w:p>
            <w:pPr>
              <w:spacing w:after="0"/>
              <w:rPr>
                <w:sz w:val="22"/>
                <w:szCs w:val="22"/>
                <w:color w:val="auto"/>
              </w:rPr>
            </w:pPr>
          </w:p>
        </w:tc>
        <w:tc>
          <w:tcPr>
            <w:tcW w:w="6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98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  37,665</w:t>
            </w:r>
          </w:p>
        </w:tc>
        <w:tc>
          <w:tcPr>
            <w:tcW w:w="130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  36,529</w:t>
            </w:r>
          </w:p>
        </w:tc>
        <w:tc>
          <w:tcPr>
            <w:tcW w:w="30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  32,350</w:t>
            </w:r>
          </w:p>
        </w:tc>
      </w:tr>
      <w:tr>
        <w:trPr>
          <w:trHeight w:val="274"/>
        </w:trPr>
        <w:tc>
          <w:tcPr>
            <w:tcW w:w="140" w:type="dxa"/>
            <w:vAlign w:val="bottom"/>
          </w:tcPr>
          <w:p>
            <w:pPr>
              <w:spacing w:after="0"/>
              <w:rPr>
                <w:sz w:val="23"/>
                <w:szCs w:val="23"/>
                <w:color w:val="auto"/>
              </w:rPr>
            </w:pPr>
          </w:p>
        </w:tc>
        <w:tc>
          <w:tcPr>
            <w:tcW w:w="6780" w:type="dxa"/>
            <w:vAlign w:val="bottom"/>
          </w:tcPr>
          <w:p>
            <w:pPr>
              <w:ind w:left="20"/>
              <w:spacing w:after="0"/>
              <w:rPr>
                <w:sz w:val="20"/>
                <w:szCs w:val="20"/>
                <w:color w:val="auto"/>
              </w:rPr>
            </w:pPr>
            <w:r>
              <w:rPr>
                <w:rFonts w:ascii="Arial" w:cs="Arial" w:eastAsia="Arial" w:hAnsi="Arial"/>
                <w:sz w:val="19"/>
                <w:szCs w:val="19"/>
                <w:color w:val="auto"/>
              </w:rPr>
              <w:t>% change compared with prior period</w:t>
            </w:r>
          </w:p>
        </w:tc>
        <w:tc>
          <w:tcPr>
            <w:tcW w:w="980" w:type="dxa"/>
            <w:vAlign w:val="bottom"/>
          </w:tcPr>
          <w:p>
            <w:pPr>
              <w:jc w:val="right"/>
              <w:ind w:right="269"/>
              <w:spacing w:after="0"/>
              <w:rPr>
                <w:sz w:val="20"/>
                <w:szCs w:val="20"/>
                <w:color w:val="auto"/>
              </w:rPr>
            </w:pPr>
            <w:r>
              <w:rPr>
                <w:rFonts w:ascii="Arial" w:cs="Arial" w:eastAsia="Arial" w:hAnsi="Arial"/>
                <w:sz w:val="19"/>
                <w:szCs w:val="19"/>
                <w:color w:val="auto"/>
              </w:rPr>
              <w:t>3%</w:t>
            </w:r>
          </w:p>
        </w:tc>
        <w:tc>
          <w:tcPr>
            <w:tcW w:w="1300" w:type="dxa"/>
            <w:vAlign w:val="bottom"/>
            <w:gridSpan w:val="3"/>
          </w:tcPr>
          <w:p>
            <w:pPr>
              <w:jc w:val="right"/>
              <w:ind w:right="221"/>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38"/>
        </w:trPr>
        <w:tc>
          <w:tcPr>
            <w:tcW w:w="7900" w:type="dxa"/>
            <w:vAlign w:val="bottom"/>
            <w:gridSpan w:val="3"/>
          </w:tcPr>
          <w:p>
            <w:pPr>
              <w:jc w:val="right"/>
              <w:ind w:right="209"/>
              <w:spacing w:after="0"/>
              <w:rPr>
                <w:sz w:val="20"/>
                <w:szCs w:val="20"/>
                <w:color w:val="auto"/>
              </w:rPr>
            </w:pPr>
            <w:r>
              <w:rPr>
                <w:rFonts w:ascii="Arial" w:cs="Arial" w:eastAsia="Arial" w:hAnsi="Arial"/>
                <w:sz w:val="19"/>
                <w:szCs w:val="19"/>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1"/>
        </w:trPr>
        <w:tc>
          <w:tcPr>
            <w:tcW w:w="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1040" w:type="dxa"/>
            <w:vAlign w:val="bottom"/>
            <w:gridSpan w:val="3"/>
          </w:tcPr>
          <w:p>
            <w:pPr>
              <w:jc w:val="right"/>
              <w:ind w:right="81"/>
              <w:spacing w:after="0"/>
              <w:rPr>
                <w:sz w:val="20"/>
                <w:szCs w:val="20"/>
                <w:color w:val="auto"/>
              </w:rPr>
            </w:pPr>
            <w:r>
              <w:rPr>
                <w:rFonts w:ascii="Arial" w:cs="Arial" w:eastAsia="Arial" w:hAnsi="Arial"/>
                <w:sz w:val="16"/>
                <w:szCs w:val="16"/>
                <w:b w:val="1"/>
                <w:bCs w:val="1"/>
                <w:color w:val="auto"/>
              </w:rPr>
              <w:t>2011</w:t>
            </w:r>
          </w:p>
        </w:tc>
      </w:tr>
      <w:tr>
        <w:trPr>
          <w:trHeight w:val="176"/>
        </w:trPr>
        <w:tc>
          <w:tcPr>
            <w:tcW w:w="14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40"/>
              <w:spacing w:after="0" w:line="176" w:lineRule="exact"/>
              <w:rPr>
                <w:sz w:val="20"/>
                <w:szCs w:val="20"/>
                <w:color w:val="auto"/>
              </w:rPr>
            </w:pPr>
            <w:r>
              <w:rPr>
                <w:rFonts w:ascii="Arial" w:cs="Arial" w:eastAsia="Arial" w:hAnsi="Arial"/>
                <w:sz w:val="16"/>
                <w:szCs w:val="16"/>
                <w:b w:val="1"/>
                <w:bCs w:val="1"/>
                <w:color w:val="auto"/>
              </w:rPr>
              <w:t>Versus</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1"/>
              <w:spacing w:after="0" w:line="176" w:lineRule="exact"/>
              <w:rPr>
                <w:sz w:val="20"/>
                <w:szCs w:val="20"/>
                <w:color w:val="auto"/>
              </w:rPr>
            </w:pPr>
            <w:r>
              <w:rPr>
                <w:rFonts w:ascii="Arial" w:cs="Arial" w:eastAsia="Arial" w:hAnsi="Arial"/>
                <w:sz w:val="16"/>
                <w:szCs w:val="16"/>
                <w:b w:val="1"/>
                <w:bCs w:val="1"/>
                <w:color w:val="auto"/>
              </w:rPr>
              <w:t>Versus</w:t>
            </w:r>
          </w:p>
        </w:tc>
      </w:tr>
      <w:tr>
        <w:trPr>
          <w:trHeight w:val="204"/>
        </w:trPr>
        <w:tc>
          <w:tcPr>
            <w:tcW w:w="14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2011</w:t>
            </w: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2010</w:t>
            </w:r>
          </w:p>
        </w:tc>
      </w:tr>
      <w:tr>
        <w:trPr>
          <w:trHeight w:val="264"/>
        </w:trPr>
        <w:tc>
          <w:tcPr>
            <w:tcW w:w="140" w:type="dxa"/>
            <w:vAlign w:val="bottom"/>
          </w:tcPr>
          <w:p>
            <w:pPr>
              <w:spacing w:after="0"/>
              <w:rPr>
                <w:sz w:val="22"/>
                <w:szCs w:val="22"/>
                <w:color w:val="auto"/>
              </w:rPr>
            </w:pPr>
          </w:p>
        </w:tc>
        <w:tc>
          <w:tcPr>
            <w:tcW w:w="6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Volume</w:t>
            </w:r>
          </w:p>
        </w:tc>
        <w:tc>
          <w:tcPr>
            <w:tcW w:w="980" w:type="dxa"/>
            <w:vAlign w:val="bottom"/>
            <w:shd w:val="clear" w:color="auto" w:fill="E5FFFF"/>
          </w:tcPr>
          <w:p>
            <w:pPr>
              <w:spacing w:after="0"/>
              <w:rPr>
                <w:sz w:val="22"/>
                <w:szCs w:val="22"/>
                <w:color w:val="auto"/>
              </w:rPr>
            </w:pPr>
          </w:p>
        </w:tc>
        <w:tc>
          <w:tcPr>
            <w:tcW w:w="1600" w:type="dxa"/>
            <w:vAlign w:val="bottom"/>
            <w:gridSpan w:val="4"/>
            <w:shd w:val="clear" w:color="auto" w:fill="E5FFFF"/>
          </w:tcPr>
          <w:p>
            <w:pPr>
              <w:jc w:val="right"/>
              <w:ind w:right="120"/>
              <w:spacing w:after="0"/>
              <w:rPr>
                <w:sz w:val="20"/>
                <w:szCs w:val="20"/>
                <w:color w:val="auto"/>
              </w:rPr>
            </w:pPr>
            <w:r>
              <w:rPr>
                <w:rFonts w:ascii="Arial" w:cs="Arial" w:eastAsia="Arial" w:hAnsi="Arial"/>
                <w:sz w:val="19"/>
                <w:szCs w:val="19"/>
                <w:color w:val="auto"/>
              </w:rPr>
              <w:t>2 %</w:t>
            </w: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6 %</w:t>
            </w:r>
          </w:p>
        </w:tc>
      </w:tr>
      <w:tr>
        <w:trPr>
          <w:trHeight w:val="270"/>
        </w:trPr>
        <w:tc>
          <w:tcPr>
            <w:tcW w:w="140" w:type="dxa"/>
            <w:vAlign w:val="bottom"/>
          </w:tcPr>
          <w:p>
            <w:pPr>
              <w:spacing w:after="0"/>
              <w:rPr>
                <w:sz w:val="23"/>
                <w:szCs w:val="23"/>
                <w:color w:val="auto"/>
              </w:rPr>
            </w:pPr>
          </w:p>
        </w:tc>
        <w:tc>
          <w:tcPr>
            <w:tcW w:w="6780" w:type="dxa"/>
            <w:vAlign w:val="bottom"/>
          </w:tcPr>
          <w:p>
            <w:pPr>
              <w:ind w:left="20"/>
              <w:spacing w:after="0"/>
              <w:rPr>
                <w:sz w:val="20"/>
                <w:szCs w:val="20"/>
                <w:color w:val="auto"/>
              </w:rPr>
            </w:pPr>
            <w:r>
              <w:rPr>
                <w:rFonts w:ascii="Arial" w:cs="Arial" w:eastAsia="Arial" w:hAnsi="Arial"/>
                <w:sz w:val="19"/>
                <w:szCs w:val="19"/>
                <w:color w:val="auto"/>
              </w:rPr>
              <w:t>Price</w:t>
            </w:r>
          </w:p>
        </w:tc>
        <w:tc>
          <w:tcPr>
            <w:tcW w:w="980" w:type="dxa"/>
            <w:vAlign w:val="bottom"/>
          </w:tcPr>
          <w:p>
            <w:pPr>
              <w:spacing w:after="0"/>
              <w:rPr>
                <w:sz w:val="23"/>
                <w:szCs w:val="23"/>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9"/>
                <w:szCs w:val="19"/>
                <w:color w:val="auto"/>
              </w:rPr>
              <w:t>1 %</w:t>
            </w:r>
          </w:p>
        </w:tc>
        <w:tc>
          <w:tcPr>
            <w:tcW w:w="1040" w:type="dxa"/>
            <w:vAlign w:val="bottom"/>
            <w:gridSpan w:val="3"/>
          </w:tcPr>
          <w:p>
            <w:pPr>
              <w:jc w:val="right"/>
              <w:ind w:right="1"/>
              <w:spacing w:after="0"/>
              <w:rPr>
                <w:sz w:val="20"/>
                <w:szCs w:val="20"/>
                <w:color w:val="auto"/>
              </w:rPr>
            </w:pPr>
            <w:r>
              <w:rPr>
                <w:rFonts w:ascii="Arial" w:cs="Arial" w:eastAsia="Arial" w:hAnsi="Arial"/>
                <w:sz w:val="19"/>
                <w:szCs w:val="19"/>
                <w:color w:val="auto"/>
              </w:rPr>
              <w:t>2 %</w:t>
            </w:r>
          </w:p>
        </w:tc>
      </w:tr>
      <w:tr>
        <w:trPr>
          <w:trHeight w:val="270"/>
        </w:trPr>
        <w:tc>
          <w:tcPr>
            <w:tcW w:w="140" w:type="dxa"/>
            <w:vAlign w:val="bottom"/>
          </w:tcPr>
          <w:p>
            <w:pPr>
              <w:spacing w:after="0"/>
              <w:rPr>
                <w:sz w:val="23"/>
                <w:szCs w:val="23"/>
                <w:color w:val="auto"/>
              </w:rPr>
            </w:pPr>
          </w:p>
        </w:tc>
        <w:tc>
          <w:tcPr>
            <w:tcW w:w="6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Acquisitions/Divestitures</w:t>
            </w:r>
          </w:p>
        </w:tc>
        <w:tc>
          <w:tcPr>
            <w:tcW w:w="980" w:type="dxa"/>
            <w:vAlign w:val="bottom"/>
            <w:shd w:val="clear" w:color="auto" w:fill="E5FFFF"/>
          </w:tcPr>
          <w:p>
            <w:pPr>
              <w:spacing w:after="0"/>
              <w:rPr>
                <w:sz w:val="23"/>
                <w:szCs w:val="23"/>
                <w:color w:val="auto"/>
              </w:rPr>
            </w:pPr>
          </w:p>
        </w:tc>
        <w:tc>
          <w:tcPr>
            <w:tcW w:w="1600" w:type="dxa"/>
            <w:vAlign w:val="bottom"/>
            <w:gridSpan w:val="4"/>
            <w:shd w:val="clear" w:color="auto" w:fill="E5FFFF"/>
          </w:tcPr>
          <w:p>
            <w:pPr>
              <w:jc w:val="right"/>
              <w:ind w:right="120"/>
              <w:spacing w:after="0"/>
              <w:rPr>
                <w:sz w:val="20"/>
                <w:szCs w:val="20"/>
                <w:color w:val="auto"/>
              </w:rPr>
            </w:pPr>
            <w:r>
              <w:rPr>
                <w:rFonts w:ascii="Arial" w:cs="Arial" w:eastAsia="Arial" w:hAnsi="Arial"/>
                <w:sz w:val="19"/>
                <w:szCs w:val="19"/>
                <w:color w:val="auto"/>
              </w:rPr>
              <w:t>2 %</w:t>
            </w: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3 %</w:t>
            </w:r>
          </w:p>
        </w:tc>
      </w:tr>
      <w:tr>
        <w:trPr>
          <w:trHeight w:val="270"/>
        </w:trPr>
        <w:tc>
          <w:tcPr>
            <w:tcW w:w="140" w:type="dxa"/>
            <w:vAlign w:val="bottom"/>
          </w:tcPr>
          <w:p>
            <w:pPr>
              <w:spacing w:after="0"/>
              <w:rPr>
                <w:sz w:val="23"/>
                <w:szCs w:val="23"/>
                <w:color w:val="auto"/>
              </w:rPr>
            </w:pPr>
          </w:p>
        </w:tc>
        <w:tc>
          <w:tcPr>
            <w:tcW w:w="678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980" w:type="dxa"/>
            <w:vAlign w:val="bottom"/>
          </w:tcPr>
          <w:p>
            <w:pPr>
              <w:spacing w:after="0"/>
              <w:rPr>
                <w:sz w:val="23"/>
                <w:szCs w:val="23"/>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9"/>
                <w:szCs w:val="19"/>
                <w:color w:val="auto"/>
              </w:rPr>
              <w:t>(2 )%</w:t>
            </w:r>
          </w:p>
        </w:tc>
        <w:tc>
          <w:tcPr>
            <w:tcW w:w="1040" w:type="dxa"/>
            <w:vAlign w:val="bottom"/>
            <w:gridSpan w:val="3"/>
          </w:tcPr>
          <w:p>
            <w:pPr>
              <w:jc w:val="right"/>
              <w:ind w:right="1"/>
              <w:spacing w:after="0"/>
              <w:rPr>
                <w:sz w:val="20"/>
                <w:szCs w:val="20"/>
                <w:color w:val="auto"/>
              </w:rPr>
            </w:pPr>
            <w:r>
              <w:rPr>
                <w:rFonts w:ascii="Arial" w:cs="Arial" w:eastAsia="Arial" w:hAnsi="Arial"/>
                <w:sz w:val="19"/>
                <w:szCs w:val="19"/>
                <w:color w:val="auto"/>
              </w:rPr>
              <w:t>2 %</w:t>
            </w:r>
          </w:p>
        </w:tc>
      </w:tr>
      <w:tr>
        <w:trPr>
          <w:trHeight w:val="34"/>
        </w:trPr>
        <w:tc>
          <w:tcPr>
            <w:tcW w:w="1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678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1600" w:type="dxa"/>
            <w:vAlign w:val="bottom"/>
            <w:gridSpan w:val="4"/>
            <w:shd w:val="clear" w:color="auto" w:fill="E5FFFF"/>
          </w:tcPr>
          <w:p>
            <w:pPr>
              <w:jc w:val="right"/>
              <w:ind w:right="120"/>
              <w:spacing w:after="0"/>
              <w:rPr>
                <w:sz w:val="20"/>
                <w:szCs w:val="20"/>
                <w:color w:val="auto"/>
              </w:rPr>
            </w:pPr>
            <w:r>
              <w:rPr>
                <w:rFonts w:ascii="Arial" w:cs="Arial" w:eastAsia="Arial" w:hAnsi="Arial"/>
                <w:sz w:val="19"/>
                <w:szCs w:val="19"/>
                <w:color w:val="auto"/>
              </w:rPr>
              <w:t>3 %</w:t>
            </w: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13 %</w:t>
            </w:r>
          </w:p>
        </w:tc>
      </w:tr>
      <w:tr>
        <w:trPr>
          <w:trHeight w:val="20"/>
        </w:trPr>
        <w:tc>
          <w:tcPr>
            <w:tcW w:w="1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discussion of net sales by segment can be found in the Review of Business Segments section of this MD&amp;A.</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Cost of Products and Services Sold</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2010</w:t>
            </w:r>
          </w:p>
        </w:tc>
      </w:tr>
      <w:tr>
        <w:trPr>
          <w:trHeight w:val="264"/>
        </w:trPr>
        <w:tc>
          <w:tcPr>
            <w:tcW w:w="6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Cost of products and services sold</w:t>
            </w:r>
          </w:p>
        </w:tc>
        <w:tc>
          <w:tcPr>
            <w:tcW w:w="112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$ 28,291</w:t>
            </w:r>
          </w:p>
        </w:tc>
        <w:tc>
          <w:tcPr>
            <w:tcW w:w="140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$ 28,556</w:t>
            </w:r>
          </w:p>
        </w:tc>
        <w:tc>
          <w:tcPr>
            <w:tcW w:w="144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$ 24,721</w:t>
            </w:r>
          </w:p>
        </w:tc>
      </w:tr>
      <w:tr>
        <w:trPr>
          <w:trHeight w:val="270"/>
        </w:trPr>
        <w:tc>
          <w:tcPr>
            <w:tcW w:w="6440" w:type="dxa"/>
            <w:vAlign w:val="bottom"/>
          </w:tcPr>
          <w:p>
            <w:pPr>
              <w:ind w:left="20"/>
              <w:spacing w:after="0"/>
              <w:rPr>
                <w:sz w:val="20"/>
                <w:szCs w:val="20"/>
                <w:color w:val="auto"/>
              </w:rPr>
            </w:pPr>
            <w:r>
              <w:rPr>
                <w:rFonts w:ascii="Arial" w:cs="Arial" w:eastAsia="Arial" w:hAnsi="Arial"/>
                <w:sz w:val="19"/>
                <w:szCs w:val="19"/>
                <w:color w:val="auto"/>
              </w:rPr>
              <w:t>% change compared with prior period</w:t>
            </w:r>
          </w:p>
        </w:tc>
        <w:tc>
          <w:tcPr>
            <w:tcW w:w="1120" w:type="dxa"/>
            <w:vAlign w:val="bottom"/>
          </w:tcPr>
          <w:p>
            <w:pPr>
              <w:jc w:val="right"/>
              <w:ind w:right="268"/>
              <w:spacing w:after="0"/>
              <w:rPr>
                <w:sz w:val="20"/>
                <w:szCs w:val="20"/>
                <w:color w:val="auto"/>
              </w:rPr>
            </w:pPr>
            <w:r>
              <w:rPr>
                <w:rFonts w:ascii="Arial" w:cs="Arial" w:eastAsia="Arial" w:hAnsi="Arial"/>
                <w:sz w:val="19"/>
                <w:szCs w:val="19"/>
                <w:color w:val="auto"/>
              </w:rPr>
              <w:t>(1)%</w:t>
            </w:r>
          </w:p>
        </w:tc>
        <w:tc>
          <w:tcPr>
            <w:tcW w:w="1400" w:type="dxa"/>
            <w:vAlign w:val="bottom"/>
            <w:gridSpan w:val="2"/>
          </w:tcPr>
          <w:p>
            <w:pPr>
              <w:jc w:val="right"/>
              <w:ind w:right="281"/>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Gross Margin percentage</w:t>
            </w:r>
          </w:p>
        </w:tc>
        <w:tc>
          <w:tcPr>
            <w:tcW w:w="11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24.9 %</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21.8 %</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23.6 %</w:t>
            </w:r>
          </w:p>
        </w:tc>
      </w:tr>
    </w:tbl>
    <w:p>
      <w:pPr>
        <w:spacing w:after="0" w:line="108"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Cost of products and services sold decreased by $265 million or 1 percent in 2012 compared with 2011 principally due to a decrease in pension expense of approximately $800 million (primarily driven by the decrease in the pension mark-to-market adjustment allocated to cost of products and services sold of $780 million) and a decrease in repositioning and other charges of approximately $ 220 million, partially offset by an estimated increase in direct material costs of approximately $620 million driven substantially by a 3 percent increase in sales as a result of the factors (excluding price) shown above and discussed in the Review of Business Segments section of this MD&amp;A and an increase in other postretirement expense of approximately $135 million due to the absence of 2011 curtailment gains.</w:t>
      </w:r>
    </w:p>
    <w:p>
      <w:pPr>
        <w:spacing w:after="0" w:line="91" w:lineRule="exact"/>
        <w:rPr>
          <w:sz w:val="20"/>
          <w:szCs w:val="20"/>
          <w:color w:val="auto"/>
        </w:rPr>
      </w:pPr>
    </w:p>
    <w:p>
      <w:pPr>
        <w:jc w:val="both"/>
        <w:ind w:right="440" w:firstLine="357"/>
        <w:spacing w:after="0" w:line="245" w:lineRule="auto"/>
        <w:rPr>
          <w:sz w:val="20"/>
          <w:szCs w:val="20"/>
          <w:color w:val="auto"/>
        </w:rPr>
      </w:pPr>
      <w:r>
        <w:rPr>
          <w:rFonts w:ascii="Arial" w:cs="Arial" w:eastAsia="Arial" w:hAnsi="Arial"/>
          <w:sz w:val="19"/>
          <w:szCs w:val="19"/>
          <w:color w:val="auto"/>
        </w:rPr>
        <w:t>Gross margin percentage increased by 3.1 percentage points in 2012 compared with 2011 principally due to lower pension expense (approximately 2.2 percentage point impact primarily driven by the decrease in the pension mark-to-market adjustment allocated to cost of products and services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26" w:right="279" w:bottom="1440" w:gutter="0" w:footer="0" w:header="0"/>
        </w:sectPr>
      </w:pPr>
    </w:p>
    <w:bookmarkStart w:id="30" w:name="page31"/>
    <w:bookmarkEnd w:id="30"/>
    <w:p>
      <w:pPr>
        <w:ind w:right="240"/>
        <w:spacing w:after="0" w:line="245" w:lineRule="auto"/>
        <w:rPr>
          <w:sz w:val="20"/>
          <w:szCs w:val="20"/>
          <w:color w:val="auto"/>
        </w:rPr>
      </w:pPr>
      <w:r>
        <w:rPr>
          <w:rFonts w:ascii="Arial" w:cs="Arial" w:eastAsia="Arial" w:hAnsi="Arial"/>
          <w:sz w:val="19"/>
          <w:szCs w:val="19"/>
          <w:color w:val="auto"/>
        </w:rPr>
        <w:t>sold), lower repositioning actions (approximately 0.6 percentage point impact) and higher segment gross margin in our Aerospace, Automation and Control Solutions and Performance Materials and Technologies segments (approximately 0.4 percentage point impact collectively), partially offset by higher other postretirement expense (approximately 0.4 percentage point impact).</w:t>
      </w:r>
    </w:p>
    <w:p>
      <w:pPr>
        <w:spacing w:after="0" w:line="87"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Cost of products and services sold increased by $3,835 million or 16 percent in 2011 compared with 2010, principally due to an estimated increase in direct material costs, labor costs and indirect costs of approximately $2 billion, $ 520 million, and $280 million, respectively, driven substantially by a 13 percent increase in sales as a result of the factors (excluding price) shown above and discussed in the Review of Business Segments section of this MD&amp;A, an increase in pension and other postretirement expense of approximately $880 million (primarily driven by the increase in the pension mark-to-market adjustment allocated to cost of products and services sold of $1.1 billion) and an increase in repositioning and other charges of approximately $90 million.</w:t>
      </w:r>
    </w:p>
    <w:p>
      <w:pPr>
        <w:spacing w:after="0" w:line="94"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Gross margin percentage decreased by 1.8 percentage points in 2011 compared with 2010, primarily due to higher pension and other postretirement expense (approximate 2.8 percentage point impact primarily driven by an unfavorable 3.3 percentage point impact resulting from the increase in the pension mark-to-market adjustment allocated to cost of products and services sold) and repositioning and other charges (approximate 0.2 percentage point impact), partially offset by higher sales volume driven by each of our business segments (approximate 1.2 percentage point impact).</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160" w:type="dxa"/>
            <w:vAlign w:val="bottom"/>
          </w:tcPr>
          <w:p>
            <w:pPr>
              <w:spacing w:after="0"/>
              <w:rPr>
                <w:sz w:val="17"/>
                <w:szCs w:val="17"/>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2010</w:t>
            </w:r>
          </w:p>
        </w:tc>
      </w:tr>
      <w:tr>
        <w:trPr>
          <w:trHeight w:val="264"/>
        </w:trPr>
        <w:tc>
          <w:tcPr>
            <w:tcW w:w="7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w:t>
            </w:r>
          </w:p>
        </w:tc>
        <w:tc>
          <w:tcPr>
            <w:tcW w:w="8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$ 5,218</w:t>
            </w:r>
          </w:p>
        </w:tc>
        <w:tc>
          <w:tcPr>
            <w:tcW w:w="11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  5,399</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  4,618</w:t>
            </w:r>
          </w:p>
        </w:tc>
      </w:tr>
      <w:tr>
        <w:trPr>
          <w:trHeight w:val="274"/>
        </w:trPr>
        <w:tc>
          <w:tcPr>
            <w:tcW w:w="7160" w:type="dxa"/>
            <w:vAlign w:val="bottom"/>
          </w:tcPr>
          <w:p>
            <w:pPr>
              <w:ind w:left="20"/>
              <w:spacing w:after="0"/>
              <w:rPr>
                <w:sz w:val="20"/>
                <w:szCs w:val="20"/>
                <w:color w:val="auto"/>
              </w:rPr>
            </w:pPr>
            <w:r>
              <w:rPr>
                <w:rFonts w:ascii="Arial" w:cs="Arial" w:eastAsia="Arial" w:hAnsi="Arial"/>
                <w:sz w:val="19"/>
                <w:szCs w:val="19"/>
                <w:color w:val="auto"/>
              </w:rPr>
              <w:t>Percent of sales</w:t>
            </w:r>
          </w:p>
        </w:tc>
        <w:tc>
          <w:tcPr>
            <w:tcW w:w="840" w:type="dxa"/>
            <w:vAlign w:val="bottom"/>
          </w:tcPr>
          <w:p>
            <w:pPr>
              <w:jc w:val="right"/>
              <w:ind w:right="49"/>
              <w:spacing w:after="0"/>
              <w:rPr>
                <w:sz w:val="20"/>
                <w:szCs w:val="20"/>
                <w:color w:val="auto"/>
              </w:rPr>
            </w:pPr>
            <w:r>
              <w:rPr>
                <w:rFonts w:ascii="Arial" w:cs="Arial" w:eastAsia="Arial" w:hAnsi="Arial"/>
                <w:sz w:val="19"/>
                <w:szCs w:val="19"/>
                <w:color w:val="auto"/>
              </w:rPr>
              <w:t>13.9%</w:t>
            </w:r>
          </w:p>
        </w:tc>
        <w:tc>
          <w:tcPr>
            <w:tcW w:w="1180" w:type="dxa"/>
            <w:vAlign w:val="bottom"/>
            <w:gridSpan w:val="2"/>
          </w:tcPr>
          <w:p>
            <w:pPr>
              <w:jc w:val="right"/>
              <w:ind w:right="81"/>
              <w:spacing w:after="0"/>
              <w:rPr>
                <w:sz w:val="20"/>
                <w:szCs w:val="20"/>
                <w:color w:val="auto"/>
              </w:rPr>
            </w:pPr>
            <w:r>
              <w:rPr>
                <w:rFonts w:ascii="Arial" w:cs="Arial" w:eastAsia="Arial" w:hAnsi="Arial"/>
                <w:sz w:val="19"/>
                <w:szCs w:val="19"/>
                <w:color w:val="auto"/>
              </w:rPr>
              <w:t>14.8%</w:t>
            </w:r>
          </w:p>
        </w:tc>
        <w:tc>
          <w:tcPr>
            <w:tcW w:w="1220" w:type="dxa"/>
            <w:vAlign w:val="bottom"/>
            <w:gridSpan w:val="2"/>
          </w:tcPr>
          <w:p>
            <w:pPr>
              <w:jc w:val="right"/>
              <w:ind w:right="101"/>
              <w:spacing w:after="0"/>
              <w:rPr>
                <w:sz w:val="20"/>
                <w:szCs w:val="20"/>
                <w:color w:val="auto"/>
              </w:rPr>
            </w:pPr>
            <w:r>
              <w:rPr>
                <w:rFonts w:ascii="Arial" w:cs="Arial" w:eastAsia="Arial" w:hAnsi="Arial"/>
                <w:sz w:val="19"/>
                <w:szCs w:val="19"/>
                <w:color w:val="auto"/>
              </w:rPr>
              <w:t>14.3%</w:t>
            </w:r>
          </w:p>
        </w:tc>
      </w:tr>
    </w:tbl>
    <w:p>
      <w:pPr>
        <w:spacing w:after="0" w:line="104"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Selling, general and administrative expenses (SG&amp;A) decreased as a percentage of sales by 0.9 percent in 2012 compared to 2011 driven by the impact of higher sales as a result of the factors discussed in the Review of Business Segments section of this MD&amp;A, an estimated $110 million decrease in pension expense (driven by the decrease in the portion of the pension mark-to-market charge allocated to SG&amp;A), $90 million decrease due to foreign exchange and $80 million decrease in repositioning actions, partially offset by the impact an estimated $140 million increase in costs resulting from acquisitions, investment for growth and merit increases (net of other employee related costs).</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Selling, general and administrative expenses increased as a percentage of sales by 0.5 percent in 2011 compared to 2010 driven by an estimated $430 million increase in labor costs resulting from acquisitions, investment for growth, and merit increases, an estimated increase of $240 million in pension and other postretirement expense (driven primarily by the allocated portion of the pension mark-to-market charge increase of approximately $ 270 million) and an estimated increase of $60 million in repositioning actions, partially offset by the impact of higher sales volume as a result of the factors discussed in the Review of Business Segments section of this MD&amp;A.</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(Income) Expense</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720" w:type="dxa"/>
            <w:vAlign w:val="bottom"/>
          </w:tcPr>
          <w:p>
            <w:pPr>
              <w:spacing w:after="0"/>
              <w:rPr>
                <w:sz w:val="17"/>
                <w:szCs w:val="17"/>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2010</w:t>
            </w:r>
          </w:p>
        </w:tc>
      </w:tr>
      <w:tr>
        <w:trPr>
          <w:trHeight w:val="237"/>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(income)/loss of affiliated companies</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(45 )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(51 )</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(28 )</w:t>
            </w:r>
          </w:p>
        </w:tc>
      </w:tr>
      <w:tr>
        <w:trPr>
          <w:trHeight w:val="270"/>
        </w:trPr>
        <w:tc>
          <w:tcPr>
            <w:tcW w:w="7720" w:type="dxa"/>
            <w:vAlign w:val="bottom"/>
          </w:tcPr>
          <w:p>
            <w:pPr>
              <w:ind w:left="20"/>
              <w:spacing w:after="0"/>
              <w:rPr>
                <w:sz w:val="20"/>
                <w:szCs w:val="20"/>
                <w:color w:val="auto"/>
              </w:rPr>
            </w:pPr>
            <w:r>
              <w:rPr>
                <w:rFonts w:ascii="Arial" w:cs="Arial" w:eastAsia="Arial" w:hAnsi="Arial"/>
                <w:sz w:val="19"/>
                <w:szCs w:val="19"/>
                <w:color w:val="auto"/>
              </w:rPr>
              <w:t>Gain on sale of non-strategic businesses and assets</w:t>
            </w:r>
          </w:p>
        </w:tc>
        <w:tc>
          <w:tcPr>
            <w:tcW w:w="680" w:type="dxa"/>
            <w:vAlign w:val="bottom"/>
          </w:tcPr>
          <w:p>
            <w:pPr>
              <w:jc w:val="right"/>
              <w:spacing w:after="0"/>
              <w:rPr>
                <w:sz w:val="20"/>
                <w:szCs w:val="20"/>
                <w:color w:val="auto"/>
              </w:rPr>
            </w:pPr>
            <w:r>
              <w:rPr>
                <w:rFonts w:ascii="Arial" w:cs="Arial" w:eastAsia="Arial" w:hAnsi="Arial"/>
                <w:sz w:val="19"/>
                <w:szCs w:val="19"/>
                <w:color w:val="auto"/>
              </w:rPr>
              <w:t>(5 )</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(61 )</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w:t>
            </w:r>
          </w:p>
        </w:tc>
      </w:tr>
      <w:tr>
        <w:trPr>
          <w:trHeight w:val="270"/>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income</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(58 )</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(39 )</w:t>
            </w:r>
          </w:p>
        </w:tc>
      </w:tr>
      <w:tr>
        <w:trPr>
          <w:trHeight w:val="270"/>
        </w:trPr>
        <w:tc>
          <w:tcPr>
            <w:tcW w:w="772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36</w:t>
            </w:r>
          </w:p>
        </w:tc>
        <w:tc>
          <w:tcPr>
            <w:tcW w:w="960" w:type="dxa"/>
            <w:vAlign w:val="bottom"/>
            <w:gridSpan w:val="2"/>
          </w:tcPr>
          <w:p>
            <w:pPr>
              <w:jc w:val="right"/>
              <w:ind w:right="52"/>
              <w:spacing w:after="0"/>
              <w:rPr>
                <w:sz w:val="20"/>
                <w:szCs w:val="20"/>
                <w:color w:val="auto"/>
              </w:rPr>
            </w:pPr>
            <w:r>
              <w:rPr>
                <w:rFonts w:ascii="Arial" w:cs="Arial" w:eastAsia="Arial" w:hAnsi="Arial"/>
                <w:sz w:val="19"/>
                <w:szCs w:val="19"/>
                <w:color w:val="auto"/>
              </w:rPr>
              <w:t>50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12</w:t>
            </w:r>
          </w:p>
        </w:tc>
      </w:tr>
      <w:tr>
        <w:trPr>
          <w:trHeight w:val="270"/>
        </w:trPr>
        <w:tc>
          <w:tcPr>
            <w:tcW w:w="7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net</w:t>
            </w:r>
          </w:p>
        </w:tc>
        <w:tc>
          <w:tcPr>
            <w:tcW w:w="68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52"/>
              <w:spacing w:after="0"/>
              <w:rPr>
                <w:sz w:val="20"/>
                <w:szCs w:val="20"/>
                <w:color w:val="auto"/>
              </w:rPr>
            </w:pPr>
            <w:r>
              <w:rPr>
                <w:rFonts w:ascii="Arial" w:cs="Arial" w:eastAsia="Arial" w:hAnsi="Arial"/>
                <w:sz w:val="19"/>
                <w:szCs w:val="19"/>
                <w:color w:val="auto"/>
              </w:rPr>
              <w:t>36</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(42 )</w:t>
            </w:r>
          </w:p>
        </w:tc>
      </w:tr>
      <w:tr>
        <w:trPr>
          <w:trHeight w:val="277"/>
        </w:trPr>
        <w:tc>
          <w:tcPr>
            <w:tcW w:w="7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 (70 )</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 (84 )</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(97 )</w:t>
            </w:r>
          </w:p>
        </w:tc>
      </w:tr>
      <w:tr>
        <w:trPr>
          <w:trHeight w:val="20"/>
        </w:trPr>
        <w:tc>
          <w:tcPr>
            <w:tcW w:w="7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80" w:firstLine="357"/>
        <w:spacing w:after="0" w:line="242" w:lineRule="auto"/>
        <w:rPr>
          <w:sz w:val="20"/>
          <w:szCs w:val="20"/>
          <w:color w:val="auto"/>
        </w:rPr>
      </w:pPr>
      <w:r>
        <w:rPr>
          <w:rFonts w:ascii="Arial" w:cs="Arial" w:eastAsia="Arial" w:hAnsi="Arial"/>
          <w:sz w:val="19"/>
          <w:szCs w:val="19"/>
          <w:color w:val="auto"/>
        </w:rPr>
        <w:t>Other income decreased by $14 million in 2012 compared to 2011 due primarily to a $50 million pre-tax gain related to the divestiture of the automotive on-board sensors products business within our Automation and Control Solutions segment in the first quarter of 2011, partially offset by a loss of $29 million resulting from early redemption of debt in 2011 included within “Other, net” and the reduction of approximately $6 million of acquisition related costs compared to 2011 included within “Other, net”.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1" w:name="page32"/>
    <w:bookmarkEnd w:id="31"/>
    <w:p>
      <w:pPr>
        <w:ind w:right="60" w:firstLine="357"/>
        <w:spacing w:after="0"/>
        <w:rPr>
          <w:sz w:val="20"/>
          <w:szCs w:val="20"/>
          <w:color w:val="auto"/>
        </w:rPr>
      </w:pPr>
      <w:r>
        <w:rPr>
          <w:rFonts w:ascii="Arial" w:cs="Arial" w:eastAsia="Arial" w:hAnsi="Arial"/>
          <w:sz w:val="19"/>
          <w:szCs w:val="19"/>
          <w:color w:val="auto"/>
        </w:rPr>
        <w:t>Other income decreased by $13 million in 2011 compared to 2010 due primarily to a $29 million loss resulting from early redemption of debt in the first quarter of 2011, included within “Other, net”, and the absence of a $62 million pre-tax gain related to the consolidation of a joint venture within our Performance Materials and Technologies segment in the third quarter of 2010, included within “Other, net”, (see Note 4 of Notes to Financial Statements for further details), partially offset by a $61 million increase in gain on sale of non-strategic businesses and assets due primarily to a $50 million pre-tax gain related to the divestiture of the automotive on-board sensors products business within our Automation and Control Solutions segment and the reduction of approximately $12 million of acquisition related costs compared to 2010 included within “Other, net”.</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and Other Financial Charges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700" w:type="dxa"/>
            <w:vAlign w:val="bottom"/>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2010</w:t>
            </w:r>
          </w:p>
        </w:tc>
      </w:tr>
      <w:tr>
        <w:trPr>
          <w:trHeight w:val="264"/>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68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$ 351</w:t>
            </w:r>
          </w:p>
        </w:tc>
        <w:tc>
          <w:tcPr>
            <w:tcW w:w="9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$ 376</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  386</w:t>
            </w:r>
          </w:p>
        </w:tc>
      </w:tr>
      <w:tr>
        <w:trPr>
          <w:trHeight w:val="274"/>
        </w:trPr>
        <w:tc>
          <w:tcPr>
            <w:tcW w:w="7700" w:type="dxa"/>
            <w:vAlign w:val="bottom"/>
          </w:tcPr>
          <w:p>
            <w:pPr>
              <w:ind w:left="20"/>
              <w:spacing w:after="0"/>
              <w:rPr>
                <w:sz w:val="20"/>
                <w:szCs w:val="20"/>
                <w:color w:val="auto"/>
              </w:rPr>
            </w:pPr>
            <w:r>
              <w:rPr>
                <w:rFonts w:ascii="Arial" w:cs="Arial" w:eastAsia="Arial" w:hAnsi="Arial"/>
                <w:sz w:val="19"/>
                <w:szCs w:val="19"/>
                <w:color w:val="auto"/>
              </w:rPr>
              <w:t>% change compared with prior period</w:t>
            </w:r>
          </w:p>
        </w:tc>
        <w:tc>
          <w:tcPr>
            <w:tcW w:w="680" w:type="dxa"/>
            <w:vAlign w:val="bottom"/>
          </w:tcPr>
          <w:p>
            <w:pPr>
              <w:jc w:val="right"/>
              <w:ind w:right="49"/>
              <w:spacing w:after="0"/>
              <w:rPr>
                <w:sz w:val="20"/>
                <w:szCs w:val="20"/>
                <w:color w:val="auto"/>
              </w:rPr>
            </w:pPr>
            <w:r>
              <w:rPr>
                <w:rFonts w:ascii="Arial" w:cs="Arial" w:eastAsia="Arial" w:hAnsi="Arial"/>
                <w:sz w:val="19"/>
                <w:szCs w:val="19"/>
                <w:color w:val="auto"/>
              </w:rPr>
              <w:t>(7)%</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104" w:lineRule="exact"/>
        <w:rPr>
          <w:sz w:val="20"/>
          <w:szCs w:val="20"/>
          <w:color w:val="auto"/>
        </w:rPr>
      </w:pPr>
    </w:p>
    <w:p>
      <w:pPr>
        <w:ind w:right="480" w:firstLine="357"/>
        <w:spacing w:after="0" w:line="253" w:lineRule="auto"/>
        <w:rPr>
          <w:sz w:val="20"/>
          <w:szCs w:val="20"/>
          <w:color w:val="auto"/>
        </w:rPr>
      </w:pPr>
      <w:r>
        <w:rPr>
          <w:rFonts w:ascii="Arial" w:cs="Arial" w:eastAsia="Arial" w:hAnsi="Arial"/>
          <w:sz w:val="19"/>
          <w:szCs w:val="19"/>
          <w:color w:val="auto"/>
        </w:rPr>
        <w:t>Interest and other financial charges decreased by 7% percent in 2012 compared with 2011 primarily due to lower borrowing costs, partially offset by higher average debt balances.</w:t>
      </w:r>
    </w:p>
    <w:p>
      <w:pPr>
        <w:spacing w:after="0" w:line="80" w:lineRule="exact"/>
        <w:rPr>
          <w:sz w:val="20"/>
          <w:szCs w:val="20"/>
          <w:color w:val="auto"/>
        </w:rPr>
      </w:pPr>
    </w:p>
    <w:p>
      <w:pPr>
        <w:ind w:right="480" w:firstLine="357"/>
        <w:spacing w:after="0" w:line="253" w:lineRule="auto"/>
        <w:rPr>
          <w:sz w:val="20"/>
          <w:szCs w:val="20"/>
          <w:color w:val="auto"/>
        </w:rPr>
      </w:pPr>
      <w:r>
        <w:rPr>
          <w:rFonts w:ascii="Arial" w:cs="Arial" w:eastAsia="Arial" w:hAnsi="Arial"/>
          <w:sz w:val="19"/>
          <w:szCs w:val="19"/>
          <w:color w:val="auto"/>
        </w:rPr>
        <w:t>Interest and other financial charges decreased by 3% percent in 2011 compared with 2010 primarily due to lower borrowing costs, partially offset by higher debt balances.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Expense</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160" w:type="dxa"/>
            <w:vAlign w:val="bottom"/>
          </w:tcPr>
          <w:p>
            <w:pPr>
              <w:spacing w:after="0"/>
              <w:rPr>
                <w:sz w:val="17"/>
                <w:szCs w:val="17"/>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2010</w:t>
            </w:r>
          </w:p>
        </w:tc>
      </w:tr>
      <w:tr>
        <w:trPr>
          <w:trHeight w:val="264"/>
        </w:trPr>
        <w:tc>
          <w:tcPr>
            <w:tcW w:w="7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expense</w:t>
            </w:r>
          </w:p>
        </w:tc>
        <w:tc>
          <w:tcPr>
            <w:tcW w:w="860" w:type="dxa"/>
            <w:vAlign w:val="bottom"/>
            <w:shd w:val="clear" w:color="auto" w:fill="E5FFFF"/>
          </w:tcPr>
          <w:p>
            <w:pPr>
              <w:jc w:val="right"/>
              <w:ind w:right="149"/>
              <w:spacing w:after="0"/>
              <w:rPr>
                <w:sz w:val="20"/>
                <w:szCs w:val="20"/>
                <w:color w:val="auto"/>
              </w:rPr>
            </w:pPr>
            <w:r>
              <w:rPr>
                <w:rFonts w:ascii="Arial" w:cs="Arial" w:eastAsia="Arial" w:hAnsi="Arial"/>
                <w:sz w:val="19"/>
                <w:szCs w:val="19"/>
                <w:color w:val="auto"/>
              </w:rPr>
              <w:t>$  944</w:t>
            </w:r>
          </w:p>
        </w:tc>
        <w:tc>
          <w:tcPr>
            <w:tcW w:w="11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417</w:t>
            </w:r>
          </w:p>
        </w:tc>
        <w:tc>
          <w:tcPr>
            <w:tcW w:w="1200" w:type="dxa"/>
            <w:vAlign w:val="bottom"/>
            <w:gridSpan w:val="2"/>
            <w:shd w:val="clear" w:color="auto" w:fill="E5FFFF"/>
          </w:tcPr>
          <w:p>
            <w:pPr>
              <w:jc w:val="right"/>
              <w:ind w:right="201"/>
              <w:spacing w:after="0"/>
              <w:rPr>
                <w:sz w:val="20"/>
                <w:szCs w:val="20"/>
                <w:color w:val="auto"/>
              </w:rPr>
            </w:pPr>
            <w:r>
              <w:rPr>
                <w:rFonts w:ascii="Arial" w:cs="Arial" w:eastAsia="Arial" w:hAnsi="Arial"/>
                <w:sz w:val="19"/>
                <w:szCs w:val="19"/>
                <w:color w:val="auto"/>
              </w:rPr>
              <w:t>$  765</w:t>
            </w:r>
          </w:p>
        </w:tc>
      </w:tr>
      <w:tr>
        <w:trPr>
          <w:trHeight w:val="274"/>
        </w:trPr>
        <w:tc>
          <w:tcPr>
            <w:tcW w:w="7160" w:type="dxa"/>
            <w:vAlign w:val="bottom"/>
          </w:tcPr>
          <w:p>
            <w:pPr>
              <w:ind w:left="20"/>
              <w:spacing w:after="0"/>
              <w:rPr>
                <w:sz w:val="20"/>
                <w:szCs w:val="20"/>
                <w:color w:val="auto"/>
              </w:rPr>
            </w:pPr>
            <w:r>
              <w:rPr>
                <w:rFonts w:ascii="Arial" w:cs="Arial" w:eastAsia="Arial" w:hAnsi="Arial"/>
                <w:sz w:val="19"/>
                <w:szCs w:val="19"/>
                <w:color w:val="auto"/>
              </w:rPr>
              <w:t>Effective tax rate</w:t>
            </w:r>
          </w:p>
        </w:tc>
        <w:tc>
          <w:tcPr>
            <w:tcW w:w="860" w:type="dxa"/>
            <w:vAlign w:val="bottom"/>
          </w:tcPr>
          <w:p>
            <w:pPr>
              <w:jc w:val="right"/>
              <w:spacing w:after="0"/>
              <w:rPr>
                <w:sz w:val="20"/>
                <w:szCs w:val="20"/>
                <w:color w:val="auto"/>
              </w:rPr>
            </w:pPr>
            <w:r>
              <w:rPr>
                <w:rFonts w:ascii="Arial" w:cs="Arial" w:eastAsia="Arial" w:hAnsi="Arial"/>
                <w:sz w:val="19"/>
                <w:szCs w:val="19"/>
                <w:color w:val="auto"/>
              </w:rPr>
              <w:t>24.4 %</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18.3 %</w:t>
            </w:r>
          </w:p>
        </w:tc>
        <w:tc>
          <w:tcPr>
            <w:tcW w:w="1200" w:type="dxa"/>
            <w:vAlign w:val="bottom"/>
            <w:gridSpan w:val="2"/>
          </w:tcPr>
          <w:p>
            <w:pPr>
              <w:jc w:val="right"/>
              <w:ind w:right="1"/>
              <w:spacing w:after="0"/>
              <w:rPr>
                <w:sz w:val="20"/>
                <w:szCs w:val="20"/>
                <w:color w:val="auto"/>
              </w:rPr>
            </w:pPr>
            <w:r>
              <w:rPr>
                <w:rFonts w:ascii="Arial" w:cs="Arial" w:eastAsia="Arial" w:hAnsi="Arial"/>
                <w:sz w:val="19"/>
                <w:szCs w:val="19"/>
                <w:color w:val="auto"/>
              </w:rPr>
              <w:t>28.1 %</w:t>
            </w:r>
          </w:p>
        </w:tc>
      </w:tr>
    </w:tbl>
    <w:p>
      <w:pPr>
        <w:spacing w:after="0" w:line="10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effective tax rate increased by 6.1 percentage points in 2012 compared with 2011 primarily due to a change in the mix of earnings taxed at higher rates (primarily driven by an approximate 6.1 percentage point impact from the decrease in pension mark-to-market expense), a decreased benefit from valuation allowances, a decreased benefit from the settlement of tax audits and the absence of the U.S. R&amp;D tax credit, partially offset by a decreased expense related to tax reserves. The foreign effective tax rate was 17.0 percent, a decrease of approximately 4.1 percentage points which primarily consisted of a 10.0 percent impact related to a decrease in tax reserves, partially offset by a 5.2 percent impact from increased valuation allowances on net operating losses primarily due to a decrease in Luxembourg and France earnings available to be offset by net operating loss carry forwards and a 1.4 percent impact from tax expense related to foreign exchange. The effective tax rate was lower than the U.S. statutory rate of 35 percent primarily due to earnings taxed at lower foreign rates.</w:t>
      </w:r>
    </w:p>
    <w:p>
      <w:pPr>
        <w:spacing w:after="0" w:line="95"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The effective tax rate decreased by 9.8 percentage points in 2011 compared with 2010 primarily due to a change in the mix of earnings between U.S. and foreign sources related to higher U.S. pension expense (primarily driven by an approximate 7.6 percentage point impact which resulted from the increase in pension mark-to-market expense), an increased benefit from manufacturing incentives, an increased benefit from the favorable settlement of tax audits and an increased benefit from a lower foreign effective tax rate. The foreign effective tax rate was 21.1 percent, a decrease of approximately 4.9 percentage points which primarily consisted of (i) a 5.1 percent impact from decreased valuation allowances on net operating losses primarily due to an increase in German earnings available to be offset by net operating loss carry forwards, (ii) a 2.4 percent impact from tax benefits related to foreign exchange and investment losses, (iii) a 1.2 percent impact from an increased benefit in tax credits and lower statutory tax rates, and (iv) a 4.1 percent impact related to an increase in tax reserves. The effective tax rate was lower than the U.S. statutory rate of 35 percent primarily due to earnings taxed at lower foreign rates.</w:t>
      </w:r>
    </w:p>
    <w:p>
      <w:pPr>
        <w:spacing w:after="0" w:line="93"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The American Taxpayer Relief Act of 2012 was signed into law on January 2, 2013. Some of these provisions provide retroactive changes to the 2012 tax year which were not taken into account in determining the Company’s effective tax rate for 2012. The impact of these retroactive changes will be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2" w:name="page33"/>
    <w:bookmarkEnd w:id="32"/>
    <w:p>
      <w:pPr>
        <w:ind w:right="80"/>
        <w:spacing w:after="0" w:line="241" w:lineRule="auto"/>
        <w:rPr>
          <w:sz w:val="20"/>
          <w:szCs w:val="20"/>
          <w:color w:val="auto"/>
        </w:rPr>
      </w:pPr>
      <w:r>
        <w:rPr>
          <w:rFonts w:ascii="Arial" w:cs="Arial" w:eastAsia="Arial" w:hAnsi="Arial"/>
          <w:sz w:val="19"/>
          <w:szCs w:val="19"/>
          <w:color w:val="auto"/>
        </w:rPr>
        <w:t>recorded in the first quarter of 2013, however, the 2013 effective tax rate could also change based upon the Company’s operating results, mix of earnings and the outcome of tax positions taken regarding previously filed tax returns currently under audit by various Federal, State and foreign tax authorities, several of which may be finalized in the foreseeable future. The Company believes that it has adequate reserves for these matters. However, the ultimate outcome of these matters may differ and could materially impact the results of operations and operating cash flows in the period they are resolved.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Income Attributable to Honeywell</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2010</w:t>
            </w:r>
          </w:p>
        </w:tc>
      </w:tr>
      <w:tr>
        <w:trPr>
          <w:trHeight w:val="237"/>
        </w:trPr>
        <w:tc>
          <w:tcPr>
            <w:tcW w:w="7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Amounts attributable to Honeywell</w:t>
            </w:r>
          </w:p>
        </w:tc>
        <w:tc>
          <w:tcPr>
            <w:tcW w:w="20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r>
      <w:tr>
        <w:trPr>
          <w:trHeight w:val="270"/>
        </w:trPr>
        <w:tc>
          <w:tcPr>
            <w:tcW w:w="7160" w:type="dxa"/>
            <w:vAlign w:val="bottom"/>
          </w:tcPr>
          <w:p>
            <w:pPr>
              <w:ind w:left="380"/>
              <w:spacing w:after="0"/>
              <w:rPr>
                <w:sz w:val="20"/>
                <w:szCs w:val="20"/>
                <w:color w:val="auto"/>
              </w:rPr>
            </w:pPr>
            <w:r>
              <w:rPr>
                <w:rFonts w:ascii="Arial" w:cs="Arial" w:eastAsia="Arial" w:hAnsi="Arial"/>
                <w:sz w:val="19"/>
                <w:szCs w:val="19"/>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2,926</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1,858</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
              <w:spacing w:after="0"/>
              <w:rPr>
                <w:sz w:val="20"/>
                <w:szCs w:val="20"/>
                <w:color w:val="auto"/>
              </w:rPr>
            </w:pPr>
            <w:r>
              <w:rPr>
                <w:rFonts w:ascii="Arial" w:cs="Arial" w:eastAsia="Arial" w:hAnsi="Arial"/>
                <w:sz w:val="19"/>
                <w:szCs w:val="19"/>
                <w:color w:val="auto"/>
              </w:rPr>
              <w:t>1,944</w:t>
            </w:r>
          </w:p>
        </w:tc>
      </w:tr>
      <w:tr>
        <w:trPr>
          <w:trHeight w:val="270"/>
        </w:trPr>
        <w:tc>
          <w:tcPr>
            <w:tcW w:w="7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w:t>
            </w: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209</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78</w:t>
            </w:r>
          </w:p>
        </w:tc>
      </w:tr>
      <w:tr>
        <w:trPr>
          <w:trHeight w:val="304"/>
        </w:trPr>
        <w:tc>
          <w:tcPr>
            <w:tcW w:w="7160" w:type="dxa"/>
            <w:vAlign w:val="bottom"/>
          </w:tcPr>
          <w:p>
            <w:pPr>
              <w:ind w:left="380"/>
              <w:spacing w:after="0"/>
              <w:rPr>
                <w:sz w:val="20"/>
                <w:szCs w:val="20"/>
                <w:color w:val="auto"/>
              </w:rPr>
            </w:pPr>
            <w:r>
              <w:rPr>
                <w:rFonts w:ascii="Arial" w:cs="Arial" w:eastAsia="Arial" w:hAnsi="Arial"/>
                <w:sz w:val="19"/>
                <w:szCs w:val="19"/>
                <w:color w:val="auto"/>
              </w:rPr>
              <w:t>Net income attributable to Honeywell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2,926</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2,067</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
              <w:spacing w:after="0"/>
              <w:rPr>
                <w:sz w:val="20"/>
                <w:szCs w:val="20"/>
                <w:color w:val="auto"/>
              </w:rPr>
            </w:pPr>
            <w:r>
              <w:rPr>
                <w:rFonts w:ascii="Arial" w:cs="Arial" w:eastAsia="Arial" w:hAnsi="Arial"/>
                <w:sz w:val="19"/>
                <w:szCs w:val="19"/>
                <w:color w:val="auto"/>
              </w:rPr>
              <w:t>2,022</w:t>
            </w:r>
          </w:p>
        </w:tc>
      </w:tr>
      <w:tr>
        <w:trPr>
          <w:trHeight w:val="20"/>
        </w:trPr>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3"/>
        </w:trPr>
        <w:tc>
          <w:tcPr>
            <w:tcW w:w="7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 of common stock—assuming dilution</w:t>
            </w: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r>
      <w:tr>
        <w:trPr>
          <w:trHeight w:val="270"/>
        </w:trPr>
        <w:tc>
          <w:tcPr>
            <w:tcW w:w="7160" w:type="dxa"/>
            <w:vAlign w:val="bottom"/>
          </w:tcPr>
          <w:p>
            <w:pPr>
              <w:ind w:left="380"/>
              <w:spacing w:after="0"/>
              <w:rPr>
                <w:sz w:val="20"/>
                <w:szCs w:val="20"/>
                <w:color w:val="auto"/>
              </w:rPr>
            </w:pPr>
            <w:r>
              <w:rPr>
                <w:rFonts w:ascii="Arial" w:cs="Arial" w:eastAsia="Arial" w:hAnsi="Arial"/>
                <w:sz w:val="19"/>
                <w:szCs w:val="19"/>
                <w:color w:val="auto"/>
              </w:rPr>
              <w:t>Income from continuing operations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3.69</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2.35</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
              <w:spacing w:after="0"/>
              <w:rPr>
                <w:sz w:val="20"/>
                <w:szCs w:val="20"/>
                <w:color w:val="auto"/>
              </w:rPr>
            </w:pPr>
            <w:r>
              <w:rPr>
                <w:rFonts w:ascii="Arial" w:cs="Arial" w:eastAsia="Arial" w:hAnsi="Arial"/>
                <w:sz w:val="19"/>
                <w:szCs w:val="19"/>
                <w:color w:val="auto"/>
              </w:rPr>
              <w:t>2.49</w:t>
            </w:r>
          </w:p>
        </w:tc>
      </w:tr>
      <w:tr>
        <w:trPr>
          <w:trHeight w:val="270"/>
        </w:trPr>
        <w:tc>
          <w:tcPr>
            <w:tcW w:w="7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w:t>
            </w: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0.26</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0.10</w:t>
            </w:r>
          </w:p>
        </w:tc>
      </w:tr>
      <w:tr>
        <w:trPr>
          <w:trHeight w:val="304"/>
        </w:trPr>
        <w:tc>
          <w:tcPr>
            <w:tcW w:w="7160" w:type="dxa"/>
            <w:vAlign w:val="bottom"/>
          </w:tcPr>
          <w:p>
            <w:pPr>
              <w:ind w:left="380"/>
              <w:spacing w:after="0"/>
              <w:rPr>
                <w:sz w:val="20"/>
                <w:szCs w:val="20"/>
                <w:color w:val="auto"/>
              </w:rPr>
            </w:pPr>
            <w:r>
              <w:rPr>
                <w:rFonts w:ascii="Arial" w:cs="Arial" w:eastAsia="Arial" w:hAnsi="Arial"/>
                <w:sz w:val="19"/>
                <w:szCs w:val="19"/>
                <w:color w:val="auto"/>
              </w:rPr>
              <w:t>Net income attributable to Honeywell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6"/>
              <w:spacing w:after="0"/>
              <w:rPr>
                <w:sz w:val="20"/>
                <w:szCs w:val="20"/>
                <w:color w:val="auto"/>
              </w:rPr>
            </w:pPr>
            <w:r>
              <w:rPr>
                <w:rFonts w:ascii="Arial" w:cs="Arial" w:eastAsia="Arial" w:hAnsi="Arial"/>
                <w:sz w:val="19"/>
                <w:szCs w:val="19"/>
                <w:color w:val="auto"/>
              </w:rPr>
              <w:t>3.69</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2.61</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
              <w:spacing w:after="0"/>
              <w:rPr>
                <w:sz w:val="20"/>
                <w:szCs w:val="20"/>
                <w:color w:val="auto"/>
              </w:rPr>
            </w:pPr>
            <w:r>
              <w:rPr>
                <w:rFonts w:ascii="Arial" w:cs="Arial" w:eastAsia="Arial" w:hAnsi="Arial"/>
                <w:sz w:val="19"/>
                <w:szCs w:val="19"/>
                <w:color w:val="auto"/>
              </w:rPr>
              <w:t>2.59</w:t>
            </w:r>
          </w:p>
        </w:tc>
      </w:tr>
      <w:tr>
        <w:trPr>
          <w:trHeight w:val="20"/>
        </w:trPr>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Earnings per share of common stock—assuming dilution increased by $1.08 per share in 2012 compared with 2011 primarily due to lower pension expense (mainly due to a decrease in the pension mark-to-market adjustment), increased segment profit in our Aerospace, Automation and Control Solutions and Performance Materials and Technologies segments, lower repositioning and other charges, partially offset by increased tax expense, decreased income from discontinued operations and higher other postretirement expense.</w:t>
      </w:r>
    </w:p>
    <w:p>
      <w:pPr>
        <w:spacing w:after="0" w:line="91" w:lineRule="exact"/>
        <w:rPr>
          <w:sz w:val="20"/>
          <w:szCs w:val="20"/>
          <w:color w:val="auto"/>
        </w:rPr>
      </w:pPr>
    </w:p>
    <w:p>
      <w:pPr>
        <w:ind w:right="280" w:firstLine="357"/>
        <w:spacing w:after="0" w:line="242" w:lineRule="auto"/>
        <w:rPr>
          <w:sz w:val="20"/>
          <w:szCs w:val="20"/>
          <w:color w:val="auto"/>
        </w:rPr>
      </w:pPr>
      <w:r>
        <w:rPr>
          <w:rFonts w:ascii="Arial" w:cs="Arial" w:eastAsia="Arial" w:hAnsi="Arial"/>
          <w:sz w:val="19"/>
          <w:szCs w:val="19"/>
          <w:color w:val="auto"/>
        </w:rPr>
        <w:t>Earnings per share of common stock—assuming dilution increased by $0.02 per share in 2011 compared with 2010 primarily due to an increase in segment profit in each of our business segments, lower tax expense, the gain on disposal of discontinued operations, and lower other postretirement expense, partially offset by higher pension expense (primarily due to an increase in the pension mark-to-market adjustment) and higher repositioning and other charges.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further discussion of segment results, see “Review of Business Segments”.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OVERVIEW</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This Business Overview provides a summary of Honeywell and its four reportable operating segments (Aerospace, Automation and Control Solutions, Performance Materials and Technologies and Transportation Systems), including their respective areas of focus for 2013 and the relevant economic and other factors impacting their results, and a discussion of each segment’s results for the three years ended December 31, 2012. Each of these segments is comprised of various product and service classes that serve multiple end markets. See Note 24 Segment Financial Data of Notes to the Financial Statements for further information on our reportable segments and our definition of segment profit.</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right="480" w:firstLine="357"/>
        <w:spacing w:after="0" w:line="253" w:lineRule="auto"/>
        <w:rPr>
          <w:sz w:val="20"/>
          <w:szCs w:val="20"/>
          <w:color w:val="auto"/>
        </w:rPr>
      </w:pPr>
      <w:r>
        <w:rPr>
          <w:rFonts w:ascii="Arial" w:cs="Arial" w:eastAsia="Arial" w:hAnsi="Arial"/>
          <w:sz w:val="19"/>
          <w:szCs w:val="19"/>
          <w:color w:val="auto"/>
        </w:rPr>
        <w:t>In addition to the factors listed below with respect to each of our operating segments, our consolidated operating results are principally impacted by:</w:t>
      </w:r>
    </w:p>
    <w:p>
      <w:pPr>
        <w:spacing w:after="0" w:line="134" w:lineRule="exact"/>
        <w:rPr>
          <w:sz w:val="20"/>
          <w:szCs w:val="20"/>
          <w:color w:val="auto"/>
        </w:rPr>
      </w:pPr>
    </w:p>
    <w:p>
      <w:pPr>
        <w:ind w:left="540" w:hanging="15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Change in global economic growth rates and industry conditions on demand in our key end markets;</w:t>
      </w:r>
    </w:p>
    <w:p>
      <w:pPr>
        <w:spacing w:after="0" w:line="132" w:lineRule="exact"/>
        <w:rPr>
          <w:rFonts w:ascii="Arial" w:cs="Arial" w:eastAsia="Arial" w:hAnsi="Arial"/>
          <w:sz w:val="19"/>
          <w:szCs w:val="19"/>
          <w:color w:val="auto"/>
        </w:rPr>
      </w:pPr>
    </w:p>
    <w:p>
      <w:pPr>
        <w:ind w:left="540" w:right="180" w:hanging="158"/>
        <w:spacing w:after="0" w:line="253"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Overall sales mix, in particular the mix of Aerospace original equipment and aftermarket sales and the mix of Automation and Control Solutions (ACS) products, distribution and services sales;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ind w:left="540" w:right="100" w:hanging="15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extent to which cost savings from productivity actions are able to offset or exceed the impact of material and non-material inflation;</w:t>
      </w:r>
    </w:p>
    <w:p>
      <w:pPr>
        <w:spacing w:after="0" w:line="93" w:lineRule="exact"/>
        <w:rPr>
          <w:rFonts w:ascii="Arial" w:cs="Arial" w:eastAsia="Arial" w:hAnsi="Arial"/>
          <w:sz w:val="19"/>
          <w:szCs w:val="19"/>
          <w:color w:val="auto"/>
        </w:rPr>
      </w:pPr>
    </w:p>
    <w:p>
      <w:pPr>
        <w:ind w:left="540" w:right="340" w:hanging="15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of the pension discount rate and asset returns on pension expense, including mark-to-market adjustments, and funding requirements; and</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of fluctuations in foreign currency exchange rates (in particular the Euro), relative to the U.S. dollar.</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Areas of Focus for 2013</w:t>
      </w:r>
    </w:p>
    <w:p>
      <w:pPr>
        <w:spacing w:after="0" w:line="130" w:lineRule="exact"/>
        <w:rPr>
          <w:sz w:val="20"/>
          <w:szCs w:val="20"/>
          <w:color w:val="auto"/>
        </w:rPr>
      </w:pPr>
    </w:p>
    <w:p>
      <w:pPr>
        <w:ind w:right="320" w:firstLine="357"/>
        <w:spacing w:after="0" w:line="245" w:lineRule="auto"/>
        <w:rPr>
          <w:sz w:val="20"/>
          <w:szCs w:val="20"/>
          <w:color w:val="auto"/>
        </w:rPr>
      </w:pPr>
      <w:r>
        <w:rPr>
          <w:rFonts w:ascii="Arial" w:cs="Arial" w:eastAsia="Arial" w:hAnsi="Arial"/>
          <w:sz w:val="19"/>
          <w:szCs w:val="19"/>
          <w:color w:val="auto"/>
        </w:rPr>
        <w:t>The 2013 areas of focus will be supported by the enablers including the Honeywell Operating System, our Velocity Product Development process, and Functional Transformation/ Organizational Efficiency. These areas of focus are generally applicable to each of our operating segments, and include:</w:t>
      </w:r>
    </w:p>
    <w:p>
      <w:pPr>
        <w:spacing w:after="0" w:line="141" w:lineRule="exact"/>
        <w:rPr>
          <w:sz w:val="20"/>
          <w:szCs w:val="20"/>
          <w:color w:val="auto"/>
        </w:rPr>
      </w:pPr>
    </w:p>
    <w:p>
      <w:pPr>
        <w:ind w:left="540" w:right="20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Driving profitable growth through R&amp;D, technological excellence and optimized manufacturing capability to deliver innovative products that customers value;</w:t>
      </w:r>
    </w:p>
    <w:p>
      <w:pPr>
        <w:spacing w:after="0" w:line="93" w:lineRule="exact"/>
        <w:rPr>
          <w:rFonts w:ascii="Arial" w:cs="Arial" w:eastAsia="Arial" w:hAnsi="Arial"/>
          <w:sz w:val="19"/>
          <w:szCs w:val="19"/>
          <w:color w:val="auto"/>
        </w:rPr>
      </w:pPr>
    </w:p>
    <w:p>
      <w:pPr>
        <w:ind w:left="540" w:right="40" w:hanging="158"/>
        <w:spacing w:after="0" w:line="245"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Expanding margins by maintaining and improving the Company’s cost structure through manufacturing and administrative process improvements, restructuring, and other actions, which will drive productivity and enhance the flexibility of the business as it works to proactively respond to changes in end market demand;</w:t>
      </w:r>
    </w:p>
    <w:p>
      <w:pPr>
        <w:spacing w:after="0" w:line="100" w:lineRule="exact"/>
        <w:rPr>
          <w:rFonts w:ascii="Arial" w:cs="Arial" w:eastAsia="Arial" w:hAnsi="Arial"/>
          <w:sz w:val="19"/>
          <w:szCs w:val="19"/>
          <w:color w:val="auto"/>
        </w:rPr>
      </w:pPr>
    </w:p>
    <w:p>
      <w:pPr>
        <w:ind w:left="540" w:right="48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Proactively managing raw material costs through formula and long-term supply agreements and hedging activities, where feasible and prudent;</w:t>
      </w:r>
    </w:p>
    <w:p>
      <w:pPr>
        <w:spacing w:after="0" w:line="93" w:lineRule="exact"/>
        <w:rPr>
          <w:rFonts w:ascii="Arial" w:cs="Arial" w:eastAsia="Arial" w:hAnsi="Arial"/>
          <w:sz w:val="19"/>
          <w:szCs w:val="19"/>
          <w:color w:val="auto"/>
        </w:rPr>
      </w:pPr>
    </w:p>
    <w:p>
      <w:pPr>
        <w:ind w:left="540" w:right="100" w:hanging="158"/>
        <w:spacing w:after="0" w:line="245"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Driving strong cash flow conversion through effective working capital management which will enable the Company to undertake strategic actions to benefit the business including capital expenditures, strategic acquisitions, and returning cash to shareholders;</w:t>
      </w:r>
    </w:p>
    <w:p>
      <w:pPr>
        <w:spacing w:after="0" w:line="100" w:lineRule="exact"/>
        <w:rPr>
          <w:rFonts w:ascii="Arial" w:cs="Arial" w:eastAsia="Arial" w:hAnsi="Arial"/>
          <w:sz w:val="19"/>
          <w:szCs w:val="19"/>
          <w:color w:val="auto"/>
        </w:rPr>
      </w:pPr>
    </w:p>
    <w:p>
      <w:pPr>
        <w:ind w:left="540" w:right="18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Increasing our sales penetration and expanding our localized footprint in high growth regions, including China, India, Eastern Europe, the Middle East and Latin America;</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Aligning and prioritizing investments for long-term growth, while considering short-term demand volatility;</w:t>
      </w:r>
    </w:p>
    <w:p>
      <w:pPr>
        <w:spacing w:after="0" w:line="132" w:lineRule="exact"/>
        <w:rPr>
          <w:rFonts w:ascii="Arial" w:cs="Arial" w:eastAsia="Arial" w:hAnsi="Arial"/>
          <w:sz w:val="19"/>
          <w:szCs w:val="19"/>
          <w:color w:val="auto"/>
        </w:rPr>
      </w:pPr>
    </w:p>
    <w:p>
      <w:pPr>
        <w:ind w:left="540" w:right="34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Monitoring both suppliers and customers for signs of liquidity constraints, limiting exposure to any resulting inability to meet delivery commitments or pay amounts due, and identifying alternate sources of supply as necessary; and</w:t>
      </w:r>
    </w:p>
    <w:p>
      <w:pPr>
        <w:spacing w:after="0" w:line="93" w:lineRule="exact"/>
        <w:rPr>
          <w:rFonts w:ascii="Arial" w:cs="Arial" w:eastAsia="Arial" w:hAnsi="Arial"/>
          <w:sz w:val="19"/>
          <w:szCs w:val="19"/>
          <w:color w:val="auto"/>
        </w:rPr>
      </w:pPr>
    </w:p>
    <w:p>
      <w:pPr>
        <w:ind w:left="540" w:hanging="15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Controlling Corporate and other non-operating costs, including costs incurred for asbestos and environmental matters, pension and other post-retirement expenses and tax expense.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6" w:right="25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Review of Business Segments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2010</w:t>
            </w:r>
          </w:p>
        </w:tc>
      </w:tr>
      <w:tr>
        <w:trPr>
          <w:trHeight w:val="237"/>
        </w:trPr>
        <w:tc>
          <w:tcPr>
            <w:tcW w:w="6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r>
      <w:tr>
        <w:trPr>
          <w:trHeight w:val="243"/>
        </w:trPr>
        <w:tc>
          <w:tcPr>
            <w:tcW w:w="6780" w:type="dxa"/>
            <w:vAlign w:val="bottom"/>
          </w:tcPr>
          <w:p>
            <w:pPr>
              <w:ind w:left="200"/>
              <w:spacing w:after="0"/>
              <w:rPr>
                <w:sz w:val="20"/>
                <w:szCs w:val="20"/>
                <w:color w:val="auto"/>
              </w:rPr>
            </w:pPr>
            <w:r>
              <w:rPr>
                <w:rFonts w:ascii="Arial" w:cs="Arial" w:eastAsia="Arial" w:hAnsi="Arial"/>
                <w:sz w:val="19"/>
                <w:szCs w:val="19"/>
                <w:color w:val="auto"/>
              </w:rPr>
              <w:t>Aerospace</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7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6,999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6,494</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5,868</w:t>
            </w:r>
          </w:p>
        </w:tc>
      </w:tr>
      <w:tr>
        <w:trPr>
          <w:trHeight w:val="270"/>
        </w:trPr>
        <w:tc>
          <w:tcPr>
            <w:tcW w:w="6780" w:type="dxa"/>
            <w:vAlign w:val="bottom"/>
          </w:tcPr>
          <w:p>
            <w:pPr>
              <w:ind w:left="380"/>
              <w:spacing w:after="0"/>
              <w:rPr>
                <w:sz w:val="20"/>
                <w:szCs w:val="20"/>
                <w:color w:val="auto"/>
              </w:rPr>
            </w:pPr>
            <w:r>
              <w:rPr>
                <w:rFonts w:ascii="Arial" w:cs="Arial" w:eastAsia="Arial" w:hAnsi="Arial"/>
                <w:sz w:val="19"/>
                <w:szCs w:val="19"/>
                <w:color w:val="auto"/>
              </w:rPr>
              <w:t>Service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5,041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4,981</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4,815</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12,040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11,475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10,683</w:t>
            </w:r>
          </w:p>
        </w:tc>
      </w:tr>
      <w:tr>
        <w:trPr>
          <w:trHeight w:val="243"/>
        </w:trPr>
        <w:tc>
          <w:tcPr>
            <w:tcW w:w="6780" w:type="dxa"/>
            <w:vAlign w:val="bottom"/>
          </w:tcPr>
          <w:p>
            <w:pPr>
              <w:ind w:left="200"/>
              <w:spacing w:after="0"/>
              <w:rPr>
                <w:sz w:val="20"/>
                <w:szCs w:val="20"/>
                <w:color w:val="auto"/>
              </w:rPr>
            </w:pPr>
            <w:r>
              <w:rPr>
                <w:rFonts w:ascii="Arial" w:cs="Arial" w:eastAsia="Arial" w:hAnsi="Arial"/>
                <w:sz w:val="19"/>
                <w:szCs w:val="19"/>
                <w:color w:val="auto"/>
              </w:rPr>
              <w:t>Automation and Control Solutions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7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13,610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13,328</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11,733</w:t>
            </w:r>
          </w:p>
        </w:tc>
      </w:tr>
      <w:tr>
        <w:trPr>
          <w:trHeight w:val="270"/>
        </w:trPr>
        <w:tc>
          <w:tcPr>
            <w:tcW w:w="6780" w:type="dxa"/>
            <w:vAlign w:val="bottom"/>
          </w:tcPr>
          <w:p>
            <w:pPr>
              <w:ind w:left="380"/>
              <w:spacing w:after="0"/>
              <w:rPr>
                <w:sz w:val="20"/>
                <w:szCs w:val="20"/>
                <w:color w:val="auto"/>
              </w:rPr>
            </w:pPr>
            <w:r>
              <w:rPr>
                <w:rFonts w:ascii="Arial" w:cs="Arial" w:eastAsia="Arial" w:hAnsi="Arial"/>
                <w:sz w:val="19"/>
                <w:szCs w:val="19"/>
                <w:color w:val="auto"/>
              </w:rPr>
              <w:t>Service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2,270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2,207</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2,016</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15,880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15,535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13,749</w:t>
            </w:r>
          </w:p>
        </w:tc>
      </w:tr>
      <w:tr>
        <w:trPr>
          <w:trHeight w:val="243"/>
        </w:trPr>
        <w:tc>
          <w:tcPr>
            <w:tcW w:w="6780" w:type="dxa"/>
            <w:vAlign w:val="bottom"/>
          </w:tcPr>
          <w:p>
            <w:pPr>
              <w:ind w:left="200"/>
              <w:spacing w:after="0"/>
              <w:rPr>
                <w:sz w:val="20"/>
                <w:szCs w:val="20"/>
                <w:color w:val="auto"/>
              </w:rPr>
            </w:pPr>
            <w:r>
              <w:rPr>
                <w:rFonts w:ascii="Arial" w:cs="Arial" w:eastAsia="Arial" w:hAnsi="Arial"/>
                <w:sz w:val="19"/>
                <w:szCs w:val="19"/>
                <w:color w:val="auto"/>
              </w:rPr>
              <w:t>Performance Materials and Technologies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7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5,642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5,064</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4,449</w:t>
            </w:r>
          </w:p>
        </w:tc>
      </w:tr>
      <w:tr>
        <w:trPr>
          <w:trHeight w:val="270"/>
        </w:trPr>
        <w:tc>
          <w:tcPr>
            <w:tcW w:w="6780" w:type="dxa"/>
            <w:vAlign w:val="bottom"/>
          </w:tcPr>
          <w:p>
            <w:pPr>
              <w:ind w:left="380"/>
              <w:spacing w:after="0"/>
              <w:rPr>
                <w:sz w:val="20"/>
                <w:szCs w:val="20"/>
                <w:color w:val="auto"/>
              </w:rPr>
            </w:pPr>
            <w:r>
              <w:rPr>
                <w:rFonts w:ascii="Arial" w:cs="Arial" w:eastAsia="Arial" w:hAnsi="Arial"/>
                <w:sz w:val="19"/>
                <w:szCs w:val="19"/>
                <w:color w:val="auto"/>
              </w:rPr>
              <w:t>Service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542</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595</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277</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6,184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5,659</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4,726</w:t>
            </w:r>
          </w:p>
        </w:tc>
      </w:tr>
      <w:tr>
        <w:trPr>
          <w:trHeight w:val="243"/>
        </w:trPr>
        <w:tc>
          <w:tcPr>
            <w:tcW w:w="6780" w:type="dxa"/>
            <w:vAlign w:val="bottom"/>
          </w:tcPr>
          <w:p>
            <w:pPr>
              <w:ind w:left="200"/>
              <w:spacing w:after="0"/>
              <w:rPr>
                <w:sz w:val="20"/>
                <w:szCs w:val="20"/>
                <w:color w:val="auto"/>
              </w:rPr>
            </w:pPr>
            <w:r>
              <w:rPr>
                <w:rFonts w:ascii="Arial" w:cs="Arial" w:eastAsia="Arial" w:hAnsi="Arial"/>
                <w:sz w:val="19"/>
                <w:szCs w:val="19"/>
                <w:color w:val="auto"/>
              </w:rPr>
              <w:t>Transportation Systems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7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3,561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3,859</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3,192</w:t>
            </w:r>
          </w:p>
        </w:tc>
      </w:tr>
      <w:tr>
        <w:trPr>
          <w:trHeight w:val="270"/>
        </w:trPr>
        <w:tc>
          <w:tcPr>
            <w:tcW w:w="6780" w:type="dxa"/>
            <w:vAlign w:val="bottom"/>
          </w:tcPr>
          <w:p>
            <w:pPr>
              <w:ind w:left="380"/>
              <w:spacing w:after="0"/>
              <w:rPr>
                <w:sz w:val="20"/>
                <w:szCs w:val="20"/>
                <w:color w:val="auto"/>
              </w:rPr>
            </w:pPr>
            <w:r>
              <w:rPr>
                <w:rFonts w:ascii="Arial" w:cs="Arial" w:eastAsia="Arial" w:hAnsi="Arial"/>
                <w:sz w:val="19"/>
                <w:szCs w:val="19"/>
                <w:color w:val="auto"/>
              </w:rPr>
              <w:t>Service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3,561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3,859</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3,192</w:t>
            </w:r>
          </w:p>
        </w:tc>
      </w:tr>
      <w:tr>
        <w:trPr>
          <w:trHeight w:val="243"/>
        </w:trPr>
        <w:tc>
          <w:tcPr>
            <w:tcW w:w="6780" w:type="dxa"/>
            <w:vAlign w:val="bottom"/>
          </w:tcPr>
          <w:p>
            <w:pPr>
              <w:ind w:left="200"/>
              <w:spacing w:after="0"/>
              <w:rPr>
                <w:sz w:val="20"/>
                <w:szCs w:val="20"/>
                <w:color w:val="auto"/>
              </w:rPr>
            </w:pPr>
            <w:r>
              <w:rPr>
                <w:rFonts w:ascii="Arial" w:cs="Arial" w:eastAsia="Arial" w:hAnsi="Arial"/>
                <w:sz w:val="19"/>
                <w:szCs w:val="19"/>
                <w:color w:val="auto"/>
              </w:rPr>
              <w:t>Corporate</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7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6780" w:type="dxa"/>
            <w:vAlign w:val="bottom"/>
          </w:tcPr>
          <w:p>
            <w:pPr>
              <w:ind w:left="380"/>
              <w:spacing w:after="0"/>
              <w:rPr>
                <w:sz w:val="20"/>
                <w:szCs w:val="20"/>
                <w:color w:val="auto"/>
              </w:rPr>
            </w:pPr>
            <w:r>
              <w:rPr>
                <w:rFonts w:ascii="Arial" w:cs="Arial" w:eastAsia="Arial" w:hAnsi="Arial"/>
                <w:sz w:val="19"/>
                <w:szCs w:val="19"/>
                <w:color w:val="auto"/>
              </w:rPr>
              <w:t>Service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304"/>
        </w:trPr>
        <w:tc>
          <w:tcPr>
            <w:tcW w:w="67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37,665</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36,529</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32,350</w:t>
            </w:r>
          </w:p>
        </w:tc>
      </w:tr>
      <w:tr>
        <w:trPr>
          <w:trHeight w:val="20"/>
        </w:trPr>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3"/>
        </w:trPr>
        <w:tc>
          <w:tcPr>
            <w:tcW w:w="6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2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r>
      <w:tr>
        <w:trPr>
          <w:trHeight w:val="270"/>
        </w:trPr>
        <w:tc>
          <w:tcPr>
            <w:tcW w:w="6780" w:type="dxa"/>
            <w:vAlign w:val="bottom"/>
          </w:tcPr>
          <w:p>
            <w:pPr>
              <w:ind w:left="200"/>
              <w:spacing w:after="0"/>
              <w:rPr>
                <w:sz w:val="20"/>
                <w:szCs w:val="20"/>
                <w:color w:val="auto"/>
              </w:rPr>
            </w:pPr>
            <w:r>
              <w:rPr>
                <w:rFonts w:ascii="Arial" w:cs="Arial" w:eastAsia="Arial" w:hAnsi="Arial"/>
                <w:sz w:val="19"/>
                <w:szCs w:val="19"/>
                <w:color w:val="auto"/>
              </w:rPr>
              <w:t>Aerospace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2,279</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2,023</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1,835</w:t>
            </w:r>
          </w:p>
        </w:tc>
      </w:tr>
      <w:tr>
        <w:trPr>
          <w:trHeight w:val="270"/>
        </w:trPr>
        <w:tc>
          <w:tcPr>
            <w:tcW w:w="67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Automation and Control Solutions</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2,232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2,083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1,770</w:t>
            </w:r>
          </w:p>
        </w:tc>
      </w:tr>
      <w:tr>
        <w:trPr>
          <w:trHeight w:val="270"/>
        </w:trPr>
        <w:tc>
          <w:tcPr>
            <w:tcW w:w="6780" w:type="dxa"/>
            <w:vAlign w:val="bottom"/>
          </w:tcPr>
          <w:p>
            <w:pPr>
              <w:ind w:left="200"/>
              <w:spacing w:after="0"/>
              <w:rPr>
                <w:sz w:val="20"/>
                <w:szCs w:val="20"/>
                <w:color w:val="auto"/>
              </w:rPr>
            </w:pPr>
            <w:r>
              <w:rPr>
                <w:rFonts w:ascii="Arial" w:cs="Arial" w:eastAsia="Arial" w:hAnsi="Arial"/>
                <w:sz w:val="19"/>
                <w:szCs w:val="19"/>
                <w:color w:val="auto"/>
              </w:rPr>
              <w:t>Performance Materials and Technologies</w:t>
            </w:r>
          </w:p>
        </w:tc>
        <w:tc>
          <w:tcPr>
            <w:tcW w:w="22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1,154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1,042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64"/>
              <w:spacing w:after="0"/>
              <w:rPr>
                <w:sz w:val="20"/>
                <w:szCs w:val="20"/>
                <w:color w:val="auto"/>
              </w:rPr>
            </w:pPr>
            <w:r>
              <w:rPr>
                <w:rFonts w:ascii="Arial" w:cs="Arial" w:eastAsia="Arial" w:hAnsi="Arial"/>
                <w:sz w:val="19"/>
                <w:szCs w:val="19"/>
                <w:color w:val="auto"/>
              </w:rPr>
              <w:t>749</w:t>
            </w:r>
          </w:p>
        </w:tc>
      </w:tr>
      <w:tr>
        <w:trPr>
          <w:trHeight w:val="270"/>
        </w:trPr>
        <w:tc>
          <w:tcPr>
            <w:tcW w:w="67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Transportation Systems</w:t>
            </w: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432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485</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353</w:t>
            </w:r>
          </w:p>
        </w:tc>
      </w:tr>
      <w:tr>
        <w:trPr>
          <w:trHeight w:val="270"/>
        </w:trPr>
        <w:tc>
          <w:tcPr>
            <w:tcW w:w="6780" w:type="dxa"/>
            <w:vAlign w:val="bottom"/>
          </w:tcPr>
          <w:p>
            <w:pPr>
              <w:ind w:left="200"/>
              <w:spacing w:after="0"/>
              <w:rPr>
                <w:sz w:val="20"/>
                <w:szCs w:val="20"/>
                <w:color w:val="auto"/>
              </w:rPr>
            </w:pPr>
            <w:r>
              <w:rPr>
                <w:rFonts w:ascii="Arial" w:cs="Arial" w:eastAsia="Arial" w:hAnsi="Arial"/>
                <w:sz w:val="19"/>
                <w:szCs w:val="19"/>
                <w:color w:val="auto"/>
              </w:rPr>
              <w:t>Corporate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(218 )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(222 )</w:t>
            </w:r>
          </w:p>
        </w:tc>
      </w:tr>
      <w:tr>
        <w:trPr>
          <w:trHeight w:val="34"/>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8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5,879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5,357</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4,485</w:t>
            </w:r>
          </w:p>
        </w:tc>
      </w:tr>
      <w:tr>
        <w:trPr>
          <w:trHeight w:val="20"/>
        </w:trPr>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320" w:type="dxa"/>
            <w:vAlign w:val="bottom"/>
            <w:tcBorders>
              <w:bottom w:val="single" w:sz="8" w:color="auto"/>
            </w:tcBorders>
            <w:gridSpan w:val="7"/>
          </w:tcPr>
          <w:p>
            <w:pPr>
              <w:jc w:val="right"/>
              <w:ind w:right="545"/>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2010</w:t>
            </w:r>
          </w:p>
        </w:tc>
      </w:tr>
      <w:tr>
        <w:trPr>
          <w:trHeight w:val="264"/>
        </w:trPr>
        <w:tc>
          <w:tcPr>
            <w:tcW w:w="500" w:type="dxa"/>
            <w:vAlign w:val="bottom"/>
          </w:tcPr>
          <w:p>
            <w:pPr>
              <w:spacing w:after="0"/>
              <w:rPr>
                <w:sz w:val="22"/>
                <w:szCs w:val="22"/>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$ 5,879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5,357</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4,485</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Other income/ (expense)(1)</w:t>
            </w:r>
          </w:p>
        </w:tc>
        <w:tc>
          <w:tcPr>
            <w:tcW w:w="860" w:type="dxa"/>
            <w:vAlign w:val="bottom"/>
          </w:tcPr>
          <w:p>
            <w:pPr>
              <w:jc w:val="right"/>
              <w:ind w:right="46"/>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65"/>
              <w:spacing w:after="0"/>
              <w:rPr>
                <w:sz w:val="20"/>
                <w:szCs w:val="20"/>
                <w:color w:val="auto"/>
              </w:rPr>
            </w:pPr>
            <w:r>
              <w:rPr>
                <w:rFonts w:ascii="Arial" w:cs="Arial" w:eastAsia="Arial" w:hAnsi="Arial"/>
                <w:sz w:val="19"/>
                <w:szCs w:val="19"/>
                <w:color w:val="auto"/>
              </w:rPr>
              <w:t>33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65"/>
              <w:spacing w:after="0"/>
              <w:rPr>
                <w:sz w:val="20"/>
                <w:szCs w:val="20"/>
                <w:color w:val="auto"/>
              </w:rPr>
            </w:pPr>
            <w:r>
              <w:rPr>
                <w:rFonts w:ascii="Arial" w:cs="Arial" w:eastAsia="Arial" w:hAnsi="Arial"/>
                <w:sz w:val="19"/>
                <w:szCs w:val="19"/>
                <w:color w:val="auto"/>
              </w:rPr>
              <w:t>69</w:t>
            </w: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(351 )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(376 )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(386 )</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Stock compensation expense(2)</w:t>
            </w:r>
          </w:p>
        </w:tc>
        <w:tc>
          <w:tcPr>
            <w:tcW w:w="860" w:type="dxa"/>
            <w:vAlign w:val="bottom"/>
          </w:tcPr>
          <w:p>
            <w:pPr>
              <w:jc w:val="right"/>
              <w:spacing w:after="0"/>
              <w:rPr>
                <w:sz w:val="20"/>
                <w:szCs w:val="20"/>
                <w:color w:val="auto"/>
              </w:rPr>
            </w:pPr>
            <w:r>
              <w:rPr>
                <w:rFonts w:ascii="Arial" w:cs="Arial" w:eastAsia="Arial" w:hAnsi="Arial"/>
                <w:sz w:val="19"/>
                <w:szCs w:val="19"/>
                <w:color w:val="auto"/>
              </w:rPr>
              <w:t>(170 )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(168 )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(163 )</w:t>
            </w: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ongoing expense(2)</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(185 )</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Pension mark-to-market expense(2)</w:t>
            </w:r>
          </w:p>
        </w:tc>
        <w:tc>
          <w:tcPr>
            <w:tcW w:w="860" w:type="dxa"/>
            <w:vAlign w:val="bottom"/>
          </w:tcPr>
          <w:p>
            <w:pPr>
              <w:jc w:val="right"/>
              <w:spacing w:after="0"/>
              <w:rPr>
                <w:sz w:val="20"/>
                <w:szCs w:val="20"/>
                <w:color w:val="auto"/>
              </w:rPr>
            </w:pPr>
            <w:r>
              <w:rPr>
                <w:rFonts w:ascii="Arial" w:cs="Arial" w:eastAsia="Arial" w:hAnsi="Arial"/>
                <w:sz w:val="19"/>
                <w:szCs w:val="19"/>
                <w:color w:val="auto"/>
              </w:rPr>
              <w:t>(957 )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(1,802 )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(471 )</w:t>
            </w: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postretirement income/(expense)(2)</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86</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(29 )</w:t>
            </w:r>
          </w:p>
        </w:tc>
      </w:tr>
      <w:tr>
        <w:trPr>
          <w:trHeight w:val="270"/>
        </w:trPr>
        <w:tc>
          <w:tcPr>
            <w:tcW w:w="500" w:type="dxa"/>
            <w:vAlign w:val="bottom"/>
          </w:tcPr>
          <w:p>
            <w:pPr>
              <w:spacing w:after="0"/>
              <w:rPr>
                <w:sz w:val="23"/>
                <w:szCs w:val="23"/>
                <w:color w:val="auto"/>
              </w:rPr>
            </w:pPr>
          </w:p>
        </w:tc>
        <w:tc>
          <w:tcPr>
            <w:tcW w:w="7080" w:type="dxa"/>
            <w:vAlign w:val="bottom"/>
            <w:gridSpan w:val="2"/>
          </w:tcPr>
          <w:p>
            <w:pPr>
              <w:ind w:left="20"/>
              <w:spacing w:after="0"/>
              <w:rPr>
                <w:sz w:val="20"/>
                <w:szCs w:val="20"/>
                <w:color w:val="auto"/>
              </w:rPr>
            </w:pPr>
            <w:r>
              <w:rPr>
                <w:rFonts w:ascii="Arial" w:cs="Arial" w:eastAsia="Arial" w:hAnsi="Arial"/>
                <w:sz w:val="19"/>
                <w:szCs w:val="19"/>
                <w:color w:val="auto"/>
              </w:rPr>
              <w:t>Repositioning and other charges(2)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(443 )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(743 )</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(598 )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7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$ 3,875</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2,282</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2,722</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hanging="332"/>
        <w:spacing w:after="0"/>
        <w:tabs>
          <w:tab w:leader="none" w:pos="400" w:val="left"/>
        </w:tabs>
        <w:numPr>
          <w:ilvl w:val="0"/>
          <w:numId w:val="8"/>
        </w:numPr>
        <w:rPr>
          <w:rFonts w:ascii="Arial" w:cs="Arial" w:eastAsia="Arial" w:hAnsi="Arial"/>
          <w:sz w:val="19"/>
          <w:szCs w:val="19"/>
          <w:color w:val="auto"/>
        </w:rPr>
      </w:pPr>
      <w:r>
        <w:rPr>
          <w:rFonts w:ascii="Arial" w:cs="Arial" w:eastAsia="Arial" w:hAnsi="Arial"/>
          <w:sz w:val="19"/>
          <w:szCs w:val="19"/>
          <w:color w:val="auto"/>
        </w:rPr>
        <w:t>Equity income/(loss) of affiliated companies is included in Segment Profit.</w:t>
      </w:r>
    </w:p>
    <w:p>
      <w:pPr>
        <w:spacing w:after="0" w:line="119" w:lineRule="exact"/>
        <w:rPr>
          <w:rFonts w:ascii="Arial" w:cs="Arial" w:eastAsia="Arial" w:hAnsi="Arial"/>
          <w:sz w:val="19"/>
          <w:szCs w:val="19"/>
          <w:color w:val="auto"/>
        </w:rPr>
      </w:pPr>
    </w:p>
    <w:p>
      <w:pPr>
        <w:ind w:left="5600" w:right="1480" w:hanging="5532"/>
        <w:spacing w:after="0" w:line="372" w:lineRule="auto"/>
        <w:tabs>
          <w:tab w:leader="none" w:pos="393" w:val="left"/>
        </w:tabs>
        <w:numPr>
          <w:ilvl w:val="0"/>
          <w:numId w:val="8"/>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16" w:right="759" w:bottom="1440" w:gutter="0" w:footer="0" w:header="0"/>
        </w:sectPr>
      </w:pPr>
    </w:p>
    <w:bookmarkStart w:id="35" w:name="page36"/>
    <w:bookmarkEnd w:id="35"/>
    <w:tbl>
      <w:tblPr>
        <w:tblLayout w:type="fixed"/>
        <w:tblInd w:w="500" w:type="dxa"/>
        <w:tblCellMar>
          <w:top w:w="0" w:type="dxa"/>
          <w:left w:w="0" w:type="dxa"/>
          <w:bottom w:w="0" w:type="dxa"/>
          <w:right w:w="0" w:type="dxa"/>
        </w:tblCellMar>
      </w:tblPr>
      <w:tr>
        <w:trPr>
          <w:trHeight w:val="204"/>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6"/>
                <w:szCs w:val="16"/>
                <w:b w:val="1"/>
                <w:bCs w:val="1"/>
                <w:color w:val="auto"/>
              </w:rPr>
              <w:t>% Change</w:t>
            </w:r>
          </w:p>
        </w:tc>
      </w:tr>
      <w:tr>
        <w:trPr>
          <w:trHeight w:val="168"/>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01"/>
              <w:spacing w:after="0" w:line="168" w:lineRule="exact"/>
              <w:rPr>
                <w:sz w:val="20"/>
                <w:szCs w:val="20"/>
                <w:color w:val="auto"/>
              </w:rPr>
            </w:pPr>
            <w:r>
              <w:rPr>
                <w:rFonts w:ascii="Arial" w:cs="Arial" w:eastAsia="Arial" w:hAnsi="Arial"/>
                <w:sz w:val="16"/>
                <w:szCs w:val="16"/>
                <w:b w:val="1"/>
                <w:bCs w:val="1"/>
                <w:color w:val="auto"/>
              </w:rPr>
              <w:t>2012</w:t>
            </w:r>
          </w:p>
        </w:tc>
        <w:tc>
          <w:tcPr>
            <w:tcW w:w="1020" w:type="dxa"/>
            <w:vAlign w:val="bottom"/>
            <w:gridSpan w:val="2"/>
          </w:tcPr>
          <w:p>
            <w:pPr>
              <w:jc w:val="right"/>
              <w:ind w:right="101"/>
              <w:spacing w:after="0" w:line="168" w:lineRule="exact"/>
              <w:rPr>
                <w:sz w:val="20"/>
                <w:szCs w:val="20"/>
                <w:color w:val="auto"/>
              </w:rPr>
            </w:pPr>
            <w:r>
              <w:rPr>
                <w:rFonts w:ascii="Arial" w:cs="Arial" w:eastAsia="Arial" w:hAnsi="Arial"/>
                <w:sz w:val="16"/>
                <w:szCs w:val="16"/>
                <w:b w:val="1"/>
                <w:bCs w:val="1"/>
                <w:color w:val="auto"/>
              </w:rPr>
              <w:t>2011</w:t>
            </w:r>
          </w:p>
        </w:tc>
      </w:tr>
      <w:tr>
        <w:trPr>
          <w:trHeight w:val="176"/>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1"/>
              <w:spacing w:after="0" w:line="176" w:lineRule="exact"/>
              <w:rPr>
                <w:sz w:val="20"/>
                <w:szCs w:val="20"/>
                <w:color w:val="auto"/>
              </w:rPr>
            </w:pPr>
            <w:r>
              <w:rPr>
                <w:rFonts w:ascii="Arial" w:cs="Arial" w:eastAsia="Arial" w:hAnsi="Arial"/>
                <w:sz w:val="16"/>
                <w:szCs w:val="16"/>
                <w:b w:val="1"/>
                <w:bCs w:val="1"/>
                <w:color w:val="auto"/>
              </w:rPr>
              <w:t>Versus</w:t>
            </w:r>
          </w:p>
        </w:tc>
        <w:tc>
          <w:tcPr>
            <w:tcW w:w="300" w:type="dxa"/>
            <w:vAlign w:val="bottom"/>
          </w:tcPr>
          <w:p>
            <w:pPr>
              <w:spacing w:after="0"/>
              <w:rPr>
                <w:sz w:val="15"/>
                <w:szCs w:val="15"/>
                <w:color w:val="auto"/>
              </w:rPr>
            </w:pPr>
          </w:p>
        </w:tc>
        <w:tc>
          <w:tcPr>
            <w:tcW w:w="720" w:type="dxa"/>
            <w:vAlign w:val="bottom"/>
          </w:tcPr>
          <w:p>
            <w:pPr>
              <w:jc w:val="right"/>
              <w:ind w:right="21"/>
              <w:spacing w:after="0" w:line="176" w:lineRule="exact"/>
              <w:rPr>
                <w:sz w:val="20"/>
                <w:szCs w:val="20"/>
                <w:color w:val="auto"/>
              </w:rPr>
            </w:pPr>
            <w:r>
              <w:rPr>
                <w:rFonts w:ascii="Arial" w:cs="Arial" w:eastAsia="Arial" w:hAnsi="Arial"/>
                <w:sz w:val="16"/>
                <w:szCs w:val="16"/>
                <w:b w:val="1"/>
                <w:bCs w:val="1"/>
                <w:color w:val="auto"/>
              </w:rPr>
              <w:t>Versus</w:t>
            </w:r>
          </w:p>
        </w:tc>
      </w:tr>
      <w:tr>
        <w:trPr>
          <w:trHeight w:val="204"/>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04"/>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04"/>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04"/>
              <w:spacing w:after="0"/>
              <w:rPr>
                <w:sz w:val="20"/>
                <w:szCs w:val="20"/>
                <w:color w:val="auto"/>
              </w:rPr>
            </w:pPr>
            <w:r>
              <w:rPr>
                <w:rFonts w:ascii="Arial" w:cs="Arial" w:eastAsia="Arial" w:hAnsi="Arial"/>
                <w:sz w:val="16"/>
                <w:szCs w:val="16"/>
                <w:b w:val="1"/>
                <w:bCs w:val="1"/>
                <w:color w:val="auto"/>
              </w:rPr>
              <w:t>2010</w:t>
            </w:r>
          </w:p>
        </w:tc>
        <w:tc>
          <w:tcPr>
            <w:tcW w:w="98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rPr>
              <w:t>2011</w:t>
            </w:r>
          </w:p>
        </w:tc>
        <w:tc>
          <w:tcPr>
            <w:tcW w:w="102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rPr>
              <w:t>2010</w:t>
            </w:r>
          </w:p>
        </w:tc>
      </w:tr>
      <w:tr>
        <w:trPr>
          <w:trHeight w:val="237"/>
        </w:trPr>
        <w:tc>
          <w:tcPr>
            <w:tcW w:w="49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Aerospace Sales</w:t>
            </w:r>
          </w:p>
        </w:tc>
        <w:tc>
          <w:tcPr>
            <w:tcW w:w="20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70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spacing w:after="0"/>
              <w:rPr>
                <w:sz w:val="20"/>
                <w:szCs w:val="20"/>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9"/>
                <w:szCs w:val="19"/>
                <w:color w:val="auto"/>
              </w:rPr>
              <w:t>Commercial:</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9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Original Equipment</w:t>
            </w: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70"/>
        </w:trPr>
        <w:tc>
          <w:tcPr>
            <w:tcW w:w="4980" w:type="dxa"/>
            <w:vAlign w:val="bottom"/>
          </w:tcPr>
          <w:p>
            <w:pPr>
              <w:ind w:left="740"/>
              <w:spacing w:after="0"/>
              <w:rPr>
                <w:sz w:val="20"/>
                <w:szCs w:val="20"/>
                <w:color w:val="auto"/>
              </w:rPr>
            </w:pPr>
            <w:r>
              <w:rPr>
                <w:rFonts w:ascii="Arial" w:cs="Arial" w:eastAsia="Arial" w:hAnsi="Arial"/>
                <w:sz w:val="19"/>
                <w:szCs w:val="19"/>
                <w:color w:val="auto"/>
              </w:rPr>
              <w:t>Air transport and regional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1,601</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1,439</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1,362</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11 %</w:t>
            </w:r>
          </w:p>
        </w:tc>
        <w:tc>
          <w:tcPr>
            <w:tcW w:w="1020" w:type="dxa"/>
            <w:vAlign w:val="bottom"/>
            <w:gridSpan w:val="2"/>
          </w:tcPr>
          <w:p>
            <w:pPr>
              <w:jc w:val="right"/>
              <w:ind w:right="61"/>
              <w:spacing w:after="0"/>
              <w:rPr>
                <w:sz w:val="20"/>
                <w:szCs w:val="20"/>
                <w:color w:val="auto"/>
              </w:rPr>
            </w:pPr>
            <w:r>
              <w:rPr>
                <w:rFonts w:ascii="Arial" w:cs="Arial" w:eastAsia="Arial" w:hAnsi="Arial"/>
                <w:sz w:val="19"/>
                <w:szCs w:val="19"/>
                <w:color w:val="auto"/>
              </w:rPr>
              <w:t>6 %</w:t>
            </w:r>
          </w:p>
        </w:tc>
      </w:tr>
      <w:tr>
        <w:trPr>
          <w:trHeight w:val="270"/>
        </w:trPr>
        <w:tc>
          <w:tcPr>
            <w:tcW w:w="49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Business and general aviation</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967</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723</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513</w:t>
            </w:r>
          </w:p>
        </w:tc>
        <w:tc>
          <w:tcPr>
            <w:tcW w:w="98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34 %</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41 %</w:t>
            </w:r>
          </w:p>
        </w:tc>
      </w:tr>
      <w:tr>
        <w:trPr>
          <w:trHeight w:val="243"/>
        </w:trPr>
        <w:tc>
          <w:tcPr>
            <w:tcW w:w="4980" w:type="dxa"/>
            <w:vAlign w:val="bottom"/>
          </w:tcPr>
          <w:p>
            <w:pPr>
              <w:ind w:left="380"/>
              <w:spacing w:after="0"/>
              <w:rPr>
                <w:sz w:val="20"/>
                <w:szCs w:val="20"/>
                <w:color w:val="auto"/>
              </w:rPr>
            </w:pPr>
            <w:r>
              <w:rPr>
                <w:rFonts w:ascii="Arial" w:cs="Arial" w:eastAsia="Arial" w:hAnsi="Arial"/>
                <w:sz w:val="19"/>
                <w:szCs w:val="19"/>
                <w:color w:val="auto"/>
              </w:rPr>
              <w:t>Aftermarket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9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Air transport and regional</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2,947</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2,828</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2,437</w:t>
            </w:r>
          </w:p>
        </w:tc>
        <w:tc>
          <w:tcPr>
            <w:tcW w:w="98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4 %</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16 %</w:t>
            </w:r>
          </w:p>
        </w:tc>
      </w:tr>
      <w:tr>
        <w:trPr>
          <w:trHeight w:val="270"/>
        </w:trPr>
        <w:tc>
          <w:tcPr>
            <w:tcW w:w="4980" w:type="dxa"/>
            <w:vAlign w:val="bottom"/>
          </w:tcPr>
          <w:p>
            <w:pPr>
              <w:ind w:left="740"/>
              <w:spacing w:after="0"/>
              <w:rPr>
                <w:sz w:val="20"/>
                <w:szCs w:val="20"/>
                <w:color w:val="auto"/>
              </w:rPr>
            </w:pPr>
            <w:r>
              <w:rPr>
                <w:rFonts w:ascii="Arial" w:cs="Arial" w:eastAsia="Arial" w:hAnsi="Arial"/>
                <w:sz w:val="19"/>
                <w:szCs w:val="19"/>
                <w:color w:val="auto"/>
              </w:rPr>
              <w:t>Business and general aviation</w:t>
            </w:r>
          </w:p>
        </w:tc>
        <w:tc>
          <w:tcPr>
            <w:tcW w:w="20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1,417</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1,207</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976</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17 %</w:t>
            </w:r>
          </w:p>
        </w:tc>
        <w:tc>
          <w:tcPr>
            <w:tcW w:w="1020" w:type="dxa"/>
            <w:vAlign w:val="bottom"/>
            <w:gridSpan w:val="2"/>
          </w:tcPr>
          <w:p>
            <w:pPr>
              <w:jc w:val="right"/>
              <w:ind w:right="61"/>
              <w:spacing w:after="0"/>
              <w:rPr>
                <w:sz w:val="20"/>
                <w:szCs w:val="20"/>
                <w:color w:val="auto"/>
              </w:rPr>
            </w:pPr>
            <w:r>
              <w:rPr>
                <w:rFonts w:ascii="Arial" w:cs="Arial" w:eastAsia="Arial" w:hAnsi="Arial"/>
                <w:sz w:val="19"/>
                <w:szCs w:val="19"/>
                <w:color w:val="auto"/>
              </w:rPr>
              <w:t>24 %</w:t>
            </w:r>
          </w:p>
        </w:tc>
      </w:tr>
      <w:tr>
        <w:trPr>
          <w:trHeight w:val="270"/>
        </w:trPr>
        <w:tc>
          <w:tcPr>
            <w:tcW w:w="49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Defense and Space</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5,108</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5,278</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5,395</w:t>
            </w:r>
          </w:p>
        </w:tc>
        <w:tc>
          <w:tcPr>
            <w:tcW w:w="9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(3 )%</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(2 )%</w:t>
            </w:r>
          </w:p>
        </w:tc>
      </w:tr>
      <w:tr>
        <w:trPr>
          <w:trHeight w:val="304"/>
        </w:trPr>
        <w:tc>
          <w:tcPr>
            <w:tcW w:w="4980" w:type="dxa"/>
            <w:vAlign w:val="bottom"/>
          </w:tcPr>
          <w:p>
            <w:pPr>
              <w:ind w:left="740"/>
              <w:spacing w:after="0"/>
              <w:rPr>
                <w:sz w:val="20"/>
                <w:szCs w:val="20"/>
                <w:color w:val="auto"/>
              </w:rPr>
            </w:pPr>
            <w:r>
              <w:rPr>
                <w:rFonts w:ascii="Arial" w:cs="Arial" w:eastAsia="Arial" w:hAnsi="Arial"/>
                <w:sz w:val="19"/>
                <w:szCs w:val="19"/>
                <w:color w:val="auto"/>
              </w:rPr>
              <w:t>Total Aerospace Sales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12,040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11,475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10,683</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49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Automation and Control Solutions Sales</w:t>
            </w: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70"/>
        </w:trPr>
        <w:tc>
          <w:tcPr>
            <w:tcW w:w="4980" w:type="dxa"/>
            <w:vAlign w:val="bottom"/>
          </w:tcPr>
          <w:p>
            <w:pPr>
              <w:ind w:left="380"/>
              <w:spacing w:after="0"/>
              <w:rPr>
                <w:sz w:val="20"/>
                <w:szCs w:val="20"/>
                <w:color w:val="auto"/>
              </w:rPr>
            </w:pPr>
            <w:r>
              <w:rPr>
                <w:rFonts w:ascii="Arial" w:cs="Arial" w:eastAsia="Arial" w:hAnsi="Arial"/>
                <w:sz w:val="19"/>
                <w:szCs w:val="19"/>
                <w:color w:val="auto"/>
              </w:rPr>
              <w:t>Energy Safety &amp; Security</w:t>
            </w:r>
          </w:p>
        </w:tc>
        <w:tc>
          <w:tcPr>
            <w:tcW w:w="20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8,123</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7,977</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6,789</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2 %</w:t>
            </w:r>
          </w:p>
        </w:tc>
        <w:tc>
          <w:tcPr>
            <w:tcW w:w="1020" w:type="dxa"/>
            <w:vAlign w:val="bottom"/>
            <w:gridSpan w:val="2"/>
          </w:tcPr>
          <w:p>
            <w:pPr>
              <w:jc w:val="right"/>
              <w:ind w:right="61"/>
              <w:spacing w:after="0"/>
              <w:rPr>
                <w:sz w:val="20"/>
                <w:szCs w:val="20"/>
                <w:color w:val="auto"/>
              </w:rPr>
            </w:pPr>
            <w:r>
              <w:rPr>
                <w:rFonts w:ascii="Arial" w:cs="Arial" w:eastAsia="Arial" w:hAnsi="Arial"/>
                <w:sz w:val="19"/>
                <w:szCs w:val="19"/>
                <w:color w:val="auto"/>
              </w:rPr>
              <w:t>17 %</w:t>
            </w:r>
          </w:p>
        </w:tc>
      </w:tr>
      <w:tr>
        <w:trPr>
          <w:trHeight w:val="270"/>
        </w:trPr>
        <w:tc>
          <w:tcPr>
            <w:tcW w:w="49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Process Solutions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3,093</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3,010</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2,678</w:t>
            </w:r>
          </w:p>
        </w:tc>
        <w:tc>
          <w:tcPr>
            <w:tcW w:w="98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3 %</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12 %</w:t>
            </w:r>
          </w:p>
        </w:tc>
      </w:tr>
      <w:tr>
        <w:trPr>
          <w:trHeight w:val="270"/>
        </w:trPr>
        <w:tc>
          <w:tcPr>
            <w:tcW w:w="4980" w:type="dxa"/>
            <w:vAlign w:val="bottom"/>
          </w:tcPr>
          <w:p>
            <w:pPr>
              <w:ind w:left="380"/>
              <w:spacing w:after="0"/>
              <w:rPr>
                <w:sz w:val="20"/>
                <w:szCs w:val="20"/>
                <w:color w:val="auto"/>
              </w:rPr>
            </w:pPr>
            <w:r>
              <w:rPr>
                <w:rFonts w:ascii="Arial" w:cs="Arial" w:eastAsia="Arial" w:hAnsi="Arial"/>
                <w:sz w:val="19"/>
                <w:szCs w:val="19"/>
                <w:color w:val="auto"/>
              </w:rPr>
              <w:t>Building Solutions &amp; Distribution</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4,664</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4,548</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4,282</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3 %</w:t>
            </w:r>
          </w:p>
        </w:tc>
        <w:tc>
          <w:tcPr>
            <w:tcW w:w="1020" w:type="dxa"/>
            <w:vAlign w:val="bottom"/>
            <w:gridSpan w:val="2"/>
          </w:tcPr>
          <w:p>
            <w:pPr>
              <w:jc w:val="right"/>
              <w:ind w:right="61"/>
              <w:spacing w:after="0"/>
              <w:rPr>
                <w:sz w:val="20"/>
                <w:szCs w:val="20"/>
                <w:color w:val="auto"/>
              </w:rPr>
            </w:pPr>
            <w:r>
              <w:rPr>
                <w:rFonts w:ascii="Arial" w:cs="Arial" w:eastAsia="Arial" w:hAnsi="Arial"/>
                <w:sz w:val="19"/>
                <w:szCs w:val="19"/>
                <w:color w:val="auto"/>
              </w:rPr>
              <w:t>6 %</w:t>
            </w:r>
          </w:p>
        </w:tc>
      </w:tr>
      <w:tr>
        <w:trPr>
          <w:trHeight w:val="34"/>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9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Automation and Control Solutions Sales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15,880</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15,535</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13,749</w:t>
            </w:r>
          </w:p>
        </w:tc>
        <w:tc>
          <w:tcPr>
            <w:tcW w:w="28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9"/>
                <w:szCs w:val="19"/>
                <w:b w:val="1"/>
                <w:bCs w:val="1"/>
                <w:color w:val="auto"/>
              </w:rPr>
              <w:t>Performance Materials and Technologies Sales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9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UOP</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2,253</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1,931</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1,556</w:t>
            </w:r>
          </w:p>
        </w:tc>
        <w:tc>
          <w:tcPr>
            <w:tcW w:w="98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17 %</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24 %</w:t>
            </w:r>
          </w:p>
        </w:tc>
      </w:tr>
      <w:tr>
        <w:trPr>
          <w:trHeight w:val="270"/>
        </w:trPr>
        <w:tc>
          <w:tcPr>
            <w:tcW w:w="4980" w:type="dxa"/>
            <w:vAlign w:val="bottom"/>
          </w:tcPr>
          <w:p>
            <w:pPr>
              <w:ind w:left="380"/>
              <w:spacing w:after="0"/>
              <w:rPr>
                <w:sz w:val="20"/>
                <w:szCs w:val="20"/>
                <w:color w:val="auto"/>
              </w:rPr>
            </w:pPr>
            <w:r>
              <w:rPr>
                <w:rFonts w:ascii="Arial" w:cs="Arial" w:eastAsia="Arial" w:hAnsi="Arial"/>
                <w:sz w:val="19"/>
                <w:szCs w:val="19"/>
                <w:color w:val="auto"/>
              </w:rPr>
              <w:t>Advanced Materials</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3,931</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3,728</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3,170</w:t>
            </w:r>
          </w:p>
        </w:tc>
        <w:tc>
          <w:tcPr>
            <w:tcW w:w="980" w:type="dxa"/>
            <w:vAlign w:val="bottom"/>
            <w:gridSpan w:val="2"/>
          </w:tcPr>
          <w:p>
            <w:pPr>
              <w:jc w:val="right"/>
              <w:ind w:right="61"/>
              <w:spacing w:after="0"/>
              <w:rPr>
                <w:sz w:val="20"/>
                <w:szCs w:val="20"/>
                <w:color w:val="auto"/>
              </w:rPr>
            </w:pPr>
            <w:r>
              <w:rPr>
                <w:rFonts w:ascii="Arial" w:cs="Arial" w:eastAsia="Arial" w:hAnsi="Arial"/>
                <w:sz w:val="19"/>
                <w:szCs w:val="19"/>
                <w:color w:val="auto"/>
              </w:rPr>
              <w:t>5 %</w:t>
            </w:r>
          </w:p>
        </w:tc>
        <w:tc>
          <w:tcPr>
            <w:tcW w:w="1020" w:type="dxa"/>
            <w:vAlign w:val="bottom"/>
            <w:gridSpan w:val="2"/>
          </w:tcPr>
          <w:p>
            <w:pPr>
              <w:jc w:val="right"/>
              <w:ind w:right="61"/>
              <w:spacing w:after="0"/>
              <w:rPr>
                <w:sz w:val="20"/>
                <w:szCs w:val="20"/>
                <w:color w:val="auto"/>
              </w:rPr>
            </w:pPr>
            <w:r>
              <w:rPr>
                <w:rFonts w:ascii="Arial" w:cs="Arial" w:eastAsia="Arial" w:hAnsi="Arial"/>
                <w:sz w:val="19"/>
                <w:szCs w:val="19"/>
                <w:color w:val="auto"/>
              </w:rPr>
              <w:t>18 %</w:t>
            </w:r>
          </w:p>
        </w:tc>
      </w:tr>
      <w:tr>
        <w:trPr>
          <w:trHeight w:val="34"/>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0"/>
        </w:trPr>
        <w:tc>
          <w:tcPr>
            <w:tcW w:w="49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Performance Materials and</w:t>
            </w: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30"/>
        </w:trPr>
        <w:tc>
          <w:tcPr>
            <w:tcW w:w="4980" w:type="dxa"/>
            <w:vAlign w:val="bottom"/>
            <w:shd w:val="clear" w:color="auto" w:fill="E5FFFF"/>
          </w:tcPr>
          <w:p>
            <w:pPr>
              <w:ind w:left="920"/>
              <w:spacing w:after="0"/>
              <w:rPr>
                <w:sz w:val="20"/>
                <w:szCs w:val="20"/>
                <w:color w:val="auto"/>
              </w:rPr>
            </w:pPr>
            <w:r>
              <w:rPr>
                <w:rFonts w:ascii="Arial" w:cs="Arial" w:eastAsia="Arial" w:hAnsi="Arial"/>
                <w:sz w:val="19"/>
                <w:szCs w:val="19"/>
                <w:color w:val="auto"/>
              </w:rPr>
              <w:t>Technologies Sales</w:t>
            </w: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6,184</w:t>
            </w: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5,659</w:t>
            </w: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4,726</w:t>
            </w:r>
          </w:p>
        </w:tc>
        <w:tc>
          <w:tcPr>
            <w:tcW w:w="28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9"/>
                <w:szCs w:val="19"/>
                <w:b w:val="1"/>
                <w:bCs w:val="1"/>
                <w:color w:val="auto"/>
              </w:rPr>
              <w:t>Transportation Systems Sales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9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Turbo Technologies</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3,561</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3,859</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3,192</w:t>
            </w:r>
          </w:p>
        </w:tc>
        <w:tc>
          <w:tcPr>
            <w:tcW w:w="9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(8 )%</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21 %</w:t>
            </w:r>
          </w:p>
        </w:tc>
      </w:tr>
      <w:tr>
        <w:trPr>
          <w:trHeight w:val="304"/>
        </w:trPr>
        <w:tc>
          <w:tcPr>
            <w:tcW w:w="4980" w:type="dxa"/>
            <w:vAlign w:val="bottom"/>
          </w:tcPr>
          <w:p>
            <w:pPr>
              <w:ind w:left="740"/>
              <w:spacing w:after="0"/>
              <w:rPr>
                <w:sz w:val="20"/>
                <w:szCs w:val="20"/>
                <w:color w:val="auto"/>
              </w:rPr>
            </w:pPr>
            <w:r>
              <w:rPr>
                <w:rFonts w:ascii="Arial" w:cs="Arial" w:eastAsia="Arial" w:hAnsi="Arial"/>
                <w:sz w:val="19"/>
                <w:szCs w:val="19"/>
                <w:color w:val="auto"/>
              </w:rPr>
              <w:t>Total Transportation Systems Sales</w:t>
            </w:r>
          </w:p>
        </w:tc>
        <w:tc>
          <w:tcPr>
            <w:tcW w:w="20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3,561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3,859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3,192</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4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Corporate</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r>
      <w:tr>
        <w:trPr>
          <w:trHeight w:val="304"/>
        </w:trPr>
        <w:tc>
          <w:tcPr>
            <w:tcW w:w="4980" w:type="dxa"/>
            <w:vAlign w:val="bottom"/>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37,665</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36,529</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32,350</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Aerospace is a leading global supplier of aircraft engines, avionics, and related products and services for aircraft manufacturers, airlines, aircraft operators, military services, and defense and space contractors. Our Aerospace products and services include auxiliary power units, propulsion engines, environmental control systems, electric power systems, engine controls, flight safety, communications, navigation, radar and surveillance systems, aircraft lighting, management and technical services, logistics services, advanced systems and instruments, aircraft wheels and brakes and repair and overhaul services. Aerospace sells its products to original equipment (OE) manufacturers in the air transport, regional, business and general aviation aircraft segments, and provides spare parts and repair and maintenance services for the aftermarket (principally to aircraft operators). The United States Government is a major customer for our defense and space products.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 operating results are principally impacted by:</w:t>
      </w:r>
    </w:p>
    <w:p>
      <w:pPr>
        <w:spacing w:after="0" w:line="160" w:lineRule="exact"/>
        <w:rPr>
          <w:sz w:val="20"/>
          <w:szCs w:val="20"/>
          <w:color w:val="auto"/>
        </w:rPr>
      </w:pPr>
    </w:p>
    <w:p>
      <w:pPr>
        <w:ind w:left="540" w:right="660" w:hanging="15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New aircraft production rates and delivery schedules set by commercial air transport, regional jet, business and general aviation OE manufacturers, as well as airline profitability, platform mix and retirement of aircraft from service;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6" w:name="page37"/>
    <w:bookmarkEnd w:id="36"/>
    <w:p>
      <w:pPr>
        <w:jc w:val="both"/>
        <w:ind w:left="540" w:right="600" w:hanging="15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Global demand for commercial air travel as reflected in global flying hours and utilization rates for corporate and general aviation aircraft, as well as the demand for spare parts and maintenance and repair services for aircraft currently in use;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Level and mix of U.S. and foreign government appropriations for defense and space programs and military activity;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in customer platform development schedules, requirements and demands for new technologies;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Availability and price variability of raw materials such as nickel, titanium and other metals.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2010</w:t>
            </w:r>
          </w:p>
        </w:tc>
        <w:tc>
          <w:tcPr>
            <w:tcW w:w="32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r>
      <w:tr>
        <w:trPr>
          <w:trHeight w:val="264"/>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12,040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11,475</w:t>
            </w:r>
          </w:p>
        </w:tc>
        <w:tc>
          <w:tcPr>
            <w:tcW w:w="100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5 %</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10,683</w:t>
            </w:r>
          </w:p>
        </w:tc>
        <w:tc>
          <w:tcPr>
            <w:tcW w:w="106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7 %</w:t>
            </w:r>
          </w:p>
        </w:tc>
      </w:tr>
      <w:tr>
        <w:trPr>
          <w:trHeight w:val="270"/>
        </w:trPr>
        <w:tc>
          <w:tcPr>
            <w:tcW w:w="5980" w:type="dxa"/>
            <w:vAlign w:val="bottom"/>
          </w:tcPr>
          <w:p>
            <w:pPr>
              <w:ind w:left="20"/>
              <w:spacing w:after="0"/>
              <w:rPr>
                <w:sz w:val="20"/>
                <w:szCs w:val="20"/>
                <w:color w:val="auto"/>
              </w:rPr>
            </w:pPr>
            <w:r>
              <w:rPr>
                <w:rFonts w:ascii="Arial" w:cs="Arial" w:eastAsia="Arial" w:hAnsi="Arial"/>
                <w:sz w:val="19"/>
                <w:szCs w:val="19"/>
                <w:color w:val="auto"/>
              </w:rPr>
              <w:t>Cost of products and services sold</w:t>
            </w:r>
          </w:p>
        </w:tc>
        <w:tc>
          <w:tcPr>
            <w:tcW w:w="200" w:type="dxa"/>
            <w:vAlign w:val="bottom"/>
          </w:tcPr>
          <w:p>
            <w:pPr>
              <w:spacing w:after="0"/>
              <w:rPr>
                <w:sz w:val="23"/>
                <w:szCs w:val="23"/>
                <w:color w:val="auto"/>
              </w:rPr>
            </w:pPr>
          </w:p>
        </w:tc>
        <w:tc>
          <w:tcPr>
            <w:tcW w:w="720" w:type="dxa"/>
            <w:vAlign w:val="bottom"/>
          </w:tcPr>
          <w:p>
            <w:pPr>
              <w:jc w:val="right"/>
              <w:ind w:right="6"/>
              <w:spacing w:after="0"/>
              <w:rPr>
                <w:sz w:val="20"/>
                <w:szCs w:val="20"/>
                <w:color w:val="auto"/>
              </w:rPr>
            </w:pPr>
            <w:r>
              <w:rPr>
                <w:rFonts w:ascii="Arial" w:cs="Arial" w:eastAsia="Arial" w:hAnsi="Arial"/>
                <w:sz w:val="19"/>
                <w:szCs w:val="19"/>
                <w:color w:val="auto"/>
              </w:rPr>
              <w:t>8,989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8,665</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8,099</w:t>
            </w: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619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591</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553</w:t>
            </w:r>
          </w:p>
        </w:tc>
        <w:tc>
          <w:tcPr>
            <w:tcW w:w="32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r>
      <w:tr>
        <w:trPr>
          <w:trHeight w:val="270"/>
        </w:trPr>
        <w:tc>
          <w:tcPr>
            <w:tcW w:w="5980" w:type="dxa"/>
            <w:vAlign w:val="bottom"/>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153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w:t>
            </w: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4"/>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2,279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2,023</w:t>
            </w:r>
          </w:p>
        </w:tc>
        <w:tc>
          <w:tcPr>
            <w:tcW w:w="100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13 %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1,835</w:t>
            </w:r>
          </w:p>
        </w:tc>
        <w:tc>
          <w:tcPr>
            <w:tcW w:w="106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10 %</w:t>
            </w:r>
          </w:p>
        </w:tc>
      </w:tr>
    </w:tbl>
    <w:p>
      <w:pPr>
        <w:spacing w:after="0" w:line="93"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7"/>
          </w:tcPr>
          <w:p>
            <w:pPr>
              <w:ind w:left="20"/>
              <w:spacing w:after="0"/>
              <w:rPr>
                <w:sz w:val="20"/>
                <w:szCs w:val="20"/>
                <w:color w:val="auto"/>
              </w:rPr>
            </w:pPr>
            <w:r>
              <w:rPr>
                <w:rFonts w:ascii="Arial" w:cs="Arial" w:eastAsia="Arial" w:hAnsi="Arial"/>
                <w:sz w:val="16"/>
                <w:szCs w:val="16"/>
                <w:b w:val="1"/>
                <w:bCs w:val="1"/>
                <w:color w:val="auto"/>
              </w:rPr>
              <w:t>2012 vs. 2011</w:t>
            </w:r>
          </w:p>
        </w:tc>
        <w:tc>
          <w:tcPr>
            <w:tcW w:w="260" w:type="dxa"/>
            <w:vAlign w:val="bottom"/>
          </w:tcPr>
          <w:p>
            <w:pPr>
              <w:spacing w:after="0"/>
              <w:rPr>
                <w:sz w:val="17"/>
                <w:szCs w:val="17"/>
                <w:color w:val="auto"/>
              </w:rPr>
            </w:pPr>
          </w:p>
        </w:tc>
        <w:tc>
          <w:tcPr>
            <w:tcW w:w="1620" w:type="dxa"/>
            <w:vAlign w:val="bottom"/>
            <w:gridSpan w:val="5"/>
          </w:tcPr>
          <w:p>
            <w:pPr>
              <w:jc w:val="right"/>
              <w:ind w:right="335"/>
              <w:spacing w:after="0"/>
              <w:rPr>
                <w:sz w:val="20"/>
                <w:szCs w:val="20"/>
                <w:color w:val="auto"/>
              </w:rPr>
            </w:pPr>
            <w:r>
              <w:rPr>
                <w:rFonts w:ascii="Arial" w:cs="Arial" w:eastAsia="Arial" w:hAnsi="Arial"/>
                <w:sz w:val="16"/>
                <w:szCs w:val="16"/>
                <w:b w:val="1"/>
                <w:bCs w:val="1"/>
                <w:color w:val="auto"/>
              </w:rPr>
              <w:t>2011 vs. 2010</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6"/>
                <w:szCs w:val="16"/>
                <w:b w:val="1"/>
                <w:bCs w:val="1"/>
                <w:color w:val="auto"/>
                <w:w w:val="97"/>
              </w:rPr>
              <w:t>Segment</w:t>
            </w: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rPr>
              <w:t>Segment</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Factors Contributing to Year-Over-Year Change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7"/>
                <w:szCs w:val="17"/>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Profit</w:t>
            </w:r>
          </w:p>
        </w:tc>
        <w:tc>
          <w:tcPr>
            <w:tcW w:w="1040" w:type="dxa"/>
            <w:vAlign w:val="bottom"/>
            <w:gridSpan w:val="4"/>
          </w:tcPr>
          <w:p>
            <w:pPr>
              <w:ind w:left="180"/>
              <w:spacing w:after="0"/>
              <w:rPr>
                <w:sz w:val="20"/>
                <w:szCs w:val="20"/>
                <w:color w:val="auto"/>
              </w:rPr>
            </w:pPr>
            <w:r>
              <w:rPr>
                <w:rFonts w:ascii="Arial" w:cs="Arial" w:eastAsia="Arial" w:hAnsi="Arial"/>
                <w:sz w:val="16"/>
                <w:szCs w:val="16"/>
                <w:b w:val="1"/>
                <w:bCs w:val="1"/>
                <w:color w:val="auto"/>
              </w:rPr>
              <w:t>Sales</w:t>
            </w:r>
          </w:p>
        </w:tc>
        <w:tc>
          <w:tcPr>
            <w:tcW w:w="180" w:type="dxa"/>
            <w:vAlign w:val="bottom"/>
          </w:tcPr>
          <w:p>
            <w:pPr>
              <w:spacing w:after="0"/>
              <w:rPr>
                <w:sz w:val="17"/>
                <w:szCs w:val="17"/>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Profit</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556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Organic growth/ Operational segment profit</w:t>
            </w:r>
          </w:p>
        </w:tc>
        <w:tc>
          <w:tcPr>
            <w:tcW w:w="260" w:type="dxa"/>
            <w:vAlign w:val="bottom"/>
            <w:tcBorders>
              <w:top w:val="single" w:sz="8" w:color="auto"/>
            </w:tcBorders>
            <w:shd w:val="clear" w:color="auto" w:fill="E5FFFF"/>
          </w:tcPr>
          <w:p>
            <w:pPr>
              <w:spacing w:after="0"/>
              <w:rPr>
                <w:sz w:val="22"/>
                <w:szCs w:val="22"/>
                <w:color w:val="auto"/>
              </w:rPr>
            </w:pPr>
          </w:p>
        </w:tc>
        <w:tc>
          <w:tcPr>
            <w:tcW w:w="340" w:type="dxa"/>
            <w:vAlign w:val="bottom"/>
            <w:tcBorders>
              <w:top w:val="single" w:sz="8" w:color="auto"/>
            </w:tcBorders>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00" w:type="dxa"/>
            <w:vAlign w:val="bottom"/>
            <w:tcBorders>
              <w:top w:val="single" w:sz="8" w:color="auto"/>
            </w:tcBorders>
            <w:shd w:val="clear" w:color="auto" w:fill="E5FFFF"/>
          </w:tcPr>
          <w:p>
            <w:pPr>
              <w:spacing w:after="0"/>
              <w:rPr>
                <w:sz w:val="22"/>
                <w:szCs w:val="22"/>
                <w:color w:val="auto"/>
              </w:rPr>
            </w:pPr>
          </w:p>
        </w:tc>
        <w:tc>
          <w:tcPr>
            <w:tcW w:w="640" w:type="dxa"/>
            <w:vAlign w:val="bottom"/>
            <w:tcBorders>
              <w:top w:val="single" w:sz="8" w:color="auto"/>
            </w:tcBorders>
            <w:gridSpan w:val="2"/>
            <w:shd w:val="clear" w:color="auto" w:fill="E5FFFF"/>
          </w:tcPr>
          <w:p>
            <w:pPr>
              <w:ind w:left="280"/>
              <w:spacing w:after="0"/>
              <w:rPr>
                <w:sz w:val="20"/>
                <w:szCs w:val="20"/>
                <w:color w:val="auto"/>
              </w:rPr>
            </w:pPr>
            <w:r>
              <w:rPr>
                <w:rFonts w:ascii="Arial" w:cs="Arial" w:eastAsia="Arial" w:hAnsi="Arial"/>
                <w:sz w:val="19"/>
                <w:szCs w:val="19"/>
                <w:color w:val="auto"/>
              </w:rPr>
              <w:t>3 %</w:t>
            </w:r>
          </w:p>
        </w:tc>
        <w:tc>
          <w:tcPr>
            <w:tcW w:w="280" w:type="dxa"/>
            <w:vAlign w:val="bottom"/>
            <w:shd w:val="clear" w:color="auto" w:fill="E5FFFF"/>
          </w:tcPr>
          <w:p>
            <w:pPr>
              <w:spacing w:after="0"/>
              <w:rPr>
                <w:sz w:val="22"/>
                <w:szCs w:val="22"/>
                <w:color w:val="auto"/>
              </w:rPr>
            </w:pPr>
          </w:p>
        </w:tc>
        <w:tc>
          <w:tcPr>
            <w:tcW w:w="40" w:type="dxa"/>
            <w:vAlign w:val="bottom"/>
            <w:tcBorders>
              <w:top w:val="single" w:sz="8" w:color="auto"/>
            </w:tcBorders>
            <w:shd w:val="clear" w:color="auto" w:fill="E5FFFF"/>
          </w:tcPr>
          <w:p>
            <w:pPr>
              <w:spacing w:after="0"/>
              <w:rPr>
                <w:sz w:val="22"/>
                <w:szCs w:val="22"/>
                <w:color w:val="auto"/>
              </w:rPr>
            </w:pPr>
          </w:p>
        </w:tc>
        <w:tc>
          <w:tcPr>
            <w:tcW w:w="74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280" w:type="dxa"/>
            <w:vAlign w:val="bottom"/>
            <w:shd w:val="clear" w:color="auto" w:fill="E5FFFF"/>
          </w:tcPr>
          <w:p>
            <w:pPr>
              <w:spacing w:after="0"/>
              <w:rPr>
                <w:sz w:val="22"/>
                <w:szCs w:val="22"/>
                <w:color w:val="auto"/>
              </w:rPr>
            </w:pPr>
          </w:p>
        </w:tc>
        <w:tc>
          <w:tcPr>
            <w:tcW w:w="7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7 %</w:t>
            </w:r>
          </w:p>
        </w:tc>
        <w:tc>
          <w:tcPr>
            <w:tcW w:w="1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8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9 %</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tcPr>
          <w:p>
            <w:pPr>
              <w:ind w:left="20"/>
              <w:spacing w:after="0"/>
              <w:rPr>
                <w:sz w:val="20"/>
                <w:szCs w:val="20"/>
                <w:color w:val="auto"/>
              </w:rPr>
            </w:pPr>
            <w:r>
              <w:rPr>
                <w:rFonts w:ascii="Arial" w:cs="Arial" w:eastAsia="Arial" w:hAnsi="Arial"/>
                <w:sz w:val="19"/>
                <w:szCs w:val="19"/>
                <w:color w:val="auto"/>
              </w:rPr>
              <w:t>Acquisitions and divestitures, net</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9"/>
                <w:szCs w:val="19"/>
                <w:color w:val="auto"/>
              </w:rPr>
              <w:t>1 %</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1 %</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6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640" w:type="dxa"/>
            <w:vAlign w:val="bottom"/>
            <w:gridSpan w:val="2"/>
            <w:shd w:val="clear" w:color="auto" w:fill="E5FFFF"/>
          </w:tcPr>
          <w:p>
            <w:pPr>
              <w:ind w:left="280"/>
              <w:spacing w:after="0"/>
              <w:rPr>
                <w:sz w:val="20"/>
                <w:szCs w:val="20"/>
                <w:color w:val="auto"/>
              </w:rPr>
            </w:pPr>
            <w:r>
              <w:rPr>
                <w:rFonts w:ascii="Arial" w:cs="Arial" w:eastAsia="Arial" w:hAnsi="Arial"/>
                <w:sz w:val="19"/>
                <w:szCs w:val="19"/>
                <w:color w:val="auto"/>
              </w:rPr>
              <w:t>1 %</w:t>
            </w:r>
          </w:p>
        </w:tc>
        <w:tc>
          <w:tcPr>
            <w:tcW w:w="2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80" w:type="dxa"/>
            <w:vAlign w:val="bottom"/>
            <w:gridSpan w:val="3"/>
            <w:shd w:val="clear" w:color="auto" w:fill="E5FFFF"/>
          </w:tcPr>
          <w:p>
            <w:pPr>
              <w:jc w:val="right"/>
              <w:ind w:right="520"/>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5560" w:type="dxa"/>
            <w:vAlign w:val="bottom"/>
          </w:tcPr>
          <w:p>
            <w:pPr>
              <w:ind w:left="380"/>
              <w:spacing w:after="0"/>
              <w:rPr>
                <w:sz w:val="20"/>
                <w:szCs w:val="20"/>
                <w:color w:val="auto"/>
              </w:rPr>
            </w:pPr>
            <w:r>
              <w:rPr>
                <w:rFonts w:ascii="Arial" w:cs="Arial" w:eastAsia="Arial" w:hAnsi="Arial"/>
                <w:sz w:val="19"/>
                <w:szCs w:val="19"/>
                <w:color w:val="auto"/>
              </w:rPr>
              <w:t>Total % 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9"/>
                <w:szCs w:val="19"/>
                <w:color w:val="auto"/>
              </w:rPr>
              <w:t>5 %</w:t>
            </w:r>
          </w:p>
        </w:tc>
        <w:tc>
          <w:tcPr>
            <w:tcW w:w="280" w:type="dxa"/>
            <w:vAlign w:val="bottom"/>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13 %</w:t>
            </w:r>
          </w:p>
        </w:tc>
        <w:tc>
          <w:tcPr>
            <w:tcW w:w="280" w:type="dxa"/>
            <w:vAlign w:val="bottom"/>
          </w:tcPr>
          <w:p>
            <w:pPr>
              <w:spacing w:after="0"/>
              <w:rPr>
                <w:sz w:val="24"/>
                <w:szCs w:val="24"/>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7 %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9"/>
                <w:szCs w:val="19"/>
                <w:color w:val="auto"/>
              </w:rPr>
              <w:t>10 %</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9"/>
                <w:szCs w:val="19"/>
                <w:color w:val="auto"/>
              </w:rPr>
              <w:t>Aerospace sales by major customer end-markets were as follows:</w:t>
            </w: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5"/>
          </w:tcPr>
          <w:p>
            <w:pPr>
              <w:jc w:val="center"/>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8"/>
          </w:tcPr>
          <w:p>
            <w:pPr>
              <w:jc w:val="center"/>
              <w:ind w:right="720"/>
              <w:spacing w:after="0" w:line="176" w:lineRule="exact"/>
              <w:rPr>
                <w:sz w:val="20"/>
                <w:szCs w:val="20"/>
                <w:color w:val="auto"/>
              </w:rPr>
            </w:pPr>
            <w:r>
              <w:rPr>
                <w:rFonts w:ascii="Arial" w:cs="Arial" w:eastAsia="Arial" w:hAnsi="Arial"/>
                <w:sz w:val="16"/>
                <w:szCs w:val="16"/>
                <w:b w:val="1"/>
                <w:bCs w:val="1"/>
                <w:color w:val="auto"/>
                <w:w w:val="98"/>
              </w:rPr>
              <w:t>% of Aerospace</w:t>
            </w:r>
          </w:p>
        </w:tc>
        <w:tc>
          <w:tcPr>
            <w:tcW w:w="260" w:type="dxa"/>
            <w:vAlign w:val="bottom"/>
          </w:tcPr>
          <w:p>
            <w:pPr>
              <w:spacing w:after="0"/>
              <w:rPr>
                <w:sz w:val="15"/>
                <w:szCs w:val="15"/>
                <w:color w:val="auto"/>
              </w:rPr>
            </w:pPr>
          </w:p>
        </w:tc>
        <w:tc>
          <w:tcPr>
            <w:tcW w:w="1620" w:type="dxa"/>
            <w:vAlign w:val="bottom"/>
            <w:gridSpan w:val="5"/>
          </w:tcPr>
          <w:p>
            <w:pPr>
              <w:jc w:val="center"/>
              <w:spacing w:after="0" w:line="176" w:lineRule="exact"/>
              <w:rPr>
                <w:sz w:val="20"/>
                <w:szCs w:val="20"/>
                <w:color w:val="auto"/>
              </w:rPr>
            </w:pPr>
            <w:r>
              <w:rPr>
                <w:rFonts w:ascii="Arial" w:cs="Arial" w:eastAsia="Arial" w:hAnsi="Arial"/>
                <w:sz w:val="16"/>
                <w:szCs w:val="16"/>
                <w:b w:val="1"/>
                <w:bCs w:val="1"/>
                <w:color w:val="auto"/>
                <w:w w:val="97"/>
              </w:rPr>
              <w:t>(Decrease)</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Sales</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ind w:right="395"/>
              <w:spacing w:after="0"/>
              <w:rPr>
                <w:sz w:val="20"/>
                <w:szCs w:val="20"/>
                <w:color w:val="auto"/>
              </w:rPr>
            </w:pPr>
            <w:r>
              <w:rPr>
                <w:rFonts w:ascii="Arial" w:cs="Arial" w:eastAsia="Arial" w:hAnsi="Arial"/>
                <w:sz w:val="16"/>
                <w:szCs w:val="16"/>
                <w:b w:val="1"/>
                <w:bCs w:val="1"/>
                <w:color w:val="auto"/>
                <w:w w:val="99"/>
              </w:rPr>
              <w:t>in Sales</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81"/>
              <w:spacing w:after="0" w:line="168"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4"/>
                <w:szCs w:val="14"/>
                <w:color w:val="auto"/>
              </w:rPr>
            </w:pPr>
          </w:p>
        </w:tc>
        <w:tc>
          <w:tcPr>
            <w:tcW w:w="840" w:type="dxa"/>
            <w:vAlign w:val="bottom"/>
            <w:gridSpan w:val="2"/>
          </w:tcPr>
          <w:p>
            <w:pPr>
              <w:jc w:val="right"/>
              <w:ind w:right="75"/>
              <w:spacing w:after="0" w:line="168" w:lineRule="exact"/>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80"/>
              <w:spacing w:after="0" w:line="176" w:lineRule="exact"/>
              <w:rPr>
                <w:sz w:val="20"/>
                <w:szCs w:val="20"/>
                <w:color w:val="auto"/>
              </w:rPr>
            </w:pPr>
            <w:r>
              <w:rPr>
                <w:rFonts w:ascii="Arial" w:cs="Arial" w:eastAsia="Arial" w:hAnsi="Arial"/>
                <w:sz w:val="16"/>
                <w:szCs w:val="16"/>
                <w:b w:val="1"/>
                <w:bCs w:val="1"/>
                <w:color w:val="auto"/>
              </w:rPr>
              <w:t>Versus</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Versus</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Customer End-Markets</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7"/>
                <w:szCs w:val="17"/>
                <w:color w:val="auto"/>
              </w:rPr>
            </w:pPr>
          </w:p>
        </w:tc>
        <w:tc>
          <w:tcPr>
            <w:tcW w:w="920" w:type="dxa"/>
            <w:vAlign w:val="bottom"/>
            <w:gridSpan w:val="3"/>
          </w:tcPr>
          <w:p>
            <w:pPr>
              <w:jc w:val="center"/>
              <w:ind w:left="248"/>
              <w:spacing w:after="0"/>
              <w:rPr>
                <w:sz w:val="20"/>
                <w:szCs w:val="20"/>
                <w:color w:val="auto"/>
              </w:rPr>
            </w:pPr>
            <w:r>
              <w:rPr>
                <w:rFonts w:ascii="Arial" w:cs="Arial" w:eastAsia="Arial" w:hAnsi="Arial"/>
                <w:sz w:val="16"/>
                <w:szCs w:val="16"/>
                <w:b w:val="1"/>
                <w:bCs w:val="1"/>
                <w:color w:val="auto"/>
                <w:w w:val="95"/>
              </w:rPr>
              <w:t>2011</w:t>
            </w:r>
          </w:p>
        </w:tc>
        <w:tc>
          <w:tcPr>
            <w:tcW w:w="40" w:type="dxa"/>
            <w:vAlign w:val="bottom"/>
          </w:tcPr>
          <w:p>
            <w:pPr>
              <w:spacing w:after="0"/>
              <w:rPr>
                <w:sz w:val="17"/>
                <w:szCs w:val="17"/>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2010</w:t>
            </w:r>
          </w:p>
        </w:tc>
        <w:tc>
          <w:tcPr>
            <w:tcW w:w="940" w:type="dxa"/>
            <w:vAlign w:val="bottom"/>
            <w:gridSpan w:val="3"/>
          </w:tcPr>
          <w:p>
            <w:pPr>
              <w:jc w:val="right"/>
              <w:ind w:right="8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840" w:type="dxa"/>
            <w:vAlign w:val="bottom"/>
            <w:gridSpan w:val="2"/>
          </w:tcPr>
          <w:p>
            <w:pPr>
              <w:jc w:val="right"/>
              <w:ind w:right="75"/>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556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Commercial original equipment</w:t>
            </w:r>
          </w:p>
        </w:tc>
        <w:tc>
          <w:tcPr>
            <w:tcW w:w="260" w:type="dxa"/>
            <w:vAlign w:val="bottom"/>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36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4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50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tcBorders>
              <w:top w:val="single" w:sz="8" w:color="auto"/>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tcPr>
          <w:p>
            <w:pPr>
              <w:ind w:left="200"/>
              <w:spacing w:after="0"/>
              <w:rPr>
                <w:sz w:val="20"/>
                <w:szCs w:val="20"/>
                <w:color w:val="auto"/>
              </w:rPr>
            </w:pPr>
            <w:r>
              <w:rPr>
                <w:rFonts w:ascii="Arial" w:cs="Arial" w:eastAsia="Arial" w:hAnsi="Arial"/>
                <w:sz w:val="19"/>
                <w:szCs w:val="19"/>
                <w:color w:val="auto"/>
              </w:rPr>
              <w:t>Air transport and regional</w:t>
            </w:r>
          </w:p>
        </w:tc>
        <w:tc>
          <w:tcPr>
            <w:tcW w:w="980" w:type="dxa"/>
            <w:vAlign w:val="bottom"/>
            <w:gridSpan w:val="4"/>
          </w:tcPr>
          <w:p>
            <w:pPr>
              <w:jc w:val="right"/>
              <w:ind w:right="60"/>
              <w:spacing w:after="0"/>
              <w:rPr>
                <w:sz w:val="20"/>
                <w:szCs w:val="20"/>
                <w:color w:val="auto"/>
              </w:rPr>
            </w:pPr>
            <w:r>
              <w:rPr>
                <w:rFonts w:ascii="Arial" w:cs="Arial" w:eastAsia="Arial" w:hAnsi="Arial"/>
                <w:sz w:val="19"/>
                <w:szCs w:val="19"/>
                <w:color w:val="auto"/>
              </w:rPr>
              <w:t>13 %</w:t>
            </w:r>
          </w:p>
        </w:tc>
        <w:tc>
          <w:tcPr>
            <w:tcW w:w="960" w:type="dxa"/>
            <w:vAlign w:val="bottom"/>
            <w:gridSpan w:val="4"/>
          </w:tcPr>
          <w:p>
            <w:pPr>
              <w:jc w:val="right"/>
              <w:ind w:right="20"/>
              <w:spacing w:after="0"/>
              <w:rPr>
                <w:sz w:val="20"/>
                <w:szCs w:val="20"/>
                <w:color w:val="auto"/>
              </w:rPr>
            </w:pPr>
            <w:r>
              <w:rPr>
                <w:rFonts w:ascii="Arial" w:cs="Arial" w:eastAsia="Arial" w:hAnsi="Arial"/>
                <w:sz w:val="19"/>
                <w:szCs w:val="19"/>
                <w:color w:val="auto"/>
              </w:rPr>
              <w:t>13 %</w:t>
            </w: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13 %</w:t>
            </w:r>
          </w:p>
        </w:tc>
        <w:tc>
          <w:tcPr>
            <w:tcW w:w="940" w:type="dxa"/>
            <w:vAlign w:val="bottom"/>
            <w:gridSpan w:val="3"/>
          </w:tcPr>
          <w:p>
            <w:pPr>
              <w:jc w:val="right"/>
              <w:ind w:right="41"/>
              <w:spacing w:after="0"/>
              <w:rPr>
                <w:sz w:val="20"/>
                <w:szCs w:val="20"/>
                <w:color w:val="auto"/>
              </w:rPr>
            </w:pPr>
            <w:r>
              <w:rPr>
                <w:rFonts w:ascii="Arial" w:cs="Arial" w:eastAsia="Arial" w:hAnsi="Arial"/>
                <w:sz w:val="19"/>
                <w:szCs w:val="19"/>
                <w:color w:val="auto"/>
              </w:rPr>
              <w:t>11 %</w:t>
            </w:r>
          </w:p>
        </w:tc>
        <w:tc>
          <w:tcPr>
            <w:tcW w:w="100" w:type="dxa"/>
            <w:vAlign w:val="bottom"/>
          </w:tcPr>
          <w:p>
            <w:pPr>
              <w:spacing w:after="0"/>
              <w:rPr>
                <w:sz w:val="23"/>
                <w:szCs w:val="23"/>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6 %</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Business and general aviation</w:t>
            </w: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8 %</w:t>
            </w:r>
          </w:p>
        </w:tc>
        <w:tc>
          <w:tcPr>
            <w:tcW w:w="280" w:type="dxa"/>
            <w:vAlign w:val="bottom"/>
            <w:shd w:val="clear" w:color="auto" w:fill="E5FFFF"/>
          </w:tcPr>
          <w:p>
            <w:pPr>
              <w:spacing w:after="0"/>
              <w:rPr>
                <w:sz w:val="23"/>
                <w:szCs w:val="23"/>
                <w:color w:val="auto"/>
              </w:rPr>
            </w:pPr>
          </w:p>
        </w:tc>
        <w:tc>
          <w:tcPr>
            <w:tcW w:w="68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6 %</w:t>
            </w:r>
          </w:p>
        </w:tc>
        <w:tc>
          <w:tcPr>
            <w:tcW w:w="4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5 %</w:t>
            </w:r>
          </w:p>
        </w:tc>
        <w:tc>
          <w:tcPr>
            <w:tcW w:w="9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34 %</w:t>
            </w:r>
          </w:p>
        </w:tc>
        <w:tc>
          <w:tcPr>
            <w:tcW w:w="100" w:type="dxa"/>
            <w:vAlign w:val="bottom"/>
            <w:shd w:val="clear" w:color="auto" w:fill="E5FFFF"/>
          </w:tcPr>
          <w:p>
            <w:pPr>
              <w:spacing w:after="0"/>
              <w:rPr>
                <w:sz w:val="23"/>
                <w:szCs w:val="23"/>
                <w:color w:val="auto"/>
              </w:rPr>
            </w:pPr>
          </w:p>
        </w:tc>
        <w:tc>
          <w:tcPr>
            <w:tcW w:w="84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41 %</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5560" w:type="dxa"/>
            <w:vAlign w:val="bottom"/>
          </w:tcPr>
          <w:p>
            <w:pPr>
              <w:ind w:left="380"/>
              <w:spacing w:after="0"/>
              <w:rPr>
                <w:sz w:val="20"/>
                <w:szCs w:val="20"/>
                <w:color w:val="auto"/>
              </w:rPr>
            </w:pPr>
            <w:r>
              <w:rPr>
                <w:rFonts w:ascii="Arial" w:cs="Arial" w:eastAsia="Arial" w:hAnsi="Arial"/>
                <w:sz w:val="19"/>
                <w:szCs w:val="19"/>
                <w:color w:val="auto"/>
              </w:rPr>
              <w:t>Commercial original equipment</w:t>
            </w:r>
          </w:p>
        </w:tc>
        <w:tc>
          <w:tcPr>
            <w:tcW w:w="980" w:type="dxa"/>
            <w:vAlign w:val="bottom"/>
            <w:gridSpan w:val="4"/>
          </w:tcPr>
          <w:p>
            <w:pPr>
              <w:jc w:val="right"/>
              <w:ind w:right="60"/>
              <w:spacing w:after="0"/>
              <w:rPr>
                <w:sz w:val="20"/>
                <w:szCs w:val="20"/>
                <w:color w:val="auto"/>
              </w:rPr>
            </w:pPr>
            <w:r>
              <w:rPr>
                <w:rFonts w:ascii="Arial" w:cs="Arial" w:eastAsia="Arial" w:hAnsi="Arial"/>
                <w:sz w:val="19"/>
                <w:szCs w:val="19"/>
                <w:color w:val="auto"/>
              </w:rPr>
              <w:t>21 %</w:t>
            </w:r>
          </w:p>
        </w:tc>
        <w:tc>
          <w:tcPr>
            <w:tcW w:w="960" w:type="dxa"/>
            <w:vAlign w:val="bottom"/>
            <w:gridSpan w:val="4"/>
          </w:tcPr>
          <w:p>
            <w:pPr>
              <w:jc w:val="right"/>
              <w:ind w:right="20"/>
              <w:spacing w:after="0"/>
              <w:rPr>
                <w:sz w:val="20"/>
                <w:szCs w:val="20"/>
                <w:color w:val="auto"/>
              </w:rPr>
            </w:pPr>
            <w:r>
              <w:rPr>
                <w:rFonts w:ascii="Arial" w:cs="Arial" w:eastAsia="Arial" w:hAnsi="Arial"/>
                <w:sz w:val="19"/>
                <w:szCs w:val="19"/>
                <w:color w:val="auto"/>
              </w:rPr>
              <w:t>19 %</w:t>
            </w: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18 %</w:t>
            </w:r>
          </w:p>
        </w:tc>
        <w:tc>
          <w:tcPr>
            <w:tcW w:w="940" w:type="dxa"/>
            <w:vAlign w:val="bottom"/>
            <w:gridSpan w:val="3"/>
          </w:tcPr>
          <w:p>
            <w:pPr>
              <w:jc w:val="right"/>
              <w:ind w:right="41"/>
              <w:spacing w:after="0"/>
              <w:rPr>
                <w:sz w:val="20"/>
                <w:szCs w:val="20"/>
                <w:color w:val="auto"/>
              </w:rPr>
            </w:pPr>
            <w:r>
              <w:rPr>
                <w:rFonts w:ascii="Arial" w:cs="Arial" w:eastAsia="Arial" w:hAnsi="Arial"/>
                <w:sz w:val="19"/>
                <w:szCs w:val="19"/>
                <w:color w:val="auto"/>
              </w:rPr>
              <w:t>19 %</w:t>
            </w:r>
          </w:p>
        </w:tc>
        <w:tc>
          <w:tcPr>
            <w:tcW w:w="100" w:type="dxa"/>
            <w:vAlign w:val="bottom"/>
          </w:tcPr>
          <w:p>
            <w:pPr>
              <w:spacing w:after="0"/>
              <w:rPr>
                <w:sz w:val="24"/>
                <w:szCs w:val="24"/>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15 %</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5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Commercial aftermarket</w:t>
            </w:r>
          </w:p>
        </w:tc>
        <w:tc>
          <w:tcPr>
            <w:tcW w:w="2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tcPr>
          <w:p>
            <w:pPr>
              <w:ind w:left="200"/>
              <w:spacing w:after="0"/>
              <w:rPr>
                <w:sz w:val="20"/>
                <w:szCs w:val="20"/>
                <w:color w:val="auto"/>
              </w:rPr>
            </w:pPr>
            <w:r>
              <w:rPr>
                <w:rFonts w:ascii="Arial" w:cs="Arial" w:eastAsia="Arial" w:hAnsi="Arial"/>
                <w:sz w:val="19"/>
                <w:szCs w:val="19"/>
                <w:color w:val="auto"/>
              </w:rPr>
              <w:t>Air transport and regional</w:t>
            </w:r>
          </w:p>
        </w:tc>
        <w:tc>
          <w:tcPr>
            <w:tcW w:w="980" w:type="dxa"/>
            <w:vAlign w:val="bottom"/>
            <w:gridSpan w:val="4"/>
          </w:tcPr>
          <w:p>
            <w:pPr>
              <w:jc w:val="right"/>
              <w:ind w:right="60"/>
              <w:spacing w:after="0"/>
              <w:rPr>
                <w:sz w:val="20"/>
                <w:szCs w:val="20"/>
                <w:color w:val="auto"/>
              </w:rPr>
            </w:pPr>
            <w:r>
              <w:rPr>
                <w:rFonts w:ascii="Arial" w:cs="Arial" w:eastAsia="Arial" w:hAnsi="Arial"/>
                <w:sz w:val="19"/>
                <w:szCs w:val="19"/>
                <w:color w:val="auto"/>
              </w:rPr>
              <w:t>25 %</w:t>
            </w:r>
          </w:p>
        </w:tc>
        <w:tc>
          <w:tcPr>
            <w:tcW w:w="960" w:type="dxa"/>
            <w:vAlign w:val="bottom"/>
            <w:gridSpan w:val="4"/>
          </w:tcPr>
          <w:p>
            <w:pPr>
              <w:jc w:val="right"/>
              <w:ind w:right="20"/>
              <w:spacing w:after="0"/>
              <w:rPr>
                <w:sz w:val="20"/>
                <w:szCs w:val="20"/>
                <w:color w:val="auto"/>
              </w:rPr>
            </w:pPr>
            <w:r>
              <w:rPr>
                <w:rFonts w:ascii="Arial" w:cs="Arial" w:eastAsia="Arial" w:hAnsi="Arial"/>
                <w:sz w:val="19"/>
                <w:szCs w:val="19"/>
                <w:color w:val="auto"/>
              </w:rPr>
              <w:t>25 %</w:t>
            </w: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23 %</w:t>
            </w:r>
          </w:p>
        </w:tc>
        <w:tc>
          <w:tcPr>
            <w:tcW w:w="940" w:type="dxa"/>
            <w:vAlign w:val="bottom"/>
            <w:gridSpan w:val="3"/>
          </w:tcPr>
          <w:p>
            <w:pPr>
              <w:jc w:val="right"/>
              <w:ind w:right="41"/>
              <w:spacing w:after="0"/>
              <w:rPr>
                <w:sz w:val="20"/>
                <w:szCs w:val="20"/>
                <w:color w:val="auto"/>
              </w:rPr>
            </w:pPr>
            <w:r>
              <w:rPr>
                <w:rFonts w:ascii="Arial" w:cs="Arial" w:eastAsia="Arial" w:hAnsi="Arial"/>
                <w:sz w:val="19"/>
                <w:szCs w:val="19"/>
                <w:color w:val="auto"/>
              </w:rPr>
              <w:t>4 %</w:t>
            </w:r>
          </w:p>
        </w:tc>
        <w:tc>
          <w:tcPr>
            <w:tcW w:w="100" w:type="dxa"/>
            <w:vAlign w:val="bottom"/>
          </w:tcPr>
          <w:p>
            <w:pPr>
              <w:spacing w:after="0"/>
              <w:rPr>
                <w:sz w:val="23"/>
                <w:szCs w:val="23"/>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16 %</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Business and general aviation</w:t>
            </w: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12 %</w:t>
            </w:r>
          </w:p>
        </w:tc>
        <w:tc>
          <w:tcPr>
            <w:tcW w:w="280" w:type="dxa"/>
            <w:vAlign w:val="bottom"/>
            <w:shd w:val="clear" w:color="auto" w:fill="E5FFFF"/>
          </w:tcPr>
          <w:p>
            <w:pPr>
              <w:spacing w:after="0"/>
              <w:rPr>
                <w:sz w:val="23"/>
                <w:szCs w:val="23"/>
                <w:color w:val="auto"/>
              </w:rPr>
            </w:pPr>
          </w:p>
        </w:tc>
        <w:tc>
          <w:tcPr>
            <w:tcW w:w="68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11 %</w:t>
            </w:r>
          </w:p>
        </w:tc>
        <w:tc>
          <w:tcPr>
            <w:tcW w:w="4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9 %</w:t>
            </w:r>
          </w:p>
        </w:tc>
        <w:tc>
          <w:tcPr>
            <w:tcW w:w="9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17 %</w:t>
            </w:r>
          </w:p>
        </w:tc>
        <w:tc>
          <w:tcPr>
            <w:tcW w:w="100" w:type="dxa"/>
            <w:vAlign w:val="bottom"/>
            <w:shd w:val="clear" w:color="auto" w:fill="E5FFFF"/>
          </w:tcPr>
          <w:p>
            <w:pPr>
              <w:spacing w:after="0"/>
              <w:rPr>
                <w:sz w:val="23"/>
                <w:szCs w:val="23"/>
                <w:color w:val="auto"/>
              </w:rPr>
            </w:pPr>
          </w:p>
        </w:tc>
        <w:tc>
          <w:tcPr>
            <w:tcW w:w="84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24 %</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5560" w:type="dxa"/>
            <w:vAlign w:val="bottom"/>
          </w:tcPr>
          <w:p>
            <w:pPr>
              <w:ind w:left="380"/>
              <w:spacing w:after="0"/>
              <w:rPr>
                <w:sz w:val="20"/>
                <w:szCs w:val="20"/>
                <w:color w:val="auto"/>
              </w:rPr>
            </w:pPr>
            <w:r>
              <w:rPr>
                <w:rFonts w:ascii="Arial" w:cs="Arial" w:eastAsia="Arial" w:hAnsi="Arial"/>
                <w:sz w:val="19"/>
                <w:szCs w:val="19"/>
                <w:color w:val="auto"/>
              </w:rPr>
              <w:t>Commercial aftermarket</w:t>
            </w:r>
          </w:p>
        </w:tc>
        <w:tc>
          <w:tcPr>
            <w:tcW w:w="980" w:type="dxa"/>
            <w:vAlign w:val="bottom"/>
            <w:gridSpan w:val="4"/>
          </w:tcPr>
          <w:p>
            <w:pPr>
              <w:jc w:val="right"/>
              <w:ind w:right="60"/>
              <w:spacing w:after="0"/>
              <w:rPr>
                <w:sz w:val="20"/>
                <w:szCs w:val="20"/>
                <w:color w:val="auto"/>
              </w:rPr>
            </w:pPr>
            <w:r>
              <w:rPr>
                <w:rFonts w:ascii="Arial" w:cs="Arial" w:eastAsia="Arial" w:hAnsi="Arial"/>
                <w:sz w:val="19"/>
                <w:szCs w:val="19"/>
                <w:color w:val="auto"/>
              </w:rPr>
              <w:t>37 %</w:t>
            </w:r>
          </w:p>
        </w:tc>
        <w:tc>
          <w:tcPr>
            <w:tcW w:w="960" w:type="dxa"/>
            <w:vAlign w:val="bottom"/>
            <w:gridSpan w:val="4"/>
          </w:tcPr>
          <w:p>
            <w:pPr>
              <w:jc w:val="right"/>
              <w:ind w:right="20"/>
              <w:spacing w:after="0"/>
              <w:rPr>
                <w:sz w:val="20"/>
                <w:szCs w:val="20"/>
                <w:color w:val="auto"/>
              </w:rPr>
            </w:pPr>
            <w:r>
              <w:rPr>
                <w:rFonts w:ascii="Arial" w:cs="Arial" w:eastAsia="Arial" w:hAnsi="Arial"/>
                <w:sz w:val="19"/>
                <w:szCs w:val="19"/>
                <w:color w:val="auto"/>
              </w:rPr>
              <w:t>36 %</w:t>
            </w: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32 %</w:t>
            </w:r>
          </w:p>
        </w:tc>
        <w:tc>
          <w:tcPr>
            <w:tcW w:w="940" w:type="dxa"/>
            <w:vAlign w:val="bottom"/>
            <w:gridSpan w:val="3"/>
          </w:tcPr>
          <w:p>
            <w:pPr>
              <w:jc w:val="right"/>
              <w:ind w:right="41"/>
              <w:spacing w:after="0"/>
              <w:rPr>
                <w:sz w:val="20"/>
                <w:szCs w:val="20"/>
                <w:color w:val="auto"/>
              </w:rPr>
            </w:pPr>
            <w:r>
              <w:rPr>
                <w:rFonts w:ascii="Arial" w:cs="Arial" w:eastAsia="Arial" w:hAnsi="Arial"/>
                <w:sz w:val="19"/>
                <w:szCs w:val="19"/>
                <w:color w:val="auto"/>
              </w:rPr>
              <w:t>8 %</w:t>
            </w:r>
          </w:p>
        </w:tc>
        <w:tc>
          <w:tcPr>
            <w:tcW w:w="100" w:type="dxa"/>
            <w:vAlign w:val="bottom"/>
          </w:tcPr>
          <w:p>
            <w:pPr>
              <w:spacing w:after="0"/>
              <w:rPr>
                <w:sz w:val="24"/>
                <w:szCs w:val="24"/>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18 %</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5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Defense and Space</w:t>
            </w: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42 %</w:t>
            </w:r>
          </w:p>
        </w:tc>
        <w:tc>
          <w:tcPr>
            <w:tcW w:w="280" w:type="dxa"/>
            <w:vAlign w:val="bottom"/>
            <w:shd w:val="clear" w:color="auto" w:fill="E5FFFF"/>
          </w:tcPr>
          <w:p>
            <w:pPr>
              <w:spacing w:after="0"/>
              <w:rPr>
                <w:sz w:val="23"/>
                <w:szCs w:val="23"/>
                <w:color w:val="auto"/>
              </w:rPr>
            </w:pPr>
          </w:p>
        </w:tc>
        <w:tc>
          <w:tcPr>
            <w:tcW w:w="68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45 %</w:t>
            </w:r>
          </w:p>
        </w:tc>
        <w:tc>
          <w:tcPr>
            <w:tcW w:w="4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50 %</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100" w:type="dxa"/>
            <w:vAlign w:val="bottom"/>
            <w:shd w:val="clear" w:color="auto" w:fill="E5FFFF"/>
          </w:tcPr>
          <w:p>
            <w:pPr>
              <w:spacing w:after="0"/>
              <w:rPr>
                <w:sz w:val="23"/>
                <w:szCs w:val="23"/>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5560" w:type="dxa"/>
            <w:vAlign w:val="bottom"/>
          </w:tcPr>
          <w:p>
            <w:pPr>
              <w:ind w:left="380"/>
              <w:spacing w:after="0"/>
              <w:rPr>
                <w:sz w:val="20"/>
                <w:szCs w:val="20"/>
                <w:color w:val="auto"/>
              </w:rPr>
            </w:pPr>
            <w:r>
              <w:rPr>
                <w:rFonts w:ascii="Arial" w:cs="Arial" w:eastAsia="Arial" w:hAnsi="Arial"/>
                <w:sz w:val="19"/>
                <w:szCs w:val="19"/>
                <w:color w:val="auto"/>
              </w:rPr>
              <w:t>Total</w:t>
            </w:r>
          </w:p>
        </w:tc>
        <w:tc>
          <w:tcPr>
            <w:tcW w:w="980" w:type="dxa"/>
            <w:vAlign w:val="bottom"/>
            <w:gridSpan w:val="4"/>
          </w:tcPr>
          <w:p>
            <w:pPr>
              <w:jc w:val="right"/>
              <w:ind w:right="60"/>
              <w:spacing w:after="0"/>
              <w:rPr>
                <w:sz w:val="20"/>
                <w:szCs w:val="20"/>
                <w:color w:val="auto"/>
              </w:rPr>
            </w:pPr>
            <w:r>
              <w:rPr>
                <w:rFonts w:ascii="Arial" w:cs="Arial" w:eastAsia="Arial" w:hAnsi="Arial"/>
                <w:sz w:val="19"/>
                <w:szCs w:val="19"/>
                <w:color w:val="auto"/>
              </w:rPr>
              <w:t>100 %</w:t>
            </w:r>
          </w:p>
        </w:tc>
        <w:tc>
          <w:tcPr>
            <w:tcW w:w="960" w:type="dxa"/>
            <w:vAlign w:val="bottom"/>
            <w:gridSpan w:val="4"/>
          </w:tcPr>
          <w:p>
            <w:pPr>
              <w:jc w:val="right"/>
              <w:ind w:right="20"/>
              <w:spacing w:after="0"/>
              <w:rPr>
                <w:sz w:val="20"/>
                <w:szCs w:val="20"/>
                <w:color w:val="auto"/>
              </w:rPr>
            </w:pPr>
            <w:r>
              <w:rPr>
                <w:rFonts w:ascii="Arial" w:cs="Arial" w:eastAsia="Arial" w:hAnsi="Arial"/>
                <w:sz w:val="19"/>
                <w:szCs w:val="19"/>
                <w:color w:val="auto"/>
              </w:rPr>
              <w:t>100 %</w:t>
            </w: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100 %</w:t>
            </w:r>
          </w:p>
        </w:tc>
        <w:tc>
          <w:tcPr>
            <w:tcW w:w="940" w:type="dxa"/>
            <w:vAlign w:val="bottom"/>
            <w:gridSpan w:val="3"/>
          </w:tcPr>
          <w:p>
            <w:pPr>
              <w:jc w:val="right"/>
              <w:ind w:right="41"/>
              <w:spacing w:after="0"/>
              <w:rPr>
                <w:sz w:val="20"/>
                <w:szCs w:val="20"/>
                <w:color w:val="auto"/>
              </w:rPr>
            </w:pPr>
            <w:r>
              <w:rPr>
                <w:rFonts w:ascii="Arial" w:cs="Arial" w:eastAsia="Arial" w:hAnsi="Arial"/>
                <w:sz w:val="19"/>
                <w:szCs w:val="19"/>
                <w:color w:val="auto"/>
              </w:rPr>
              <w:t>5 %</w:t>
            </w:r>
          </w:p>
        </w:tc>
        <w:tc>
          <w:tcPr>
            <w:tcW w:w="100" w:type="dxa"/>
            <w:vAlign w:val="bottom"/>
          </w:tcPr>
          <w:p>
            <w:pPr>
              <w:spacing w:after="0"/>
              <w:rPr>
                <w:sz w:val="24"/>
                <w:szCs w:val="24"/>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7 %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2012 compared with 2011</w:t>
      </w:r>
    </w:p>
    <w:p>
      <w:pPr>
        <w:spacing w:after="0" w:line="116"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Aerospace sales increased by 5 percent in 2012 compared with 2011 primarily due to an increase in organic growth of 3 percent primarily due to increased commercial sales volume, a 1 percent increase from acquisitions, net of divestitures, and a 1 percent increase in revenue related to an $88 million reduction in payments to business and general aviation OE manufacturers to partially offset their pre-production costs associated with new aircraft platforms (OEM payments).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Details regarding the changes in sales by customer end-markets are as follows:</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37" w:name="page38"/>
    <w:bookmarkEnd w:id="37"/>
    <w:p>
      <w:pPr>
        <w:ind w:left="360"/>
        <w:spacing w:after="0"/>
        <w:rPr>
          <w:sz w:val="20"/>
          <w:szCs w:val="20"/>
          <w:color w:val="auto"/>
        </w:rPr>
      </w:pPr>
      <w:r>
        <w:rPr>
          <w:rFonts w:ascii="Arial" w:cs="Arial" w:eastAsia="Arial" w:hAnsi="Arial"/>
          <w:sz w:val="19"/>
          <w:szCs w:val="19"/>
          <w:color w:val="auto"/>
        </w:rPr>
        <w:t>Commercial original equipment (OE) sales increased by 19 percent (12 percent organic) in 2012 compared to 2011.</w:t>
      </w:r>
    </w:p>
    <w:p>
      <w:pPr>
        <w:spacing w:after="0" w:line="160" w:lineRule="exact"/>
        <w:rPr>
          <w:sz w:val="20"/>
          <w:szCs w:val="20"/>
          <w:color w:val="auto"/>
        </w:rPr>
      </w:pPr>
    </w:p>
    <w:p>
      <w:pPr>
        <w:ind w:left="540" w:right="300" w:hanging="158"/>
        <w:spacing w:after="0" w:line="25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Air transport and regional OE sales increased by 11 percent (11 percent organic) in 2012 primarily driven by higher sales to our OE customers, consistent with higher production rates, and a favorable platform mix.</w:t>
      </w:r>
    </w:p>
    <w:p>
      <w:pPr>
        <w:spacing w:after="0" w:line="93" w:lineRule="exact"/>
        <w:rPr>
          <w:rFonts w:ascii="Arial" w:cs="Arial" w:eastAsia="Arial" w:hAnsi="Arial"/>
          <w:sz w:val="19"/>
          <w:szCs w:val="19"/>
          <w:color w:val="auto"/>
        </w:rPr>
      </w:pPr>
    </w:p>
    <w:p>
      <w:pPr>
        <w:ind w:left="540" w:right="100" w:hanging="158"/>
        <w:spacing w:after="0" w:line="245"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Business and general aviation OE sales increased by 34 percent (15 percent organic) in 2012 driven by strong demand in the business jet end-market, favorable platform mix, growth from acquisitions and the favorable 12 percent impact of the OEM payments discussed above.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Commercial aftermarket sales increased by 8 percent in 2012 compared to 2011.</w:t>
      </w:r>
    </w:p>
    <w:p>
      <w:pPr>
        <w:spacing w:after="0" w:line="160" w:lineRule="exact"/>
        <w:rPr>
          <w:sz w:val="20"/>
          <w:szCs w:val="20"/>
          <w:color w:val="auto"/>
        </w:rPr>
      </w:pPr>
    </w:p>
    <w:p>
      <w:pPr>
        <w:ind w:left="540" w:right="60" w:hanging="15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Air transport and regional aftermarket sales increased by 4 percent for 2012 primarily due to increased sales of spare parts and higher maintenance activity driven by an approximate 2 percent increase in global flying hours in 2012, increased sales of avionics upgrades, and changes in customer buying patterns relating to maintenance activity in the first half of 2012.</w:t>
      </w:r>
    </w:p>
    <w:p>
      <w:pPr>
        <w:spacing w:after="0" w:line="100" w:lineRule="exact"/>
        <w:rPr>
          <w:rFonts w:ascii="Arial" w:cs="Arial" w:eastAsia="Arial" w:hAnsi="Arial"/>
          <w:sz w:val="19"/>
          <w:szCs w:val="19"/>
          <w:color w:val="auto"/>
        </w:rPr>
      </w:pPr>
    </w:p>
    <w:p>
      <w:pPr>
        <w:jc w:val="both"/>
        <w:ind w:left="540" w:right="360" w:hanging="15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Business and general aviation aftermarket sales increased by 17 percent in 2012 primarily due to increased sales of spare parts and revenue associated with maintenance service agreements and a higher penetration in retrofit, modifications, and upgrades.</w:t>
      </w:r>
    </w:p>
    <w:p>
      <w:pPr>
        <w:spacing w:after="0" w:line="87" w:lineRule="exact"/>
        <w:rPr>
          <w:sz w:val="20"/>
          <w:szCs w:val="20"/>
          <w:color w:val="auto"/>
        </w:rPr>
      </w:pPr>
    </w:p>
    <w:p>
      <w:pPr>
        <w:ind w:left="360" w:right="480"/>
        <w:spacing w:after="0" w:line="253" w:lineRule="auto"/>
        <w:rPr>
          <w:sz w:val="20"/>
          <w:szCs w:val="20"/>
          <w:color w:val="auto"/>
        </w:rPr>
      </w:pPr>
      <w:r>
        <w:rPr>
          <w:rFonts w:ascii="Arial" w:cs="Arial" w:eastAsia="Arial" w:hAnsi="Arial"/>
          <w:sz w:val="19"/>
          <w:szCs w:val="19"/>
          <w:color w:val="auto"/>
        </w:rPr>
        <w:t>Defense and space sales decreased by 3 percent (negative 4 percent organic) in 2012 primarily due to anticipated program ramp downs, partially offset by higher international aftermarket sales and growth from acquisitions, net of divestitures.</w:t>
      </w:r>
    </w:p>
    <w:p>
      <w:pPr>
        <w:spacing w:after="0" w:line="8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Aerospace segment profit increased by 13 percent in 2012 compared with 2011 primarily due to an increase in operational segment profit of 8 percent, a 4 percent favorable impact from lower OEM payments, discussed above, and a 1 percent increase from acquisitions, net of divestitures. The increase in operational segment profit is due to the favorable impact from higher price and productivity, net of inflation, and commercial demand partially offset by increased research, development and engineering investments. Cost of products and services sold totaled $9.0 billion in 2012, an increase of approximately $324 million from 2011 which is primarily a result of the factors discussed above (excluding price).</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2011 compared with 2010</w:t>
      </w:r>
    </w:p>
    <w:p>
      <w:pPr>
        <w:spacing w:after="0" w:line="116"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Aerospace sales increased by 7 percent in 2011 compared with 2010 primarily due to an increase in organic growth of 7 percent primarily due to increased commercial sales volume.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Details regarding the increase in sales by customer end-markets are as follows:</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Commercial OE sales increased by 15 percent (11 percent organic) in 2011 compared with 2010.</w:t>
      </w:r>
    </w:p>
    <w:p>
      <w:pPr>
        <w:spacing w:after="0" w:line="160" w:lineRule="exact"/>
        <w:rPr>
          <w:sz w:val="20"/>
          <w:szCs w:val="20"/>
          <w:color w:val="auto"/>
        </w:rPr>
      </w:pPr>
    </w:p>
    <w:p>
      <w:pPr>
        <w:ind w:left="540" w:hanging="158"/>
        <w:spacing w:after="0" w:line="245"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Air transport and regional OE sales increased by 6 percent in 2011 primarily driven by higher sales to our OE customers, consistent with higher production rates, platform mix and a higher win rate on selectables (components selected by purchasers of new aircraft).</w:t>
      </w:r>
    </w:p>
    <w:p>
      <w:pPr>
        <w:spacing w:after="0" w:line="100" w:lineRule="exact"/>
        <w:rPr>
          <w:rFonts w:ascii="Arial" w:cs="Arial" w:eastAsia="Arial" w:hAnsi="Arial"/>
          <w:sz w:val="19"/>
          <w:szCs w:val="19"/>
          <w:color w:val="auto"/>
        </w:rPr>
      </w:pPr>
    </w:p>
    <w:p>
      <w:pPr>
        <w:ind w:left="540" w:right="120" w:hanging="158"/>
        <w:spacing w:after="0" w:line="245"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Business and general aviation OE sales increased by 41 percent (24 percent organic) in 2011 due to a rebound from near trough levels in 2010 and strong demand in the business jet end market, favorable platform mix, growth from acquisitions and lower OEM Payments during 2011.</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Commercial aftermarket sales increased by 18 percent in 2011 compared to 2010.</w:t>
      </w:r>
    </w:p>
    <w:p>
      <w:pPr>
        <w:spacing w:after="0" w:line="160" w:lineRule="exact"/>
        <w:rPr>
          <w:sz w:val="20"/>
          <w:szCs w:val="20"/>
          <w:color w:val="auto"/>
        </w:rPr>
      </w:pPr>
    </w:p>
    <w:p>
      <w:pPr>
        <w:ind w:left="540" w:right="20" w:hanging="158"/>
        <w:spacing w:after="0" w:line="245"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Air transport and regional aftermarket sales increased by 16 percent in 2011 primarily due to (i) increased maintenance activity and spare parts sales driven by an approximately 6 percent increase in global flying hours, (ii) increased sales of avionics upgrades, and (iii) changes in customer buying patterns relating to spare parts and maintenance activity.</w:t>
      </w:r>
    </w:p>
    <w:p>
      <w:pPr>
        <w:spacing w:after="0" w:line="100" w:lineRule="exact"/>
        <w:rPr>
          <w:rFonts w:ascii="Arial" w:cs="Arial" w:eastAsia="Arial" w:hAnsi="Arial"/>
          <w:sz w:val="19"/>
          <w:szCs w:val="19"/>
          <w:color w:val="auto"/>
        </w:rPr>
      </w:pPr>
    </w:p>
    <w:p>
      <w:pPr>
        <w:ind w:left="540" w:right="380" w:hanging="158"/>
        <w:spacing w:after="0" w:line="25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Business and general aviation aftermarket sales increased by 24 percent in 2011 primarily due to increased sales of spare parts and revenue associated with maintenance service agreements.</w:t>
      </w:r>
    </w:p>
    <w:p>
      <w:pPr>
        <w:spacing w:after="0" w:line="80" w:lineRule="exact"/>
        <w:rPr>
          <w:sz w:val="20"/>
          <w:szCs w:val="20"/>
          <w:color w:val="auto"/>
        </w:rPr>
      </w:pPr>
    </w:p>
    <w:p>
      <w:pPr>
        <w:ind w:left="360" w:right="480"/>
        <w:spacing w:after="0" w:line="253" w:lineRule="auto"/>
        <w:rPr>
          <w:sz w:val="20"/>
          <w:szCs w:val="20"/>
          <w:color w:val="auto"/>
        </w:rPr>
      </w:pPr>
      <w:r>
        <w:rPr>
          <w:rFonts w:ascii="Arial" w:cs="Arial" w:eastAsia="Arial" w:hAnsi="Arial"/>
          <w:sz w:val="19"/>
          <w:szCs w:val="19"/>
          <w:color w:val="auto"/>
        </w:rPr>
        <w:t>Defense and space sales decreased by 2 percent (negative 3 percent organic) in 2011 primarily due to anticipated program ramp downs, partially offset by higher domestic and international</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8" w:name="page39"/>
    <w:bookmarkEnd w:id="38"/>
    <w:p>
      <w:pPr>
        <w:ind w:left="360"/>
        <w:spacing w:after="0"/>
        <w:rPr>
          <w:sz w:val="20"/>
          <w:szCs w:val="20"/>
          <w:color w:val="auto"/>
        </w:rPr>
      </w:pPr>
      <w:r>
        <w:rPr>
          <w:rFonts w:ascii="Arial" w:cs="Arial" w:eastAsia="Arial" w:hAnsi="Arial"/>
          <w:sz w:val="19"/>
          <w:szCs w:val="19"/>
          <w:color w:val="auto"/>
        </w:rPr>
        <w:t>aftermarket sales, increased unmanned aerial vehicle (UAV) shipments and the EMS acquisition (refer to Note 2).</w:t>
      </w:r>
    </w:p>
    <w:p>
      <w:pPr>
        <w:spacing w:after="0" w:line="10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Aerospace segment profit increased by 10 percent in 2011 compared to 2010 primarily due to an increase in operational segment profit of 9 percent and an increase of 1 percent due to lower OEM Payments made during 2011. The increase in operational segment profit is comprised of the positive impact from higher commercial aftermarket demand, price and productivity, net of inflation, partially offset by research, development and engineering investments. Cost of products and services sold totaled $8.7 billion in 2011, an increase of approximately $566 million from 2010 which is primarily a result of the factors discussed above (excluding price).</w:t>
      </w: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Aerospace’s primary areas of focus for 2013 include:</w:t>
      </w:r>
    </w:p>
    <w:p>
      <w:pPr>
        <w:spacing w:after="0" w:line="160" w:lineRule="exact"/>
        <w:rPr>
          <w:sz w:val="20"/>
          <w:szCs w:val="20"/>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Global pursuit of new commercial, defense and space programs;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Driving customer satisfaction through operational excellence (product quality, cycle time reduction, and supplier management);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Aligning research and development and customer support costs with customer requirements and demand for new platforms;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Expanding sales and operations in international locations;</w:t>
      </w:r>
    </w:p>
    <w:p>
      <w:pPr>
        <w:spacing w:after="0" w:line="132" w:lineRule="exact"/>
        <w:rPr>
          <w:rFonts w:ascii="Arial" w:cs="Arial" w:eastAsia="Arial" w:hAnsi="Arial"/>
          <w:sz w:val="19"/>
          <w:szCs w:val="19"/>
          <w:color w:val="auto"/>
        </w:rPr>
      </w:pPr>
    </w:p>
    <w:p>
      <w:pPr>
        <w:ind w:left="540" w:right="180" w:hanging="15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Focusing on cost structure initiatives to maintain profitability in face of economic uncertainty and potential defense and space budget reductions and program specific appropriations;</w:t>
      </w:r>
    </w:p>
    <w:p>
      <w:pPr>
        <w:spacing w:after="0" w:line="93" w:lineRule="exact"/>
        <w:rPr>
          <w:rFonts w:ascii="Arial" w:cs="Arial" w:eastAsia="Arial" w:hAnsi="Arial"/>
          <w:sz w:val="19"/>
          <w:szCs w:val="19"/>
          <w:color w:val="auto"/>
        </w:rPr>
      </w:pPr>
    </w:p>
    <w:p>
      <w:pPr>
        <w:ind w:left="540" w:right="280" w:hanging="15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Continuing to design equipment that enhances the safety, performance and durability of aerospace and defense equipment, while reducing weight and operating costs; and</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Continued deployment and optimization of our common enterprise resource planning (ERP) system.</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 (ACS)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ACS provides innovative products and solutions that make homes, buildings, industrial sites and infrastructure more efficient, safe and comfortable. Our ACS products and services include controls and displays for heating, cooling, indoor air quality, ventilation, humidification, combustion, lighting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remote patient monitoring systems; products for automatic identification and data collection; installation, maintenance and upgrades of systems that keep buildings safe, comfortable and productive; and automation and control solutions for industrial plants, including field instruments and advanced software and automation systems that integrate, control and monitor complex processes in many types of industrial settings as well as equipment that controls, measures and analyzes natural gas production and transportation.</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ACS’s operating results are principally impacted by:</w:t>
      </w:r>
    </w:p>
    <w:p>
      <w:pPr>
        <w:spacing w:after="0" w:line="160" w:lineRule="exact"/>
        <w:rPr>
          <w:sz w:val="20"/>
          <w:szCs w:val="20"/>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Economic conditions and growth rates in developed (North America, Europe and Australia) and high growth regions;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Industrial production and global commercial construction (including retrofits and upgrades);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Demand for residential security, environmental control retrofits and upgrades and energy efficient products and solutions;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Government and public sector spending;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9" w:name="page40"/>
    <w:bookmarkEnd w:id="39"/>
    <w:p>
      <w:pPr>
        <w:ind w:left="540" w:right="880" w:hanging="15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strength of global capital and operating spending on process (including petrochemical and refining) and building automation;</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Inventory levels in distribution channels;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Changes to energy, fire, security, health care, safety and environmental concerns and regulations.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4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rPr>
              <w:t>2010</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r>
      <w:tr>
        <w:trPr>
          <w:trHeight w:val="264"/>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15,880</w:t>
            </w: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15,535</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97"/>
              </w:rPr>
              <w:t>2 %</w:t>
            </w:r>
          </w:p>
        </w:tc>
        <w:tc>
          <w:tcPr>
            <w:tcW w:w="2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13,749</w:t>
            </w:r>
          </w:p>
        </w:tc>
        <w:tc>
          <w:tcPr>
            <w:tcW w:w="6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13 %</w:t>
            </w:r>
          </w:p>
        </w:tc>
      </w:tr>
      <w:tr>
        <w:trPr>
          <w:trHeight w:val="270"/>
        </w:trPr>
        <w:tc>
          <w:tcPr>
            <w:tcW w:w="4840" w:type="dxa"/>
            <w:vAlign w:val="bottom"/>
          </w:tcPr>
          <w:p>
            <w:pPr>
              <w:ind w:left="20"/>
              <w:spacing w:after="0"/>
              <w:rPr>
                <w:sz w:val="20"/>
                <w:szCs w:val="20"/>
                <w:color w:val="auto"/>
              </w:rPr>
            </w:pPr>
            <w:r>
              <w:rPr>
                <w:rFonts w:ascii="Arial" w:cs="Arial" w:eastAsia="Arial" w:hAnsi="Arial"/>
                <w:sz w:val="19"/>
                <w:szCs w:val="19"/>
                <w:color w:val="auto"/>
              </w:rPr>
              <w:t>Cost of products and services sold</w:t>
            </w:r>
          </w:p>
        </w:tc>
        <w:tc>
          <w:tcPr>
            <w:tcW w:w="220" w:type="dxa"/>
            <w:vAlign w:val="bottom"/>
          </w:tcPr>
          <w:p>
            <w:pPr>
              <w:spacing w:after="0"/>
              <w:rPr>
                <w:sz w:val="23"/>
                <w:szCs w:val="23"/>
                <w:color w:val="auto"/>
              </w:rPr>
            </w:pPr>
          </w:p>
        </w:tc>
        <w:tc>
          <w:tcPr>
            <w:tcW w:w="760" w:type="dxa"/>
            <w:vAlign w:val="bottom"/>
          </w:tcPr>
          <w:p>
            <w:pPr>
              <w:jc w:val="right"/>
              <w:ind w:right="6"/>
              <w:spacing w:after="0"/>
              <w:rPr>
                <w:sz w:val="20"/>
                <w:szCs w:val="20"/>
                <w:color w:val="auto"/>
              </w:rPr>
            </w:pPr>
            <w:r>
              <w:rPr>
                <w:rFonts w:ascii="Arial" w:cs="Arial" w:eastAsia="Arial" w:hAnsi="Arial"/>
                <w:sz w:val="19"/>
                <w:szCs w:val="19"/>
                <w:color w:val="auto"/>
              </w:rPr>
              <w:t>10,691</w:t>
            </w: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10,448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9,312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2,790</w:t>
            </w: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2,819</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6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2,480</w:t>
            </w:r>
          </w:p>
        </w:tc>
        <w:tc>
          <w:tcPr>
            <w:tcW w:w="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9"/>
                <w:szCs w:val="19"/>
                <w:color w:val="auto"/>
              </w:rPr>
              <w:t>Other</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167</w:t>
            </w: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w:t>
            </w:r>
          </w:p>
        </w:tc>
        <w:tc>
          <w:tcPr>
            <w:tcW w:w="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4"/>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2,232</w:t>
            </w:r>
          </w:p>
        </w:tc>
        <w:tc>
          <w:tcPr>
            <w:tcW w:w="300" w:type="dxa"/>
            <w:vAlign w:val="bottom"/>
            <w:gridSpan w:val="2"/>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2,083</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8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w w:val="97"/>
              </w:rPr>
              <w:t>7 %</w:t>
            </w: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1,770</w:t>
            </w:r>
          </w:p>
        </w:tc>
        <w:tc>
          <w:tcPr>
            <w:tcW w:w="60" w:type="dxa"/>
            <w:vAlign w:val="bottom"/>
            <w:tcBorders>
              <w:bottom w:val="single" w:sz="8" w:color="auto"/>
            </w:tcBorders>
            <w:shd w:val="clear" w:color="auto" w:fill="E5FFFF"/>
          </w:tcPr>
          <w:p>
            <w:pPr>
              <w:spacing w:after="0"/>
              <w:rPr>
                <w:sz w:val="23"/>
                <w:szCs w:val="23"/>
                <w:color w:val="auto"/>
              </w:rPr>
            </w:pPr>
          </w:p>
        </w:tc>
        <w:tc>
          <w:tcPr>
            <w:tcW w:w="10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18 %</w:t>
            </w:r>
          </w:p>
        </w:tc>
      </w:tr>
      <w:tr>
        <w:trPr>
          <w:trHeight w:val="291"/>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7"/>
          </w:tcPr>
          <w:p>
            <w:pPr>
              <w:ind w:left="440"/>
              <w:spacing w:after="0"/>
              <w:rPr>
                <w:sz w:val="20"/>
                <w:szCs w:val="20"/>
                <w:color w:val="auto"/>
              </w:rPr>
            </w:pPr>
            <w:r>
              <w:rPr>
                <w:rFonts w:ascii="Arial" w:cs="Arial" w:eastAsia="Arial" w:hAnsi="Arial"/>
                <w:sz w:val="16"/>
                <w:szCs w:val="16"/>
                <w:b w:val="1"/>
                <w:bCs w:val="1"/>
                <w:color w:val="auto"/>
              </w:rPr>
              <w:t>2012 vs. 2011</w:t>
            </w:r>
          </w:p>
        </w:tc>
        <w:tc>
          <w:tcPr>
            <w:tcW w:w="180" w:type="dxa"/>
            <w:vAlign w:val="bottom"/>
          </w:tcPr>
          <w:p>
            <w:pPr>
              <w:spacing w:after="0"/>
              <w:rPr>
                <w:sz w:val="24"/>
                <w:szCs w:val="24"/>
                <w:color w:val="auto"/>
              </w:rPr>
            </w:pPr>
          </w:p>
        </w:tc>
        <w:tc>
          <w:tcPr>
            <w:tcW w:w="1860" w:type="dxa"/>
            <w:vAlign w:val="bottom"/>
            <w:gridSpan w:val="5"/>
          </w:tcPr>
          <w:p>
            <w:pPr>
              <w:jc w:val="right"/>
              <w:ind w:right="341"/>
              <w:spacing w:after="0"/>
              <w:rPr>
                <w:sz w:val="20"/>
                <w:szCs w:val="20"/>
                <w:color w:val="auto"/>
              </w:rPr>
            </w:pPr>
            <w:r>
              <w:rPr>
                <w:rFonts w:ascii="Arial" w:cs="Arial" w:eastAsia="Arial" w:hAnsi="Arial"/>
                <w:sz w:val="16"/>
                <w:szCs w:val="16"/>
                <w:b w:val="1"/>
                <w:bCs w:val="1"/>
                <w:color w:val="auto"/>
              </w:rPr>
              <w:t>2011 vs. 2010</w:t>
            </w:r>
          </w:p>
        </w:tc>
      </w:tr>
      <w:tr>
        <w:trPr>
          <w:trHeight w:val="168"/>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80"/>
              <w:spacing w:after="0" w:line="168" w:lineRule="exact"/>
              <w:rPr>
                <w:sz w:val="20"/>
                <w:szCs w:val="20"/>
                <w:color w:val="auto"/>
              </w:rPr>
            </w:pPr>
            <w:r>
              <w:rPr>
                <w:rFonts w:ascii="Arial" w:cs="Arial" w:eastAsia="Arial" w:hAnsi="Arial"/>
                <w:sz w:val="16"/>
                <w:szCs w:val="16"/>
                <w:b w:val="1"/>
                <w:bCs w:val="1"/>
                <w:color w:val="auto"/>
              </w:rPr>
              <w:t>Segment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1"/>
              <w:spacing w:after="0" w:line="168" w:lineRule="exact"/>
              <w:rPr>
                <w:sz w:val="20"/>
                <w:szCs w:val="20"/>
                <w:color w:val="auto"/>
              </w:rPr>
            </w:pPr>
            <w:r>
              <w:rPr>
                <w:rFonts w:ascii="Arial" w:cs="Arial" w:eastAsia="Arial" w:hAnsi="Arial"/>
                <w:sz w:val="16"/>
                <w:szCs w:val="16"/>
                <w:b w:val="1"/>
                <w:bCs w:val="1"/>
                <w:color w:val="auto"/>
              </w:rPr>
              <w:t>Segment</w:t>
            </w:r>
          </w:p>
        </w:tc>
      </w:tr>
      <w:tr>
        <w:trPr>
          <w:trHeight w:val="20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Factors Contributing to Year-Over-Year Change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Sales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Profit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Sales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Profit</w:t>
            </w:r>
          </w:p>
        </w:tc>
      </w:tr>
      <w:tr>
        <w:trPr>
          <w:trHeight w:val="264"/>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Organic growth/ Operational segment profit</w:t>
            </w:r>
          </w:p>
        </w:tc>
        <w:tc>
          <w:tcPr>
            <w:tcW w:w="22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80" w:type="dxa"/>
            <w:vAlign w:val="bottom"/>
            <w:gridSpan w:val="3"/>
            <w:shd w:val="clear" w:color="auto" w:fill="E5FFFF"/>
          </w:tcPr>
          <w:p>
            <w:pPr>
              <w:jc w:val="right"/>
              <w:ind w:right="120"/>
              <w:spacing w:after="0"/>
              <w:rPr>
                <w:sz w:val="20"/>
                <w:szCs w:val="20"/>
                <w:color w:val="auto"/>
              </w:rPr>
            </w:pPr>
            <w:r>
              <w:rPr>
                <w:rFonts w:ascii="Arial" w:cs="Arial" w:eastAsia="Arial" w:hAnsi="Arial"/>
                <w:sz w:val="19"/>
                <w:szCs w:val="19"/>
                <w:color w:val="auto"/>
              </w:rPr>
              <w:t>8 %</w:t>
            </w:r>
          </w:p>
        </w:tc>
        <w:tc>
          <w:tcPr>
            <w:tcW w:w="1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6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9 %</w:t>
            </w:r>
          </w:p>
        </w:tc>
      </w:tr>
      <w:tr>
        <w:trPr>
          <w:trHeight w:val="270"/>
        </w:trPr>
        <w:tc>
          <w:tcPr>
            <w:tcW w:w="484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(2 )%</w:t>
            </w:r>
          </w:p>
        </w:tc>
        <w:tc>
          <w:tcPr>
            <w:tcW w:w="22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9"/>
                <w:szCs w:val="19"/>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2 %</w:t>
            </w:r>
          </w:p>
        </w:tc>
        <w:tc>
          <w:tcPr>
            <w:tcW w:w="60" w:type="dxa"/>
            <w:vAlign w:val="bottom"/>
          </w:tcPr>
          <w:p>
            <w:pPr>
              <w:spacing w:after="0"/>
              <w:rPr>
                <w:sz w:val="23"/>
                <w:szCs w:val="23"/>
                <w:color w:val="auto"/>
              </w:rPr>
            </w:pPr>
          </w:p>
        </w:tc>
        <w:tc>
          <w:tcPr>
            <w:tcW w:w="1040" w:type="dxa"/>
            <w:vAlign w:val="bottom"/>
            <w:gridSpan w:val="3"/>
          </w:tcPr>
          <w:p>
            <w:pPr>
              <w:jc w:val="right"/>
              <w:ind w:right="1"/>
              <w:spacing w:after="0"/>
              <w:rPr>
                <w:sz w:val="20"/>
                <w:szCs w:val="20"/>
                <w:color w:val="auto"/>
              </w:rPr>
            </w:pPr>
            <w:r>
              <w:rPr>
                <w:rFonts w:ascii="Arial" w:cs="Arial" w:eastAsia="Arial" w:hAnsi="Arial"/>
                <w:sz w:val="19"/>
                <w:szCs w:val="19"/>
                <w:color w:val="auto"/>
              </w:rPr>
              <w:t>3 %</w:t>
            </w:r>
          </w:p>
        </w:tc>
      </w:tr>
      <w:tr>
        <w:trPr>
          <w:trHeight w:val="270"/>
        </w:trPr>
        <w:tc>
          <w:tcPr>
            <w:tcW w:w="4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Acquisitions and divestitures, net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80" w:type="dxa"/>
            <w:vAlign w:val="bottom"/>
            <w:tcBorders>
              <w:bottom w:val="single" w:sz="8" w:color="auto"/>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2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1 %</w:t>
            </w:r>
          </w:p>
        </w:tc>
        <w:tc>
          <w:tcPr>
            <w:tcW w:w="1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6 %</w:t>
            </w:r>
          </w:p>
        </w:tc>
        <w:tc>
          <w:tcPr>
            <w:tcW w:w="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9"/>
                <w:szCs w:val="19"/>
                <w:color w:val="auto"/>
              </w:rPr>
              <w:t>6 %</w:t>
            </w:r>
          </w:p>
        </w:tc>
      </w:tr>
      <w:tr>
        <w:trPr>
          <w:trHeight w:val="304"/>
        </w:trPr>
        <w:tc>
          <w:tcPr>
            <w:tcW w:w="4840" w:type="dxa"/>
            <w:vAlign w:val="bottom"/>
          </w:tcPr>
          <w:p>
            <w:pPr>
              <w:ind w:left="380"/>
              <w:spacing w:after="0"/>
              <w:rPr>
                <w:sz w:val="20"/>
                <w:szCs w:val="20"/>
                <w:color w:val="auto"/>
              </w:rPr>
            </w:pPr>
            <w:r>
              <w:rPr>
                <w:rFonts w:ascii="Arial" w:cs="Arial" w:eastAsia="Arial" w:hAnsi="Arial"/>
                <w:sz w:val="19"/>
                <w:szCs w:val="19"/>
                <w:color w:val="auto"/>
              </w:rPr>
              <w:t>Total % Change</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9"/>
                <w:szCs w:val="19"/>
                <w:color w:val="auto"/>
              </w:rPr>
              <w:t>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13 %</w:t>
            </w:r>
          </w:p>
        </w:tc>
        <w:tc>
          <w:tcPr>
            <w:tcW w:w="60" w:type="dxa"/>
            <w:vAlign w:val="bottom"/>
          </w:tcPr>
          <w:p>
            <w:pPr>
              <w:spacing w:after="0"/>
              <w:rPr>
                <w:sz w:val="24"/>
                <w:szCs w:val="24"/>
                <w:color w:val="auto"/>
              </w:rPr>
            </w:pPr>
          </w:p>
        </w:tc>
        <w:tc>
          <w:tcPr>
            <w:tcW w:w="1040" w:type="dxa"/>
            <w:vAlign w:val="bottom"/>
            <w:gridSpan w:val="3"/>
          </w:tcPr>
          <w:p>
            <w:pPr>
              <w:jc w:val="right"/>
              <w:ind w:right="1"/>
              <w:spacing w:after="0"/>
              <w:rPr>
                <w:sz w:val="20"/>
                <w:szCs w:val="20"/>
                <w:color w:val="auto"/>
              </w:rPr>
            </w:pPr>
            <w:r>
              <w:rPr>
                <w:rFonts w:ascii="Arial" w:cs="Arial" w:eastAsia="Arial" w:hAnsi="Arial"/>
                <w:sz w:val="19"/>
                <w:szCs w:val="19"/>
                <w:color w:val="auto"/>
              </w:rPr>
              <w:t>18 %</w:t>
            </w:r>
          </w:p>
        </w:tc>
      </w:tr>
      <w:tr>
        <w:trPr>
          <w:trHeight w:val="20"/>
        </w:trPr>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2012 compared with 2011</w:t>
      </w:r>
    </w:p>
    <w:p>
      <w:pPr>
        <w:spacing w:after="0" w:line="130" w:lineRule="exact"/>
        <w:rPr>
          <w:sz w:val="20"/>
          <w:szCs w:val="20"/>
          <w:color w:val="auto"/>
        </w:rPr>
      </w:pPr>
    </w:p>
    <w:p>
      <w:pPr>
        <w:ind w:right="300" w:firstLine="357"/>
        <w:spacing w:after="0" w:line="245" w:lineRule="auto"/>
        <w:rPr>
          <w:sz w:val="20"/>
          <w:szCs w:val="20"/>
          <w:color w:val="auto"/>
        </w:rPr>
      </w:pPr>
      <w:r>
        <w:rPr>
          <w:rFonts w:ascii="Arial" w:cs="Arial" w:eastAsia="Arial" w:hAnsi="Arial"/>
          <w:sz w:val="19"/>
          <w:szCs w:val="19"/>
          <w:color w:val="auto"/>
        </w:rPr>
        <w:t>Automation and Control Solutions (“ACS”) sales increased by 2 percent in 2012 compared with 2011, primarily due to a 3 percent increase in organic revenue driven by increased sales volume and 1 percent growth from acquisitions, net of divestitures, partially offset by the unfavorable impact of foreign exchange.</w:t>
      </w:r>
    </w:p>
    <w:p>
      <w:pPr>
        <w:spacing w:after="0" w:line="141" w:lineRule="exact"/>
        <w:rPr>
          <w:sz w:val="20"/>
          <w:szCs w:val="20"/>
          <w:color w:val="auto"/>
        </w:rPr>
      </w:pPr>
    </w:p>
    <w:p>
      <w:pPr>
        <w:ind w:left="540" w:right="100" w:hanging="158"/>
        <w:spacing w:after="0"/>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Sales in our Energy, Safety &amp; Security businesses increased by 2 percent (1 percent organic) in 2012 principally due to (i) the positive impact of acquisitions (most significantly EMS Technologies, Inc. and King’s Safetywear Limited), net of divestitures, (ii) higher sales volumes due to contract wins and new product introductions in the scanning and mobility business, (iii) higher sales volumes due to improved U.S. residential market conditions and new product introductions in the security business, partially offset by (i) the unfavorable impact of foreign exchange, (ii) lower sales volume in Europe and (iii) decreases in sales volumes of our personal protective equipment and sensing and control products primarily the result of softness in industrial end markets.</w:t>
      </w:r>
    </w:p>
    <w:p>
      <w:pPr>
        <w:spacing w:after="0" w:line="91" w:lineRule="exact"/>
        <w:rPr>
          <w:rFonts w:ascii="Arial" w:cs="Arial" w:eastAsia="Arial" w:hAnsi="Arial"/>
          <w:sz w:val="19"/>
          <w:szCs w:val="19"/>
          <w:color w:val="auto"/>
        </w:rPr>
      </w:pPr>
    </w:p>
    <w:p>
      <w:pPr>
        <w:ind w:left="540" w:right="200" w:hanging="158"/>
        <w:spacing w:after="0" w:line="241"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Sales in our Process Solutions business increased 3 percent (6 percent organic) in 2012 principally due to increased conversion to sales from backlog, partially offset by the unfavorable impact of foreign exchange. Project orders decreased in the second half of 2012 compared to the corresponding period in 2011 primarily driven by extension of project timing by customers and higher than typical project orders in the fourth quarter of 2011, which we expect will lead to more moderate growth rates in 2013.</w:t>
      </w:r>
    </w:p>
    <w:p>
      <w:pPr>
        <w:spacing w:after="0" w:line="104" w:lineRule="exact"/>
        <w:rPr>
          <w:rFonts w:ascii="Arial" w:cs="Arial" w:eastAsia="Arial" w:hAnsi="Arial"/>
          <w:sz w:val="19"/>
          <w:szCs w:val="19"/>
          <w:color w:val="auto"/>
        </w:rPr>
      </w:pPr>
    </w:p>
    <w:p>
      <w:pPr>
        <w:ind w:left="540" w:hanging="158"/>
        <w:spacing w:after="0" w:line="241" w:lineRule="auto"/>
        <w:tabs>
          <w:tab w:leader="none" w:pos="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Sales in our Building Solutions &amp; Distribution businesses increased by 3 percent (4 percent organic) in 2012 principally due to growth in our Building Solutions business reflecting conversion to sales from backlog and increased sales volume in our Americas Distribution business due to improved U.S. residential market conditions, partially offset by the unfavorable impact of foreign exchange and softness in the energy retrofit business. Project orders decreased in the fourth quarter of 2012 principally due to extension of project timing by customers and softness in the energy retrofit business.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26" w:right="279" w:bottom="1440" w:gutter="0" w:footer="0" w:header="0"/>
        </w:sectPr>
      </w:pPr>
    </w:p>
    <w:bookmarkStart w:id="40" w:name="page41"/>
    <w:bookmarkEnd w:id="40"/>
    <w:p>
      <w:pPr>
        <w:ind w:right="60" w:firstLine="357"/>
        <w:spacing w:after="0" w:line="241" w:lineRule="auto"/>
        <w:rPr>
          <w:sz w:val="20"/>
          <w:szCs w:val="20"/>
          <w:color w:val="auto"/>
        </w:rPr>
      </w:pPr>
      <w:r>
        <w:rPr>
          <w:rFonts w:ascii="Arial" w:cs="Arial" w:eastAsia="Arial" w:hAnsi="Arial"/>
          <w:sz w:val="19"/>
          <w:szCs w:val="19"/>
          <w:color w:val="auto"/>
        </w:rPr>
        <w:t>ACS segment profit increased by 7 percent in 2012 compared with 2011 due to a 8 percent increase in operational segment profit and a 1 percent increase from acquisitions, net of divestitures partially offset by a 2 percent unfavorable impact of foreign exchange. The increase in operational segment profit is primarily the result of the positive impact from price and productivity, net of inflation. Cost of products and services sold totaled $10.7 billion in 2012, an increase of $ 243 million which is primarily due to higher sales, inflation and acquisitions, net of divestitures partially offset by the favorable impact of foreign exchange and productivity.</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2011 compared with 2010</w:t>
      </w:r>
    </w:p>
    <w:p>
      <w:pPr>
        <w:spacing w:after="0" w:line="130" w:lineRule="exact"/>
        <w:rPr>
          <w:sz w:val="20"/>
          <w:szCs w:val="20"/>
          <w:color w:val="auto"/>
        </w:rPr>
      </w:pPr>
    </w:p>
    <w:p>
      <w:pPr>
        <w:ind w:right="280" w:firstLine="357"/>
        <w:spacing w:after="0" w:line="242" w:lineRule="auto"/>
        <w:rPr>
          <w:sz w:val="20"/>
          <w:szCs w:val="20"/>
          <w:color w:val="auto"/>
        </w:rPr>
      </w:pPr>
      <w:r>
        <w:rPr>
          <w:rFonts w:ascii="Arial" w:cs="Arial" w:eastAsia="Arial" w:hAnsi="Arial"/>
          <w:sz w:val="19"/>
          <w:szCs w:val="19"/>
          <w:color w:val="auto"/>
        </w:rPr>
        <w:t>ACS sales increased by 13 percent in 2011 compared with 2010, primarily due to a 6 percent growth from acquisitions, net of divestitures, 5 percent increase in organic revenue driven by increased sales volume and higher prices and 2 percent favorable impact of foreign exchange through the first nine months partially offset by the negative impact of foreign exchange in the fourth quarter.</w:t>
      </w:r>
    </w:p>
    <w:p>
      <w:pPr>
        <w:spacing w:after="0" w:line="145" w:lineRule="exact"/>
        <w:rPr>
          <w:sz w:val="20"/>
          <w:szCs w:val="20"/>
          <w:color w:val="auto"/>
        </w:rPr>
      </w:pPr>
    </w:p>
    <w:p>
      <w:pPr>
        <w:ind w:left="540" w:hanging="158"/>
        <w:spacing w:after="0" w:line="245"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Sales in our Energy, Safety &amp; Security businesses increased by 17 percent (6 percent organically) in 2011 principally due to (i) the positive impact of acquisitions (most significantly Sperian and EMS), net of divestitures (ii) higher sales volume due to general industrial recovery and new product introductions and (iii) the favorable impact of foreign exchange.</w:t>
      </w:r>
    </w:p>
    <w:p>
      <w:pPr>
        <w:spacing w:after="0" w:line="100" w:lineRule="exact"/>
        <w:rPr>
          <w:rFonts w:ascii="Arial" w:cs="Arial" w:eastAsia="Arial" w:hAnsi="Arial"/>
          <w:sz w:val="19"/>
          <w:szCs w:val="19"/>
          <w:color w:val="auto"/>
        </w:rPr>
      </w:pPr>
    </w:p>
    <w:p>
      <w:pPr>
        <w:ind w:left="540" w:right="80" w:hanging="158"/>
        <w:spacing w:after="0" w:line="242"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Sales in our Process Solutions increased 12 percent (6 percent organically) in 2011 principally due to (i) increased volume reflecting conversion to sales from backlog (ii) the favorable impact of foreign exchange and (iii) the impact of acquisitions. Orders increased in 2011 compared to 2010 primarily driven by continued favorable macro trends in oil and gas infrastructure projects, growth in emerging regions and the positive impact of foreign exchange.</w:t>
      </w:r>
    </w:p>
    <w:p>
      <w:pPr>
        <w:spacing w:after="0" w:line="104" w:lineRule="exact"/>
        <w:rPr>
          <w:rFonts w:ascii="Arial" w:cs="Arial" w:eastAsia="Arial" w:hAnsi="Arial"/>
          <w:sz w:val="19"/>
          <w:szCs w:val="19"/>
          <w:color w:val="auto"/>
        </w:rPr>
      </w:pPr>
    </w:p>
    <w:p>
      <w:pPr>
        <w:ind w:left="540" w:hanging="158"/>
        <w:spacing w:after="0" w:line="24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Sales in our Building Solutions &amp; Distribution increased by 6 percent (4 percent organically) in 2011 driven principally due to (i) volume growth in our Building Solutions business reflecting conversion to sales from order backlog and increased sales volume in our Distribution business (ii) the favorable impact of foreign exchange and (iii) the impact of acquisitions, net of divestitures.</w:t>
      </w:r>
    </w:p>
    <w:p>
      <w:pPr>
        <w:spacing w:after="0" w:line="309"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ACS segment profit increased by 18 percent in 2011 compared with 2010 due to a 9 percent increase in operational segment profit, 6 percent increase from acquisitions, net of divestitures and 3 percent positive impact of foreign exchange. The increase in operational segment profit is comprised of an approximate 5 percent positive impact from price and productivity, net of inflation and investment for growth and a 4 percent positive impact from higher sales volumes. Cost of products and services sold totaled $10.4 billion in 2011, an increase of approximately $1.1 billion which is primarily due to acquisitions, net of divestitures, higher sales volume, foreign exchange and inflation partially offset by positive impact from productivity.</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ACS’s primary areas of focus for 2013 include:</w:t>
      </w:r>
    </w:p>
    <w:p>
      <w:pPr>
        <w:spacing w:after="0" w:line="160" w:lineRule="exact"/>
        <w:rPr>
          <w:sz w:val="20"/>
          <w:szCs w:val="20"/>
          <w:color w:val="auto"/>
        </w:rPr>
      </w:pPr>
    </w:p>
    <w:p>
      <w:pPr>
        <w:ind w:left="540" w:right="220" w:hanging="158"/>
        <w:spacing w:after="0" w:line="253" w:lineRule="auto"/>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Extending technology leadership through continued investment in new product development and introductions which deliver energy efficiency, lowest total installed cost and integrated solutions;</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Defending and extending our installed base through customer productivity and globalization;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Sustaining strong brand recognition through our brand and channel management;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Continuing to identify, execute and integrate acquisitions in or adjacent to the markets which we serve;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Continuing to establish and grow presence and capability in high growth regions;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Continued deployment and optimization of our common ERP system;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Continued proactive cost actions and successful execution of repositioning actions.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Performance Materials and Technologies (PMT)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Performance Materials and Technologies develops and manufactures high-purity, high-quality and high-performance chemicals and materials for applications in the refining, petrochemical, automotive, healthcare, agricultural, packaging, refrigeration, appliance, housing, semiconductor, wax and adhesives segments. Performance Materials and Technologies also provides process technology, products, including catalysts and adsorbents, and services for the petroleum refining, gas processing, petrochemical, renewable energy and other industries. Performance Materials and Technologies’ product portfolio includes fluorocarbons, hydrofluoroolefins, caprolactam, resins, ammonium sulfate for fertilizer, phenol, specialty films, waxes, additives, advanced fibers, customized research chemicals and intermediates, electronic materials and chemicals, catalysts, and adsorbents.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Performance Materials and Technologies operating results are principally impacted by:</w:t>
      </w:r>
    </w:p>
    <w:p>
      <w:pPr>
        <w:spacing w:after="0" w:line="160" w:lineRule="exact"/>
        <w:rPr>
          <w:sz w:val="20"/>
          <w:szCs w:val="20"/>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Level and timing of capital spending and capacity and utilization rates in refining and petrochemical end markets;</w:t>
      </w:r>
    </w:p>
    <w:p>
      <w:pPr>
        <w:spacing w:after="0" w:line="132" w:lineRule="exact"/>
        <w:rPr>
          <w:rFonts w:ascii="Arial" w:cs="Arial" w:eastAsia="Arial" w:hAnsi="Arial"/>
          <w:sz w:val="19"/>
          <w:szCs w:val="19"/>
          <w:color w:val="auto"/>
        </w:rPr>
      </w:pPr>
    </w:p>
    <w:p>
      <w:pPr>
        <w:ind w:left="540" w:right="60" w:hanging="158"/>
        <w:spacing w:after="0" w:line="25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Pricing volatility and industry supply conditions for raw materials such as cumene, fluorspar, perchloroethylene, R240, natural gas, sulfur and ethylene;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Impact of environmental and energy efficiency regulations;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Global supply conditions and demand for non-ozone depleting, low global warming refrigerants and blowing agents;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Global supply conditions and demand for caprolactam, nylon resin and ammonium sulfate;</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Condition of the U.S. residential housing and non-residential industries and automotive demand;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Extent of change in order rates from global semiconductor customers; and</w:t>
      </w:r>
    </w:p>
    <w:p>
      <w:pPr>
        <w:spacing w:after="0" w:line="132" w:lineRule="exact"/>
        <w:rPr>
          <w:rFonts w:ascii="Arial" w:cs="Arial" w:eastAsia="Arial" w:hAnsi="Arial"/>
          <w:sz w:val="19"/>
          <w:szCs w:val="19"/>
          <w:color w:val="auto"/>
        </w:rPr>
      </w:pPr>
    </w:p>
    <w:p>
      <w:pPr>
        <w:ind w:left="540" w:right="960" w:hanging="158"/>
        <w:spacing w:after="0" w:line="25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Demand for new products including renewable energy and biofuels, low global warming products for insulation and refrigeration, additives, and enhanced nylon resin.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2011</w:t>
            </w: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2010</w:t>
            </w: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64"/>
        </w:trPr>
        <w:tc>
          <w:tcPr>
            <w:tcW w:w="5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6,184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5,659</w:t>
            </w:r>
          </w:p>
        </w:tc>
        <w:tc>
          <w:tcPr>
            <w:tcW w:w="40" w:type="dxa"/>
            <w:vAlign w:val="bottom"/>
            <w:shd w:val="clear" w:color="auto" w:fill="E5FFFF"/>
          </w:tcPr>
          <w:p>
            <w:pPr>
              <w:spacing w:after="0"/>
              <w:rPr>
                <w:sz w:val="22"/>
                <w:szCs w:val="22"/>
                <w:color w:val="auto"/>
              </w:rPr>
            </w:pPr>
          </w:p>
        </w:tc>
        <w:tc>
          <w:tcPr>
            <w:tcW w:w="9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9 %</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4,726</w:t>
            </w:r>
          </w:p>
        </w:tc>
        <w:tc>
          <w:tcPr>
            <w:tcW w:w="6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35"/>
              <w:spacing w:after="0"/>
              <w:rPr>
                <w:sz w:val="20"/>
                <w:szCs w:val="20"/>
                <w:color w:val="auto"/>
              </w:rPr>
            </w:pPr>
            <w:r>
              <w:rPr>
                <w:rFonts w:ascii="Arial" w:cs="Arial" w:eastAsia="Arial" w:hAnsi="Arial"/>
                <w:sz w:val="19"/>
                <w:szCs w:val="19"/>
                <w:color w:val="auto"/>
              </w:rPr>
              <w:t>20 %</w:t>
            </w:r>
          </w:p>
        </w:tc>
      </w:tr>
      <w:tr>
        <w:trPr>
          <w:trHeight w:val="270"/>
        </w:trPr>
        <w:tc>
          <w:tcPr>
            <w:tcW w:w="5220" w:type="dxa"/>
            <w:vAlign w:val="bottom"/>
          </w:tcPr>
          <w:p>
            <w:pPr>
              <w:ind w:left="20"/>
              <w:spacing w:after="0"/>
              <w:rPr>
                <w:sz w:val="20"/>
                <w:szCs w:val="20"/>
                <w:color w:val="auto"/>
              </w:rPr>
            </w:pPr>
            <w:r>
              <w:rPr>
                <w:rFonts w:ascii="Arial" w:cs="Arial" w:eastAsia="Arial" w:hAnsi="Arial"/>
                <w:sz w:val="19"/>
                <w:szCs w:val="19"/>
                <w:color w:val="auto"/>
              </w:rPr>
              <w:t>Cost of products and services sold</w:t>
            </w:r>
          </w:p>
        </w:tc>
        <w:tc>
          <w:tcPr>
            <w:tcW w:w="20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Arial" w:cs="Arial" w:eastAsia="Arial" w:hAnsi="Arial"/>
                <w:sz w:val="19"/>
                <w:szCs w:val="19"/>
                <w:color w:val="auto"/>
              </w:rPr>
              <w:t>4,543</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4,151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3,554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5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439</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420</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345</w:t>
            </w:r>
          </w:p>
        </w:tc>
        <w:tc>
          <w:tcPr>
            <w:tcW w:w="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48</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w:t>
            </w:r>
          </w:p>
        </w:tc>
        <w:tc>
          <w:tcPr>
            <w:tcW w:w="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4"/>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1,154</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1,042</w:t>
            </w:r>
          </w:p>
        </w:tc>
        <w:tc>
          <w:tcPr>
            <w:tcW w:w="40" w:type="dxa"/>
            <w:vAlign w:val="bottom"/>
            <w:tcBorders>
              <w:bottom w:val="single" w:sz="8" w:color="auto"/>
            </w:tcBorders>
            <w:shd w:val="clear" w:color="auto" w:fill="E5FFFF"/>
          </w:tcPr>
          <w:p>
            <w:pPr>
              <w:spacing w:after="0"/>
              <w:rPr>
                <w:sz w:val="23"/>
                <w:szCs w:val="23"/>
                <w:color w:val="auto"/>
              </w:rPr>
            </w:pPr>
          </w:p>
        </w:tc>
        <w:tc>
          <w:tcPr>
            <w:tcW w:w="9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11 %</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749</w:t>
            </w:r>
          </w:p>
        </w:tc>
        <w:tc>
          <w:tcPr>
            <w:tcW w:w="60" w:type="dxa"/>
            <w:vAlign w:val="bottom"/>
            <w:tcBorders>
              <w:bottom w:val="single" w:sz="8" w:color="auto"/>
            </w:tcBorders>
            <w:shd w:val="clear" w:color="auto" w:fill="E5FFFF"/>
          </w:tcPr>
          <w:p>
            <w:pPr>
              <w:spacing w:after="0"/>
              <w:rPr>
                <w:sz w:val="23"/>
                <w:szCs w:val="23"/>
                <w:color w:val="auto"/>
              </w:rPr>
            </w:pPr>
          </w:p>
        </w:tc>
        <w:tc>
          <w:tcPr>
            <w:tcW w:w="1040" w:type="dxa"/>
            <w:vAlign w:val="bottom"/>
            <w:gridSpan w:val="3"/>
            <w:shd w:val="clear" w:color="auto" w:fill="E5FFFF"/>
          </w:tcPr>
          <w:p>
            <w:pPr>
              <w:jc w:val="right"/>
              <w:ind w:right="35"/>
              <w:spacing w:after="0"/>
              <w:rPr>
                <w:sz w:val="20"/>
                <w:szCs w:val="20"/>
                <w:color w:val="auto"/>
              </w:rPr>
            </w:pPr>
            <w:r>
              <w:rPr>
                <w:rFonts w:ascii="Arial" w:cs="Arial" w:eastAsia="Arial" w:hAnsi="Arial"/>
                <w:sz w:val="19"/>
                <w:szCs w:val="19"/>
                <w:color w:val="auto"/>
              </w:rPr>
              <w:t>39 %</w:t>
            </w:r>
          </w:p>
        </w:tc>
      </w:tr>
      <w:tr>
        <w:trPr>
          <w:trHeight w:val="291"/>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7"/>
          </w:tcPr>
          <w:p>
            <w:pPr>
              <w:ind w:left="260"/>
              <w:spacing w:after="0"/>
              <w:rPr>
                <w:sz w:val="20"/>
                <w:szCs w:val="20"/>
                <w:color w:val="auto"/>
              </w:rPr>
            </w:pPr>
            <w:r>
              <w:rPr>
                <w:rFonts w:ascii="Arial" w:cs="Arial" w:eastAsia="Arial" w:hAnsi="Arial"/>
                <w:sz w:val="16"/>
                <w:szCs w:val="16"/>
                <w:b w:val="1"/>
                <w:bCs w:val="1"/>
                <w:color w:val="auto"/>
              </w:rPr>
              <w:t>2012 vs. 2011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right"/>
              <w:ind w:right="335"/>
              <w:spacing w:after="0"/>
              <w:rPr>
                <w:sz w:val="20"/>
                <w:szCs w:val="20"/>
                <w:color w:val="auto"/>
              </w:rPr>
            </w:pPr>
            <w:r>
              <w:rPr>
                <w:rFonts w:ascii="Arial" w:cs="Arial" w:eastAsia="Arial" w:hAnsi="Arial"/>
                <w:sz w:val="16"/>
                <w:szCs w:val="16"/>
                <w:b w:val="1"/>
                <w:bCs w:val="1"/>
                <w:color w:val="auto"/>
              </w:rPr>
              <w:t>2011 vs. 2010</w:t>
            </w:r>
          </w:p>
        </w:tc>
      </w:tr>
      <w:tr>
        <w:trPr>
          <w:trHeight w:val="168"/>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right="60"/>
              <w:spacing w:after="0" w:line="168" w:lineRule="exact"/>
              <w:rPr>
                <w:sz w:val="20"/>
                <w:szCs w:val="20"/>
                <w:color w:val="auto"/>
              </w:rPr>
            </w:pPr>
            <w:r>
              <w:rPr>
                <w:rFonts w:ascii="Arial" w:cs="Arial" w:eastAsia="Arial" w:hAnsi="Arial"/>
                <w:sz w:val="16"/>
                <w:szCs w:val="16"/>
                <w:b w:val="1"/>
                <w:bCs w:val="1"/>
                <w:color w:val="auto"/>
                <w:w w:val="97"/>
              </w:rPr>
              <w:t>Segment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rPr>
              <w:t>Segment</w:t>
            </w:r>
          </w:p>
        </w:tc>
      </w:tr>
      <w:tr>
        <w:trPr>
          <w:trHeight w:val="20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Factors Contributing to Year-Over-Year Change</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95"/>
              </w:rPr>
              <w:t>Sales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rPr>
              <w:t>Profit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Sales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Profit</w:t>
            </w:r>
          </w:p>
        </w:tc>
      </w:tr>
      <w:tr>
        <w:trPr>
          <w:trHeight w:val="264"/>
        </w:trPr>
        <w:tc>
          <w:tcPr>
            <w:tcW w:w="5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Organic growth/ Operational segment profit</w:t>
            </w: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2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4 %</w:t>
            </w:r>
          </w:p>
        </w:tc>
        <w:tc>
          <w:tcPr>
            <w:tcW w:w="40" w:type="dxa"/>
            <w:vAlign w:val="bottom"/>
            <w:shd w:val="clear" w:color="auto" w:fill="E5FFFF"/>
          </w:tcPr>
          <w:p>
            <w:pPr>
              <w:spacing w:after="0"/>
              <w:rPr>
                <w:sz w:val="22"/>
                <w:szCs w:val="22"/>
                <w:color w:val="auto"/>
              </w:rPr>
            </w:pPr>
          </w:p>
        </w:tc>
        <w:tc>
          <w:tcPr>
            <w:tcW w:w="9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9 %</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16 %</w:t>
            </w:r>
          </w:p>
        </w:tc>
        <w:tc>
          <w:tcPr>
            <w:tcW w:w="6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38 %</w:t>
            </w:r>
          </w:p>
        </w:tc>
      </w:tr>
      <w:tr>
        <w:trPr>
          <w:trHeight w:val="270"/>
        </w:trPr>
        <w:tc>
          <w:tcPr>
            <w:tcW w:w="522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(1 )%</w:t>
            </w:r>
          </w:p>
        </w:tc>
        <w:tc>
          <w:tcPr>
            <w:tcW w:w="40" w:type="dxa"/>
            <w:vAlign w:val="bottom"/>
          </w:tcPr>
          <w:p>
            <w:pPr>
              <w:spacing w:after="0"/>
              <w:rPr>
                <w:sz w:val="23"/>
                <w:szCs w:val="23"/>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9"/>
                <w:szCs w:val="19"/>
                <w:color w:val="auto"/>
              </w:rPr>
              <w:t>(1 )%</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1 %</w:t>
            </w:r>
          </w:p>
        </w:tc>
        <w:tc>
          <w:tcPr>
            <w:tcW w:w="6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1 %</w:t>
            </w:r>
          </w:p>
        </w:tc>
      </w:tr>
      <w:tr>
        <w:trPr>
          <w:trHeight w:val="270"/>
        </w:trPr>
        <w:tc>
          <w:tcPr>
            <w:tcW w:w="52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Acquisitions and divestitures, net</w:t>
            </w: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28"/>
              <w:spacing w:after="0"/>
              <w:rPr>
                <w:sz w:val="20"/>
                <w:szCs w:val="20"/>
                <w:color w:val="auto"/>
              </w:rPr>
            </w:pPr>
            <w:r>
              <w:rPr>
                <w:rFonts w:ascii="Arial" w:cs="Arial" w:eastAsia="Arial" w:hAnsi="Arial"/>
                <w:sz w:val="19"/>
                <w:szCs w:val="19"/>
                <w:color w:val="auto"/>
              </w:rPr>
              <w:t>6 %</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80" w:type="dxa"/>
            <w:vAlign w:val="bottom"/>
            <w:tcBorders>
              <w:bottom w:val="single" w:sz="8" w:color="auto"/>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195"/>
              <w:spacing w:after="0"/>
              <w:rPr>
                <w:sz w:val="20"/>
                <w:szCs w:val="20"/>
                <w:color w:val="auto"/>
              </w:rPr>
            </w:pPr>
            <w:r>
              <w:rPr>
                <w:rFonts w:ascii="Arial" w:cs="Arial" w:eastAsia="Arial" w:hAnsi="Arial"/>
                <w:sz w:val="19"/>
                <w:szCs w:val="19"/>
                <w:color w:val="auto"/>
              </w:rPr>
              <w:t>—</w:t>
            </w:r>
          </w:p>
        </w:tc>
      </w:tr>
      <w:tr>
        <w:trPr>
          <w:trHeight w:val="304"/>
        </w:trPr>
        <w:tc>
          <w:tcPr>
            <w:tcW w:w="5220" w:type="dxa"/>
            <w:vAlign w:val="bottom"/>
          </w:tcPr>
          <w:p>
            <w:pPr>
              <w:ind w:left="380"/>
              <w:spacing w:after="0"/>
              <w:rPr>
                <w:sz w:val="20"/>
                <w:szCs w:val="20"/>
                <w:color w:val="auto"/>
              </w:rPr>
            </w:pPr>
            <w:r>
              <w:rPr>
                <w:rFonts w:ascii="Arial" w:cs="Arial" w:eastAsia="Arial" w:hAnsi="Arial"/>
                <w:sz w:val="19"/>
                <w:szCs w:val="19"/>
                <w:color w:val="auto"/>
              </w:rPr>
              <w:t>Total % Change</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9"/>
                <w:szCs w:val="19"/>
                <w:color w:val="auto"/>
              </w:rPr>
              <w:t>9 %</w:t>
            </w:r>
          </w:p>
        </w:tc>
        <w:tc>
          <w:tcPr>
            <w:tcW w:w="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9"/>
                <w:szCs w:val="19"/>
                <w:color w:val="auto"/>
              </w:rPr>
              <w:t>11 %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20 %</w:t>
            </w:r>
          </w:p>
        </w:tc>
        <w:tc>
          <w:tcPr>
            <w:tcW w:w="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39 %</w:t>
            </w:r>
          </w:p>
        </w:tc>
      </w:tr>
      <w:tr>
        <w:trPr>
          <w:trHeight w:val="20"/>
        </w:trPr>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2012 compared with 2011</w:t>
      </w:r>
    </w:p>
    <w:p>
      <w:pPr>
        <w:spacing w:after="0" w:line="130" w:lineRule="exact"/>
        <w:rPr>
          <w:sz w:val="20"/>
          <w:szCs w:val="20"/>
          <w:color w:val="auto"/>
        </w:rPr>
      </w:pPr>
    </w:p>
    <w:p>
      <w:pPr>
        <w:ind w:right="540" w:firstLine="357"/>
        <w:spacing w:after="0" w:line="253" w:lineRule="auto"/>
        <w:rPr>
          <w:sz w:val="20"/>
          <w:szCs w:val="20"/>
          <w:color w:val="auto"/>
        </w:rPr>
      </w:pPr>
      <w:r>
        <w:rPr>
          <w:rFonts w:ascii="Arial" w:cs="Arial" w:eastAsia="Arial" w:hAnsi="Arial"/>
          <w:sz w:val="19"/>
          <w:szCs w:val="19"/>
          <w:color w:val="auto"/>
        </w:rPr>
        <w:t>PMT sales increased by 9 percent in 2012 compared with 2011 due to a 6 percent growth from acquisitions and 4 percent increase in organic growth, partially offset by 1 percent unfavorable impact of foreign exchange.</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6" w:right="339" w:bottom="1440" w:gutter="0" w:footer="0" w:header="0"/>
        </w:sectPr>
      </w:pPr>
    </w:p>
    <w:bookmarkStart w:id="42" w:name="page43"/>
    <w:bookmarkEnd w:id="42"/>
    <w:p>
      <w:pPr>
        <w:ind w:left="540" w:hanging="158"/>
        <w:spacing w:after="0" w:line="242"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UOP sales increased by 17 percent (12 percent organic) in 2012 compared to 2011 primarily driven by (i) increased equipment and licensing revenues and higher volume of petrochemical and refining catalysts in the first nine months, reflecting continued strength in the refining and petrochemical industries, and (ii) the favorable impact from acquisitions, partially offset by lower service revenue related to scheduled project completions.</w:t>
      </w:r>
    </w:p>
    <w:p>
      <w:pPr>
        <w:spacing w:after="0" w:line="104" w:lineRule="exact"/>
        <w:rPr>
          <w:rFonts w:ascii="Arial" w:cs="Arial" w:eastAsia="Arial" w:hAnsi="Arial"/>
          <w:sz w:val="19"/>
          <w:szCs w:val="19"/>
          <w:color w:val="auto"/>
        </w:rPr>
      </w:pPr>
    </w:p>
    <w:p>
      <w:pPr>
        <w:ind w:left="540" w:right="160" w:hanging="158"/>
        <w:spacing w:after="0" w:line="242"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Advanced Materials sales increased by 5 percent (flat organic) in 2012 compared to 2011 primarily driven by an increase in Resins and Chemicals sales, primarily due to the phenol plant acquisition; offset by lower sales in Fluorine Products primarily due to unfavorable pricing reflecting more challenging global end market conditions and the unfavorable impact of foreign exchange. We expect challenging global end market conditions to continue in the first quarter of 2013.</w:t>
      </w:r>
    </w:p>
    <w:p>
      <w:pPr>
        <w:spacing w:after="0" w:line="199" w:lineRule="exact"/>
        <w:rPr>
          <w:sz w:val="20"/>
          <w:szCs w:val="20"/>
          <w:color w:val="auto"/>
        </w:rPr>
      </w:pPr>
    </w:p>
    <w:p>
      <w:pPr>
        <w:ind w:right="160" w:firstLine="357"/>
        <w:spacing w:after="0" w:line="239" w:lineRule="auto"/>
        <w:rPr>
          <w:sz w:val="20"/>
          <w:szCs w:val="20"/>
          <w:color w:val="auto"/>
        </w:rPr>
      </w:pPr>
      <w:r>
        <w:rPr>
          <w:rFonts w:ascii="Arial" w:cs="Arial" w:eastAsia="Arial" w:hAnsi="Arial"/>
          <w:sz w:val="19"/>
          <w:szCs w:val="19"/>
          <w:color w:val="auto"/>
        </w:rPr>
        <w:t>PMT segment profit increased by 11 percent in 2012 compared with 2011 due to a 9 percent increase in operational segment profit (net of a 10 percent decrease in the fourth quarter due to the factors described below) and a 3 percent increase from acquisitions partially offset by an unfavorable impact of 1 percent in foreign exchange. The increase in operational segment profit is primarily due to higher licensing, catalyst and equipment revenues in UOP and productivity (net of continued investment in growth initiatives) partially offset by unfavorable pricing in Fluorine Products and Resins and Chemicals reflecting more challenging global end market conditions. Cost of products and services sold totaled $4.5 billion in 2012, an increase of $392 million which is primarily due to acquisitions, higher volume and continued investment in growth initiatives partially offset by productivity and the favorable impact of foreign exchange.</w:t>
      </w:r>
    </w:p>
    <w:p>
      <w:pPr>
        <w:spacing w:after="0" w:line="9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July 2012, the Company announced that it is evaluating a series of upgrades to its Metropolis Works nuclear conversion facility, a Fluorine Products facility, following a U.S. Nuclear Regulatory Commission (NRC) inspection that focused on preparedness for extreme natural disasters such as strong earthquakes and tornados. The NRC inspection was part of a comprehensive assessment of all U.S. nuclear-related facilities following the Fukushima, Japan earthquake in 2011. Production at the Metropolis facility was suspended following the NRC inspection and will not resume until certain seismic-related upgrades have been implemented by the Company and reviewed by the NRC. The scope of these upgrades has been defined in a Confirmatory Order issued by the NRC to Honeywell on October 16, 2012. The Company believes that completion of the upgrades to the facility could be completed by the third quarter of 2013. The continued suspension of operations and the cost of the plant upgrades are not expected to have a material negative impact on Performance Materials and Technologies’ 2013 results of operations.</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2011 compared with 2010</w:t>
      </w:r>
    </w:p>
    <w:p>
      <w:pPr>
        <w:spacing w:after="0" w:line="130" w:lineRule="exact"/>
        <w:rPr>
          <w:sz w:val="20"/>
          <w:szCs w:val="20"/>
          <w:color w:val="auto"/>
        </w:rPr>
      </w:pPr>
    </w:p>
    <w:p>
      <w:pPr>
        <w:ind w:right="540" w:firstLine="357"/>
        <w:spacing w:after="0" w:line="253" w:lineRule="auto"/>
        <w:rPr>
          <w:sz w:val="20"/>
          <w:szCs w:val="20"/>
          <w:color w:val="auto"/>
        </w:rPr>
      </w:pPr>
      <w:r>
        <w:rPr>
          <w:rFonts w:ascii="Arial" w:cs="Arial" w:eastAsia="Arial" w:hAnsi="Arial"/>
          <w:sz w:val="19"/>
          <w:szCs w:val="19"/>
          <w:color w:val="auto"/>
        </w:rPr>
        <w:t>PMT sales increased by 20 percent in 2011 compared with 2010 due to a 16 percent increase in organic growth, 3 percent growth from acquisitions, and a 1 percent favorable impact of foreign exchange.</w:t>
      </w:r>
    </w:p>
    <w:p>
      <w:pPr>
        <w:spacing w:after="0" w:line="134" w:lineRule="exact"/>
        <w:rPr>
          <w:sz w:val="20"/>
          <w:szCs w:val="20"/>
          <w:color w:val="auto"/>
        </w:rPr>
      </w:pPr>
    </w:p>
    <w:p>
      <w:pPr>
        <w:ind w:left="540" w:right="220" w:hanging="158"/>
        <w:spacing w:after="0" w:line="245"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UOP sales increased by 24 percent in 2011 compared to 2010 primarily driven by increased service, and licensing revenues and higher unit sales of refining and specialty catalysts, primarily reflecting continued strength in the refining and petrochemical industries.</w:t>
      </w:r>
    </w:p>
    <w:p>
      <w:pPr>
        <w:spacing w:after="0" w:line="100" w:lineRule="exact"/>
        <w:rPr>
          <w:rFonts w:ascii="Arial" w:cs="Arial" w:eastAsia="Arial" w:hAnsi="Arial"/>
          <w:sz w:val="19"/>
          <w:szCs w:val="19"/>
          <w:color w:val="auto"/>
        </w:rPr>
      </w:pPr>
    </w:p>
    <w:p>
      <w:pPr>
        <w:ind w:left="540" w:right="120" w:hanging="15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Advanced Materials sales increased by 18 percent (12 percent organically) in 2011 compared to 2010 primarily driven by (i) a 33 percent (18 percent organically) increase in Resins and Chemicals sales primarily due to higher prices driven by strong Asia demand, agricultural demand, formula pricing arrangements and increased sales resulting from the acquisition of a phenol plant, partially offset by decreased volumes primarily due to disruptions in phenol supply and weather related events, (ii) a 10 percent increase in our Fluorine Products business due to higher pricing reflecting robust global demand and tight industry supply conditions primarily in the first half of the year, which moderated in the second half of the year due to seasonally weaker demand and increased available capacity in the marketplace, and (iii) a 12 percent increase in Specialty Products sales primarily due to higher sales volume in our armor, additives, and healthcare packaging products, and commercial excellence initiatives. We expect Advanced Materials sales growth to continue to moderate during the first half of 2012 due to</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8" w:right="259" w:bottom="1440" w:gutter="0" w:footer="0" w:header="0"/>
        </w:sectPr>
      </w:pPr>
    </w:p>
    <w:bookmarkStart w:id="43" w:name="page44"/>
    <w:bookmarkEnd w:id="43"/>
    <w:p>
      <w:pPr>
        <w:ind w:left="480"/>
        <w:spacing w:after="0"/>
        <w:rPr>
          <w:sz w:val="20"/>
          <w:szCs w:val="20"/>
          <w:color w:val="auto"/>
        </w:rPr>
      </w:pPr>
      <w:r>
        <w:rPr>
          <w:rFonts w:ascii="Arial" w:cs="Arial" w:eastAsia="Arial" w:hAnsi="Arial"/>
          <w:sz w:val="19"/>
          <w:szCs w:val="19"/>
          <w:color w:val="auto"/>
        </w:rPr>
        <w:t>slowing global demand and lower prices resulting from increased availability of refrigerants supply.</w:t>
      </w:r>
    </w:p>
    <w:p>
      <w:pPr>
        <w:spacing w:after="0" w:line="214" w:lineRule="exact"/>
        <w:rPr>
          <w:sz w:val="20"/>
          <w:szCs w:val="20"/>
          <w:color w:val="auto"/>
        </w:rPr>
      </w:pPr>
    </w:p>
    <w:p>
      <w:pPr>
        <w:ind w:right="180" w:firstLine="357"/>
        <w:spacing w:after="0"/>
        <w:rPr>
          <w:sz w:val="20"/>
          <w:szCs w:val="20"/>
          <w:color w:val="auto"/>
        </w:rPr>
      </w:pPr>
      <w:r>
        <w:rPr>
          <w:rFonts w:ascii="Arial" w:cs="Arial" w:eastAsia="Arial" w:hAnsi="Arial"/>
          <w:sz w:val="19"/>
          <w:szCs w:val="19"/>
          <w:color w:val="auto"/>
        </w:rPr>
        <w:t>PMT segment profit increased by 39 percent in 2011 compared with 2010 due to a 38 percent increase in operational segment profit and a 1 percent favorable impact of foreign exchange. The increase in operational segment profit is primarily due to the favorable price to raw materials spread in Resins and Chemicals and Fluorine Products and higher service, product and licensing revenues in UOP, partially offset by continued investment in growth and plant optimization initiatives. Cost of products and services sold totaled $4.2 billion in 2011, an increase of approximately $597 million which is primarily due to volume, material inflation, the phenol plant acquisition and continued investment in growth initiatives.</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Performance Materials and Technologies primary areas of focus for 2013 include:</w:t>
      </w:r>
    </w:p>
    <w:p>
      <w:pPr>
        <w:spacing w:after="0" w:line="160" w:lineRule="exact"/>
        <w:rPr>
          <w:sz w:val="20"/>
          <w:szCs w:val="20"/>
          <w:color w:val="auto"/>
        </w:rPr>
      </w:pPr>
    </w:p>
    <w:p>
      <w:pPr>
        <w:ind w:left="540" w:hanging="158"/>
        <w:spacing w:after="0" w:line="25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Continuing to develop new processes, products and technologies that address energy efficiency, the environment and security, as well as position the portfolio for higher value;</w:t>
      </w:r>
    </w:p>
    <w:p>
      <w:pPr>
        <w:spacing w:after="0" w:line="93" w:lineRule="exact"/>
        <w:rPr>
          <w:rFonts w:ascii="Arial" w:cs="Arial" w:eastAsia="Arial" w:hAnsi="Arial"/>
          <w:sz w:val="19"/>
          <w:szCs w:val="19"/>
          <w:color w:val="auto"/>
        </w:rPr>
      </w:pPr>
    </w:p>
    <w:p>
      <w:pPr>
        <w:ind w:left="540" w:right="200" w:hanging="158"/>
        <w:spacing w:after="0" w:line="25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Commercializing new products and technologies in the petrochemical, gas processing and refining industries and renewable energy sector;</w:t>
      </w:r>
    </w:p>
    <w:p>
      <w:pPr>
        <w:spacing w:after="0" w:line="93" w:lineRule="exact"/>
        <w:rPr>
          <w:rFonts w:ascii="Arial" w:cs="Arial" w:eastAsia="Arial" w:hAnsi="Arial"/>
          <w:sz w:val="19"/>
          <w:szCs w:val="19"/>
          <w:color w:val="auto"/>
        </w:rPr>
      </w:pPr>
    </w:p>
    <w:p>
      <w:pPr>
        <w:ind w:left="540" w:right="160" w:hanging="158"/>
        <w:spacing w:after="0" w:line="25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Investing to increase plant capacity and reliability to service backlog and improve productivity and quality through operational excellence;</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Driving sales and marketing excellence and expanding local presence in high growth regions;</w:t>
      </w:r>
    </w:p>
    <w:p>
      <w:pPr>
        <w:spacing w:after="0" w:line="132" w:lineRule="exact"/>
        <w:rPr>
          <w:rFonts w:ascii="Arial" w:cs="Arial" w:eastAsia="Arial" w:hAnsi="Arial"/>
          <w:sz w:val="19"/>
          <w:szCs w:val="19"/>
          <w:color w:val="auto"/>
        </w:rPr>
      </w:pPr>
    </w:p>
    <w:p>
      <w:pPr>
        <w:ind w:left="540" w:right="560" w:hanging="158"/>
        <w:spacing w:after="0" w:line="25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Managing exposure to raw material price and supply fluctuations through evaluation of alternative sources of supply and contractual arrangements; and</w:t>
      </w:r>
    </w:p>
    <w:p>
      <w:pPr>
        <w:spacing w:after="0" w:line="93" w:lineRule="exact"/>
        <w:rPr>
          <w:rFonts w:ascii="Arial" w:cs="Arial" w:eastAsia="Arial" w:hAnsi="Arial"/>
          <w:sz w:val="19"/>
          <w:szCs w:val="19"/>
          <w:color w:val="auto"/>
        </w:rPr>
      </w:pPr>
    </w:p>
    <w:p>
      <w:pPr>
        <w:ind w:left="540" w:right="660" w:hanging="158"/>
        <w:spacing w:after="0" w:line="25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Managing the successful integration of acquisitions related to our gas processing and hydrogen business unit including capacity and geographic expansion to address rapidly growing commercial opportunities and existing backlog.</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Transportation Systems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Transportation Systems provides automotive products that improve the performance and efficiency of cars, trucks, and other vehicles through state-of-the-art technologies, world class brands and global solutions to customers’ needs. Transportation Systems’ products include turbochargers and thermal systems; and friction materials (Bendix(R) and Jurid(R)) and brake hard parts. Transportation Systems sells its products to original equipment (“OE”) automotive and truck manufacturers (e.g., BMW, Caterpillar, Daimler, Renault, Ford, and Volkswagen), wholesalers and distributors and through the retail aftermarket.</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Economic and Other Factors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Transportation Systems operating results are principally impacted by:</w:t>
      </w:r>
    </w:p>
    <w:p>
      <w:pPr>
        <w:spacing w:after="0" w:line="160" w:lineRule="exact"/>
        <w:rPr>
          <w:sz w:val="20"/>
          <w:szCs w:val="20"/>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Financial strength and stability of automotive OE manufacturers;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Global demand, particularly in Western Europe, for automobile and truck production;</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Turbo penetration rates for new engine platforms;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Global consumer preferences, particularly in Western Europe, for boosted diesel passenger cars;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Degree of volatility in raw material prices, including nickel and steel;</w:t>
      </w:r>
    </w:p>
    <w:p>
      <w:pPr>
        <w:spacing w:after="0" w:line="132" w:lineRule="exact"/>
        <w:rPr>
          <w:rFonts w:ascii="Arial" w:cs="Arial" w:eastAsia="Arial" w:hAnsi="Arial"/>
          <w:sz w:val="19"/>
          <w:szCs w:val="19"/>
          <w:color w:val="auto"/>
        </w:rPr>
      </w:pPr>
    </w:p>
    <w:p>
      <w:pPr>
        <w:ind w:left="540" w:right="580" w:hanging="158"/>
        <w:spacing w:after="0" w:line="25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New automobile production rates and the impact of inventory levels of automotive OE manufacturers on demand for our products;</w:t>
      </w:r>
    </w:p>
    <w:p>
      <w:pPr>
        <w:spacing w:after="0" w:line="93" w:lineRule="exact"/>
        <w:rPr>
          <w:rFonts w:ascii="Arial" w:cs="Arial" w:eastAsia="Arial" w:hAnsi="Arial"/>
          <w:sz w:val="19"/>
          <w:szCs w:val="19"/>
          <w:color w:val="auto"/>
        </w:rPr>
      </w:pPr>
    </w:p>
    <w:p>
      <w:pPr>
        <w:ind w:left="540" w:hanging="158"/>
        <w:spacing w:after="0"/>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Regulations mandating lower emissions and improved fuel economy;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44" w:name="page45"/>
    <w:bookmarkEnd w:id="44"/>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Consumers’ ability to obtain financing for new vehicle purchases;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Impact of factors such as consumer confidence on automotive aftermarket demand.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Transportation systems</w:t>
      </w:r>
    </w:p>
    <w:p>
      <w:pPr>
        <w:spacing w:after="0" w:line="75"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2010</w:t>
            </w: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r>
      <w:tr>
        <w:trPr>
          <w:trHeight w:val="264"/>
        </w:trPr>
        <w:tc>
          <w:tcPr>
            <w:tcW w:w="5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3,561</w:t>
            </w:r>
          </w:p>
        </w:tc>
        <w:tc>
          <w:tcPr>
            <w:tcW w:w="48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3,859</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3,192</w:t>
            </w:r>
          </w:p>
        </w:tc>
        <w:tc>
          <w:tcPr>
            <w:tcW w:w="4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21 %</w:t>
            </w:r>
          </w:p>
        </w:tc>
      </w:tr>
      <w:tr>
        <w:trPr>
          <w:trHeight w:val="270"/>
        </w:trPr>
        <w:tc>
          <w:tcPr>
            <w:tcW w:w="5160" w:type="dxa"/>
            <w:vAlign w:val="bottom"/>
          </w:tcPr>
          <w:p>
            <w:pPr>
              <w:ind w:left="20"/>
              <w:spacing w:after="0"/>
              <w:rPr>
                <w:sz w:val="20"/>
                <w:szCs w:val="20"/>
                <w:color w:val="auto"/>
              </w:rPr>
            </w:pPr>
            <w:r>
              <w:rPr>
                <w:rFonts w:ascii="Arial" w:cs="Arial" w:eastAsia="Arial" w:hAnsi="Arial"/>
                <w:sz w:val="19"/>
                <w:szCs w:val="19"/>
                <w:color w:val="auto"/>
              </w:rPr>
              <w:t>Cost of products and services sold</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2,939</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8"/>
              <w:spacing w:after="0"/>
              <w:rPr>
                <w:sz w:val="20"/>
                <w:szCs w:val="20"/>
                <w:color w:val="auto"/>
              </w:rPr>
            </w:pPr>
            <w:r>
              <w:rPr>
                <w:rFonts w:ascii="Arial" w:cs="Arial" w:eastAsia="Arial" w:hAnsi="Arial"/>
                <w:sz w:val="19"/>
                <w:szCs w:val="19"/>
                <w:color w:val="auto"/>
              </w:rPr>
              <w:t>3,174</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2,641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5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161</w:t>
            </w:r>
          </w:p>
        </w:tc>
        <w:tc>
          <w:tcPr>
            <w:tcW w:w="2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149</w:t>
            </w: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r>
      <w:tr>
        <w:trPr>
          <w:trHeight w:val="270"/>
        </w:trPr>
        <w:tc>
          <w:tcPr>
            <w:tcW w:w="5160" w:type="dxa"/>
            <w:vAlign w:val="bottom"/>
          </w:tcPr>
          <w:p>
            <w:pPr>
              <w:ind w:left="20"/>
              <w:spacing w:after="0"/>
              <w:rPr>
                <w:sz w:val="20"/>
                <w:szCs w:val="20"/>
                <w:color w:val="auto"/>
              </w:rPr>
            </w:pPr>
            <w:r>
              <w:rPr>
                <w:rFonts w:ascii="Arial" w:cs="Arial" w:eastAsia="Arial" w:hAnsi="Arial"/>
                <w:sz w:val="19"/>
                <w:szCs w:val="19"/>
                <w:color w:val="auto"/>
              </w:rPr>
              <w:t>Other</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39</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w:t>
            </w:r>
          </w:p>
        </w:tc>
        <w:tc>
          <w:tcPr>
            <w:tcW w:w="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4"/>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432</w:t>
            </w:r>
          </w:p>
        </w:tc>
        <w:tc>
          <w:tcPr>
            <w:tcW w:w="280" w:type="dxa"/>
            <w:vAlign w:val="bottom"/>
            <w:gridSpan w:val="2"/>
            <w:shd w:val="clear" w:color="auto" w:fill="E5FFFF"/>
          </w:tcPr>
          <w:p>
            <w:pPr>
              <w:spacing w:after="0"/>
              <w:rPr>
                <w:sz w:val="23"/>
                <w:szCs w:val="23"/>
                <w:color w:val="auto"/>
              </w:rPr>
            </w:pPr>
          </w:p>
        </w:tc>
        <w:tc>
          <w:tcPr>
            <w:tcW w:w="20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485</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(11 )%</w:t>
            </w:r>
          </w:p>
        </w:tc>
        <w:tc>
          <w:tcPr>
            <w:tcW w:w="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40" w:type="dxa"/>
            <w:vAlign w:val="bottom"/>
            <w:tcBorders>
              <w:bottom w:val="single" w:sz="8" w:color="auto"/>
            </w:tcBorders>
            <w:shd w:val="clear" w:color="auto" w:fill="E5FFFF"/>
          </w:tcPr>
          <w:p>
            <w:pPr>
              <w:spacing w:after="0"/>
              <w:rPr>
                <w:sz w:val="23"/>
                <w:szCs w:val="23"/>
                <w:color w:val="auto"/>
              </w:rPr>
            </w:pPr>
          </w:p>
        </w:tc>
        <w:tc>
          <w:tcPr>
            <w:tcW w:w="1040" w:type="dxa"/>
            <w:vAlign w:val="bottom"/>
            <w:gridSpan w:val="3"/>
            <w:shd w:val="clear" w:color="auto" w:fill="E5FFFF"/>
          </w:tcPr>
          <w:p>
            <w:pPr>
              <w:jc w:val="right"/>
              <w:ind w:right="41"/>
              <w:spacing w:after="0"/>
              <w:rPr>
                <w:sz w:val="20"/>
                <w:szCs w:val="20"/>
                <w:color w:val="auto"/>
              </w:rPr>
            </w:pPr>
            <w:r>
              <w:rPr>
                <w:rFonts w:ascii="Arial" w:cs="Arial" w:eastAsia="Arial" w:hAnsi="Arial"/>
                <w:sz w:val="19"/>
                <w:szCs w:val="19"/>
                <w:color w:val="auto"/>
              </w:rPr>
              <w:t>37 %</w:t>
            </w:r>
          </w:p>
        </w:tc>
      </w:tr>
      <w:tr>
        <w:trPr>
          <w:trHeight w:val="29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ind w:left="300"/>
              <w:spacing w:after="0"/>
              <w:rPr>
                <w:sz w:val="20"/>
                <w:szCs w:val="20"/>
                <w:color w:val="auto"/>
              </w:rPr>
            </w:pPr>
            <w:r>
              <w:rPr>
                <w:rFonts w:ascii="Arial" w:cs="Arial" w:eastAsia="Arial" w:hAnsi="Arial"/>
                <w:sz w:val="16"/>
                <w:szCs w:val="16"/>
                <w:b w:val="1"/>
                <w:bCs w:val="1"/>
                <w:color w:val="auto"/>
              </w:rPr>
              <w:t>2012 vs. 2011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jc w:val="right"/>
              <w:ind w:right="341"/>
              <w:spacing w:after="0"/>
              <w:rPr>
                <w:sz w:val="20"/>
                <w:szCs w:val="20"/>
                <w:color w:val="auto"/>
              </w:rPr>
            </w:pPr>
            <w:r>
              <w:rPr>
                <w:rFonts w:ascii="Arial" w:cs="Arial" w:eastAsia="Arial" w:hAnsi="Arial"/>
                <w:sz w:val="16"/>
                <w:szCs w:val="16"/>
                <w:b w:val="1"/>
                <w:bCs w:val="1"/>
                <w:color w:val="auto"/>
              </w:rPr>
              <w:t>2011 vs. 2010</w:t>
            </w:r>
          </w:p>
        </w:tc>
      </w:tr>
      <w:tr>
        <w:trPr>
          <w:trHeight w:val="168"/>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ind w:right="20"/>
              <w:spacing w:after="0" w:line="168" w:lineRule="exact"/>
              <w:rPr>
                <w:sz w:val="20"/>
                <w:szCs w:val="20"/>
                <w:color w:val="auto"/>
              </w:rPr>
            </w:pPr>
            <w:r>
              <w:rPr>
                <w:rFonts w:ascii="Arial" w:cs="Arial" w:eastAsia="Arial" w:hAnsi="Arial"/>
                <w:sz w:val="16"/>
                <w:szCs w:val="16"/>
                <w:b w:val="1"/>
                <w:bCs w:val="1"/>
                <w:color w:val="auto"/>
              </w:rPr>
              <w:t>Segment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w w:val="97"/>
              </w:rPr>
              <w:t>Segment</w:t>
            </w:r>
          </w:p>
        </w:tc>
      </w:tr>
      <w:tr>
        <w:trPr>
          <w:trHeight w:val="20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Factors Contributing to Year-Over-Year Change</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Sales</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5"/>
              </w:rPr>
              <w:t>Profit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Profit</w:t>
            </w:r>
          </w:p>
        </w:tc>
      </w:tr>
      <w:tr>
        <w:trPr>
          <w:trHeight w:val="264"/>
        </w:trPr>
        <w:tc>
          <w:tcPr>
            <w:tcW w:w="5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Organic growth/ Operational segment profit</w:t>
            </w:r>
          </w:p>
        </w:tc>
        <w:tc>
          <w:tcPr>
            <w:tcW w:w="22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(3 )%</w:t>
            </w:r>
          </w:p>
        </w:tc>
        <w:tc>
          <w:tcPr>
            <w:tcW w:w="114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(4 )%</w:t>
            </w:r>
          </w:p>
        </w:tc>
        <w:tc>
          <w:tcPr>
            <w:tcW w:w="2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16 %</w:t>
            </w:r>
          </w:p>
        </w:tc>
        <w:tc>
          <w:tcPr>
            <w:tcW w:w="40" w:type="dxa"/>
            <w:vAlign w:val="bottom"/>
            <w:shd w:val="clear" w:color="auto" w:fill="E5FFFF"/>
          </w:tcPr>
          <w:p>
            <w:pPr>
              <w:spacing w:after="0"/>
              <w:rPr>
                <w:sz w:val="22"/>
                <w:szCs w:val="22"/>
                <w:color w:val="auto"/>
              </w:rPr>
            </w:pP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32 %</w:t>
            </w:r>
          </w:p>
        </w:tc>
      </w:tr>
      <w:tr>
        <w:trPr>
          <w:trHeight w:val="270"/>
        </w:trPr>
        <w:tc>
          <w:tcPr>
            <w:tcW w:w="516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(5 )%</w:t>
            </w:r>
          </w:p>
        </w:tc>
        <w:tc>
          <w:tcPr>
            <w:tcW w:w="1140" w:type="dxa"/>
            <w:vAlign w:val="bottom"/>
            <w:gridSpan w:val="4"/>
          </w:tcPr>
          <w:p>
            <w:pPr>
              <w:jc w:val="right"/>
              <w:ind w:right="60"/>
              <w:spacing w:after="0"/>
              <w:rPr>
                <w:sz w:val="20"/>
                <w:szCs w:val="20"/>
                <w:color w:val="auto"/>
              </w:rPr>
            </w:pPr>
            <w:r>
              <w:rPr>
                <w:rFonts w:ascii="Arial" w:cs="Arial" w:eastAsia="Arial" w:hAnsi="Arial"/>
                <w:sz w:val="19"/>
                <w:szCs w:val="19"/>
                <w:color w:val="auto"/>
              </w:rPr>
              <w:t>(7 )%</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5 %</w:t>
            </w:r>
          </w:p>
        </w:tc>
        <w:tc>
          <w:tcPr>
            <w:tcW w:w="40" w:type="dxa"/>
            <w:vAlign w:val="bottom"/>
          </w:tcPr>
          <w:p>
            <w:pPr>
              <w:spacing w:after="0"/>
              <w:rPr>
                <w:sz w:val="23"/>
                <w:szCs w:val="23"/>
                <w:color w:val="auto"/>
              </w:rPr>
            </w:pPr>
          </w:p>
        </w:tc>
        <w:tc>
          <w:tcPr>
            <w:tcW w:w="1040" w:type="dxa"/>
            <w:vAlign w:val="bottom"/>
            <w:gridSpan w:val="3"/>
          </w:tcPr>
          <w:p>
            <w:pPr>
              <w:jc w:val="right"/>
              <w:ind w:right="1"/>
              <w:spacing w:after="0"/>
              <w:rPr>
                <w:sz w:val="20"/>
                <w:szCs w:val="20"/>
                <w:color w:val="auto"/>
              </w:rPr>
            </w:pPr>
            <w:r>
              <w:rPr>
                <w:rFonts w:ascii="Arial" w:cs="Arial" w:eastAsia="Arial" w:hAnsi="Arial"/>
                <w:sz w:val="19"/>
                <w:szCs w:val="19"/>
                <w:color w:val="auto"/>
              </w:rPr>
              <w:t>5 %</w:t>
            </w:r>
          </w:p>
        </w:tc>
      </w:tr>
      <w:tr>
        <w:trPr>
          <w:trHeight w:val="34"/>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r>
      <w:tr>
        <w:trPr>
          <w:trHeight w:val="270"/>
        </w:trPr>
        <w:tc>
          <w:tcPr>
            <w:tcW w:w="5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 Change</w:t>
            </w: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1140" w:type="dxa"/>
            <w:vAlign w:val="bottom"/>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(11 )%</w:t>
            </w:r>
          </w:p>
        </w:tc>
        <w:tc>
          <w:tcPr>
            <w:tcW w:w="2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21 %</w:t>
            </w:r>
          </w:p>
        </w:tc>
        <w:tc>
          <w:tcPr>
            <w:tcW w:w="40" w:type="dxa"/>
            <w:vAlign w:val="bottom"/>
            <w:shd w:val="clear" w:color="auto" w:fill="E5FFFF"/>
          </w:tcPr>
          <w:p>
            <w:pPr>
              <w:spacing w:after="0"/>
              <w:rPr>
                <w:sz w:val="23"/>
                <w:szCs w:val="23"/>
                <w:color w:val="auto"/>
              </w:rPr>
            </w:pPr>
          </w:p>
        </w:tc>
        <w:tc>
          <w:tcPr>
            <w:tcW w:w="104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37 %</w:t>
            </w: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2012 compared with 2011</w:t>
      </w:r>
    </w:p>
    <w:p>
      <w:pPr>
        <w:spacing w:after="0" w:line="130" w:lineRule="exact"/>
        <w:rPr>
          <w:sz w:val="20"/>
          <w:szCs w:val="20"/>
          <w:color w:val="auto"/>
        </w:rPr>
      </w:pPr>
    </w:p>
    <w:p>
      <w:pPr>
        <w:jc w:val="both"/>
        <w:ind w:right="260" w:firstLine="357"/>
        <w:spacing w:after="0" w:line="242" w:lineRule="auto"/>
        <w:rPr>
          <w:sz w:val="20"/>
          <w:szCs w:val="20"/>
          <w:color w:val="auto"/>
        </w:rPr>
      </w:pPr>
      <w:r>
        <w:rPr>
          <w:rFonts w:ascii="Arial" w:cs="Arial" w:eastAsia="Arial" w:hAnsi="Arial"/>
          <w:sz w:val="19"/>
          <w:szCs w:val="19"/>
          <w:color w:val="auto"/>
        </w:rPr>
        <w:t>Transportation Systems sales decreased by 8 percent in 2012 compared with the 2011 primarily due to an unfavorable impact from foreign exchange of 5 percent and a decrease in organic sales of 3 percent. Lower sales were primarily driven by decreased light vehicle production in Europe and lower aftermarket sales partially offset by new platform launches, including higher turbo gas penetration in North America.</w:t>
      </w:r>
    </w:p>
    <w:p>
      <w:pPr>
        <w:spacing w:after="0" w:line="91"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Transportation Systems segment profit decreased by 11 percent in 2012 compared with 2011 due to a 7 percent unfavorable impact from foreign exchange and a 4 percent decrease in operational segment profit. The decrease in operational segment profit is primarily due to decreased volume and unfavorable pricing, substantially offset by productivity (net of the impact of ongoing projects to drive operational improvement in the Friction Materials business), net of inflation. Cost of products and services sold totaled $2.9 billion in 2012, a decrease of $235 million which is primarily a result of foreign exchange, decreased volume and increased productivity.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2011 compared with 2010</w:t>
      </w:r>
    </w:p>
    <w:p>
      <w:pPr>
        <w:spacing w:after="0" w:line="116"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Transportation Systems sales increased by 21 percent in 2011 compared with the 2010, primarily due to a 16 percent increase in organic revenue driven by increased sales volume and a favorable impact from foreign exchange of 5 percent.</w:t>
      </w:r>
    </w:p>
    <w:p>
      <w:pPr>
        <w:spacing w:after="0" w:line="80" w:lineRule="exact"/>
        <w:rPr>
          <w:sz w:val="20"/>
          <w:szCs w:val="20"/>
          <w:color w:val="auto"/>
        </w:rPr>
      </w:pPr>
    </w:p>
    <w:p>
      <w:pPr>
        <w:jc w:val="both"/>
        <w:ind w:right="40" w:firstLine="357"/>
        <w:spacing w:after="0" w:line="245" w:lineRule="auto"/>
        <w:rPr>
          <w:sz w:val="20"/>
          <w:szCs w:val="20"/>
          <w:color w:val="auto"/>
        </w:rPr>
      </w:pPr>
      <w:r>
        <w:rPr>
          <w:rFonts w:ascii="Arial" w:cs="Arial" w:eastAsia="Arial" w:hAnsi="Arial"/>
          <w:sz w:val="19"/>
          <w:szCs w:val="19"/>
          <w:color w:val="auto"/>
        </w:rPr>
        <w:t>The sales increase in 2011 as compared with 2010 was primarily driven by (i) increased turbocharger sales to both light vehicle and commercial vehicle engine manufacturers primarily due to new platform launches and strong diesel penetration rates in Western Europe and (ii) the favorable impact of foreign exchange.</w:t>
      </w:r>
    </w:p>
    <w:p>
      <w:pPr>
        <w:spacing w:after="0" w:line="87" w:lineRule="exact"/>
        <w:rPr>
          <w:sz w:val="20"/>
          <w:szCs w:val="20"/>
          <w:color w:val="auto"/>
        </w:rPr>
      </w:pPr>
    </w:p>
    <w:p>
      <w:pPr>
        <w:ind w:right="320" w:firstLine="357"/>
        <w:spacing w:after="0" w:line="241" w:lineRule="auto"/>
        <w:rPr>
          <w:sz w:val="20"/>
          <w:szCs w:val="20"/>
          <w:color w:val="auto"/>
        </w:rPr>
      </w:pPr>
      <w:r>
        <w:rPr>
          <w:rFonts w:ascii="Arial" w:cs="Arial" w:eastAsia="Arial" w:hAnsi="Arial"/>
          <w:sz w:val="19"/>
          <w:szCs w:val="19"/>
          <w:color w:val="auto"/>
        </w:rPr>
        <w:t>Transportation Systems segment profit increased by 37 percent in 2011 compared with 2010 due to a 32 percent increase in operational segment profit and a 5 percent favorable impact from foreign exchange. The increase in operational segment profit is comprised of an approximate 25 percent positive impact from productivity, net of inflation and price, and 7 percent positive impact from higher sales volumes. Cost of products and services sold totaled $3.2 billion in 2011, an increase of $533 million which is primarily a result of higher sales volume, foreign exchange and inflation, partially offset by positive impact from productivity.</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Areas of Focus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Transportation Systems primary areas of focus in 2013 include:</w:t>
      </w:r>
    </w:p>
    <w:p>
      <w:pPr>
        <w:spacing w:after="0" w:line="160" w:lineRule="exact"/>
        <w:rPr>
          <w:sz w:val="20"/>
          <w:szCs w:val="20"/>
          <w:color w:val="auto"/>
        </w:rPr>
      </w:pPr>
    </w:p>
    <w:p>
      <w:pPr>
        <w:ind w:left="5600" w:right="3740" w:hanging="5218"/>
        <w:spacing w:after="0" w:line="387" w:lineRule="auto"/>
        <w:tabs>
          <w:tab w:leader="none" w:pos="538"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Sustaining superior turbocharger technology through successful platform launches;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26" w:right="259" w:bottom="1440" w:gutter="0" w:footer="0" w:header="0"/>
        </w:sectPr>
      </w:pPr>
    </w:p>
    <w:bookmarkStart w:id="45" w:name="page46"/>
    <w:bookmarkEnd w:id="45"/>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Maintaining the high quality of current products while executing new product introductions;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Increasing global penetration and share of diesel and gasoline turbocharger OEM demand;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Reducing manufacturing costs through increasing plant productivity and an improving global manufacturing footprint;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Aligning cost structure with current economic outlook, and successful execution of repositioning actions;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Aligning development efforts and costs with new turbo platform launch schedules.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Repositioning and Other Charges</w:t>
      </w:r>
    </w:p>
    <w:p>
      <w:pPr>
        <w:spacing w:after="0" w:line="130"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See Note 3 Repositioning and Other Charges of Notes to the Financial Statements for a discussion of repositioning and other charges incurred in 2012, 2011, and 2010. Our repositioning actions are expected to generate incremental pretax savings of approximately $150 million in 2013 compared with 2012 principally from planned workforce reductions. Cash expenditures for severance and other exit costs necessary to execute our repositioning actions were $136, $ 159, and $ 147 million in 2012, 2011, and 2010, respectively. Such expenditures for severance and other exit costs have been funded principally through operating cash flows. Cash expenditures for severance and other costs necessary to execute the remaining actions are expected to be approximately $175 million in 2013 and will be funded through operating cash flows.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provide details of the pretax impact of total net repositioning and other charges by segment.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auto"/>
            </w:tcBorders>
            <w:gridSpan w:val="19"/>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1040" w:type="dxa"/>
            <w:vAlign w:val="bottom"/>
            <w:gridSpan w:val="6"/>
          </w:tcPr>
          <w:p>
            <w:pPr>
              <w:jc w:val="right"/>
              <w:ind w:right="43"/>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Aerospace</w:t>
            </w: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4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440" w:type="dxa"/>
            <w:vAlign w:val="bottom"/>
            <w:tcBorders>
              <w:top w:val="single" w:sz="8" w:color="auto"/>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spacing w:after="0"/>
              <w:rPr>
                <w:sz w:val="23"/>
                <w:szCs w:val="23"/>
                <w:color w:val="auto"/>
              </w:rPr>
            </w:pPr>
          </w:p>
        </w:tc>
        <w:tc>
          <w:tcPr>
            <w:tcW w:w="160" w:type="dxa"/>
            <w:vAlign w:val="bottom"/>
            <w:gridSpan w:val="2"/>
          </w:tcPr>
          <w:p>
            <w:pPr>
              <w:spacing w:after="0"/>
              <w:rPr>
                <w:sz w:val="23"/>
                <w:szCs w:val="23"/>
                <w:color w:val="auto"/>
              </w:rPr>
            </w:pPr>
          </w:p>
        </w:tc>
        <w:tc>
          <w:tcPr>
            <w:tcW w:w="560" w:type="dxa"/>
            <w:vAlign w:val="bottom"/>
            <w:tcBorders>
              <w:bottom w:val="single" w:sz="8" w:color="auto"/>
            </w:tcBorders>
            <w:gridSpan w:val="4"/>
          </w:tcPr>
          <w:p>
            <w:pPr>
              <w:ind w:left="60"/>
              <w:spacing w:after="0"/>
              <w:rPr>
                <w:sz w:val="20"/>
                <w:szCs w:val="20"/>
                <w:color w:val="auto"/>
              </w:rPr>
            </w:pPr>
            <w:r>
              <w:rPr>
                <w:rFonts w:ascii="Arial" w:cs="Arial" w:eastAsia="Arial" w:hAnsi="Arial"/>
                <w:sz w:val="19"/>
                <w:szCs w:val="19"/>
                <w:color w:val="auto"/>
              </w:rPr>
              <w:t>$ (5 )</w:t>
            </w:r>
          </w:p>
        </w:tc>
        <w:tc>
          <w:tcPr>
            <w:tcW w:w="380" w:type="dxa"/>
            <w:vAlign w:val="bottom"/>
            <w:gridSpan w:val="5"/>
          </w:tcPr>
          <w:p>
            <w:pPr>
              <w:spacing w:after="0"/>
              <w:rPr>
                <w:sz w:val="23"/>
                <w:szCs w:val="23"/>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  29</w:t>
            </w:r>
          </w:p>
        </w:tc>
        <w:tc>
          <w:tcPr>
            <w:tcW w:w="80" w:type="dxa"/>
            <w:vAlign w:val="bottom"/>
            <w:tcBorders>
              <w:bottom w:val="single" w:sz="8" w:color="auto"/>
            </w:tcBorders>
          </w:tcPr>
          <w:p>
            <w:pPr>
              <w:spacing w:after="0"/>
              <w:rPr>
                <w:sz w:val="23"/>
                <w:szCs w:val="23"/>
                <w:color w:val="auto"/>
              </w:rPr>
            </w:pPr>
          </w:p>
        </w:tc>
        <w:tc>
          <w:tcPr>
            <w:tcW w:w="380" w:type="dxa"/>
            <w:vAlign w:val="bottom"/>
            <w:gridSpan w:val="4"/>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32</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9"/>
          </w:tcPr>
          <w:p>
            <w:pPr>
              <w:jc w:val="right"/>
              <w:ind w:right="243"/>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ind w:right="7"/>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1040" w:type="dxa"/>
            <w:vAlign w:val="bottom"/>
            <w:gridSpan w:val="6"/>
          </w:tcPr>
          <w:p>
            <w:pPr>
              <w:jc w:val="right"/>
              <w:ind w:right="43"/>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Automation and Control Solutions</w:t>
            </w: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4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440" w:type="dxa"/>
            <w:vAlign w:val="bottom"/>
            <w:tcBorders>
              <w:top w:val="single" w:sz="8" w:color="auto"/>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$ 18</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4"/>
          </w:tcPr>
          <w:p>
            <w:pPr>
              <w:spacing w:after="0"/>
              <w:rPr>
                <w:sz w:val="23"/>
                <w:szCs w:val="23"/>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auto"/>
            </w:tcBorders>
          </w:tcPr>
          <w:p>
            <w:pPr>
              <w:jc w:val="center"/>
              <w:ind w:left="67"/>
              <w:spacing w:after="0"/>
              <w:rPr>
                <w:sz w:val="20"/>
                <w:szCs w:val="20"/>
                <w:color w:val="auto"/>
              </w:rPr>
            </w:pPr>
            <w:r>
              <w:rPr>
                <w:rFonts w:ascii="Arial" w:cs="Arial" w:eastAsia="Arial" w:hAnsi="Arial"/>
                <w:sz w:val="19"/>
                <w:szCs w:val="19"/>
                <w:color w:val="auto"/>
              </w:rPr>
              <w:t>191</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gridSpan w:val="3"/>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79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19"/>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480" w:type="dxa"/>
            <w:vAlign w:val="bottom"/>
            <w:gridSpan w:val="3"/>
          </w:tcPr>
          <w:p>
            <w:pPr>
              <w:ind w:left="120"/>
              <w:spacing w:after="0"/>
              <w:rPr>
                <w:sz w:val="20"/>
                <w:szCs w:val="20"/>
                <w:color w:val="auto"/>
              </w:rPr>
            </w:pPr>
            <w:r>
              <w:rPr>
                <w:rFonts w:ascii="Arial" w:cs="Arial" w:eastAsia="Arial" w:hAnsi="Arial"/>
                <w:sz w:val="16"/>
                <w:szCs w:val="16"/>
                <w:b w:val="1"/>
                <w:bCs w:val="1"/>
                <w:color w:val="auto"/>
                <w:w w:val="95"/>
              </w:rPr>
              <w:t>2012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1040" w:type="dxa"/>
            <w:vAlign w:val="bottom"/>
            <w:gridSpan w:val="6"/>
          </w:tcPr>
          <w:p>
            <w:pPr>
              <w:jc w:val="right"/>
              <w:ind w:right="43"/>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Performance Materials and Technologies</w:t>
            </w: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4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440" w:type="dxa"/>
            <w:vAlign w:val="bottom"/>
            <w:tcBorders>
              <w:top w:val="single" w:sz="8" w:color="auto"/>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spacing w:after="0"/>
              <w:rPr>
                <w:sz w:val="23"/>
                <w:szCs w:val="23"/>
                <w:color w:val="auto"/>
              </w:rPr>
            </w:pPr>
          </w:p>
        </w:tc>
        <w:tc>
          <w:tcPr>
            <w:tcW w:w="160" w:type="dxa"/>
            <w:vAlign w:val="bottom"/>
            <w:gridSpan w:val="2"/>
          </w:tcPr>
          <w:p>
            <w:pPr>
              <w:spacing w:after="0"/>
              <w:rPr>
                <w:sz w:val="23"/>
                <w:szCs w:val="23"/>
                <w:color w:val="auto"/>
              </w:rPr>
            </w:pPr>
          </w:p>
        </w:tc>
        <w:tc>
          <w:tcPr>
            <w:tcW w:w="560" w:type="dxa"/>
            <w:vAlign w:val="bottom"/>
            <w:tcBorders>
              <w:bottom w:val="single" w:sz="8" w:color="auto"/>
            </w:tcBorders>
            <w:gridSpan w:val="4"/>
          </w:tcPr>
          <w:p>
            <w:pPr>
              <w:ind w:left="60"/>
              <w:spacing w:after="0"/>
              <w:rPr>
                <w:sz w:val="20"/>
                <w:szCs w:val="20"/>
                <w:color w:val="auto"/>
              </w:rPr>
            </w:pPr>
            <w:r>
              <w:rPr>
                <w:rFonts w:ascii="Arial" w:cs="Arial" w:eastAsia="Arial" w:hAnsi="Arial"/>
                <w:sz w:val="19"/>
                <w:szCs w:val="19"/>
                <w:color w:val="auto"/>
              </w:rPr>
              <w:t>$ 12</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$ 41</w:t>
            </w:r>
          </w:p>
        </w:tc>
        <w:tc>
          <w:tcPr>
            <w:tcW w:w="80" w:type="dxa"/>
            <w:vAlign w:val="bottom"/>
            <w:tcBorders>
              <w:bottom w:val="single" w:sz="8" w:color="auto"/>
            </w:tcBorders>
          </w:tcPr>
          <w:p>
            <w:pPr>
              <w:spacing w:after="0"/>
              <w:rPr>
                <w:sz w:val="23"/>
                <w:szCs w:val="23"/>
                <w:color w:val="auto"/>
              </w:rPr>
            </w:pPr>
          </w:p>
        </w:tc>
        <w:tc>
          <w:tcPr>
            <w:tcW w:w="380" w:type="dxa"/>
            <w:vAlign w:val="bottom"/>
            <w:gridSpan w:val="4"/>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18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8"/>
          </w:tcPr>
          <w:p>
            <w:pPr>
              <w:ind w:left="140"/>
              <w:spacing w:after="0"/>
              <w:rPr>
                <w:sz w:val="20"/>
                <w:szCs w:val="20"/>
                <w:color w:val="auto"/>
              </w:rPr>
            </w:pPr>
            <w:r>
              <w:rPr>
                <w:rFonts w:ascii="Arial" w:cs="Arial" w:eastAsia="Arial" w:hAnsi="Arial"/>
                <w:sz w:val="16"/>
                <w:szCs w:val="16"/>
                <w:b w:val="1"/>
                <w:bCs w:val="1"/>
                <w:color w:val="auto"/>
                <w:w w:val="97"/>
              </w:rPr>
              <w:t>Years Ended December 31,</w:t>
            </w:r>
          </w:p>
        </w:tc>
        <w:tc>
          <w:tcPr>
            <w:tcW w:w="4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94"/>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8"/>
          </w:tcPr>
          <w:p>
            <w:pPr>
              <w:jc w:val="right"/>
              <w:ind w:right="107"/>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1040" w:type="dxa"/>
            <w:vAlign w:val="bottom"/>
            <w:gridSpan w:val="6"/>
          </w:tcPr>
          <w:p>
            <w:pPr>
              <w:jc w:val="right"/>
              <w:ind w:right="123"/>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Transportation Systems</w:t>
            </w:r>
          </w:p>
        </w:tc>
        <w:tc>
          <w:tcPr>
            <w:tcW w:w="16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400" w:type="dxa"/>
            <w:vAlign w:val="bottom"/>
            <w:tcBorders>
              <w:top w:val="single" w:sz="8" w:color="auto"/>
            </w:tcBorders>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tcBorders>
              <w:top w:val="single" w:sz="8" w:color="auto"/>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rPr>
                <w:sz w:val="20"/>
                <w:szCs w:val="20"/>
                <w:color w:val="auto"/>
              </w:rPr>
            </w:pPr>
          </w:p>
        </w:tc>
        <w:tc>
          <w:tcPr>
            <w:tcW w:w="440" w:type="dxa"/>
            <w:vAlign w:val="bottom"/>
            <w:tcBorders>
              <w:top w:val="single" w:sz="8" w:color="auto"/>
            </w:tcBorders>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ind w:right="14"/>
              <w:spacing w:after="0"/>
              <w:rPr>
                <w:sz w:val="20"/>
                <w:szCs w:val="20"/>
                <w:color w:val="auto"/>
              </w:rPr>
            </w:pPr>
            <w:r>
              <w:rPr>
                <w:rFonts w:ascii="Arial" w:cs="Arial" w:eastAsia="Arial" w:hAnsi="Arial"/>
                <w:sz w:val="19"/>
                <w:szCs w:val="19"/>
                <w:color w:val="auto"/>
              </w:rPr>
              <w:t>28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jc w:val="right"/>
              <w:ind w:right="27"/>
              <w:spacing w:after="0"/>
              <w:rPr>
                <w:sz w:val="20"/>
                <w:szCs w:val="20"/>
                <w:color w:val="auto"/>
              </w:rPr>
            </w:pPr>
            <w:r>
              <w:rPr>
                <w:rFonts w:ascii="Arial" w:cs="Arial" w:eastAsia="Arial" w:hAnsi="Arial"/>
                <w:sz w:val="19"/>
                <w:szCs w:val="19"/>
                <w:color w:val="auto"/>
              </w:rPr>
              <w:t>82</w:t>
            </w:r>
          </w:p>
        </w:tc>
        <w:tc>
          <w:tcPr>
            <w:tcW w:w="80" w:type="dxa"/>
            <w:vAlign w:val="bottom"/>
          </w:tcPr>
          <w:p>
            <w:pPr>
              <w:spacing w:after="0"/>
              <w:rPr>
                <w:sz w:val="23"/>
                <w:szCs w:val="23"/>
                <w:color w:val="auto"/>
              </w:rPr>
            </w:pPr>
          </w:p>
        </w:tc>
        <w:tc>
          <w:tcPr>
            <w:tcW w:w="600" w:type="dxa"/>
            <w:vAlign w:val="bottom"/>
            <w:gridSpan w:val="5"/>
          </w:tcPr>
          <w:p>
            <w:pPr>
              <w:jc w:val="right"/>
              <w:ind w:right="83"/>
              <w:spacing w:after="0"/>
              <w:rPr>
                <w:sz w:val="20"/>
                <w:szCs w:val="20"/>
                <w:color w:val="auto"/>
              </w:rPr>
            </w:pPr>
            <w:r>
              <w:rPr>
                <w:rFonts w:ascii="Arial" w:cs="Arial" w:eastAsia="Arial" w:hAnsi="Arial"/>
                <w:sz w:val="19"/>
                <w:szCs w:val="19"/>
                <w:color w:val="auto"/>
              </w:rPr>
              <w:t>$</w:t>
            </w:r>
          </w:p>
        </w:tc>
        <w:tc>
          <w:tcPr>
            <w:tcW w:w="440" w:type="dxa"/>
            <w:vAlign w:val="bottom"/>
          </w:tcPr>
          <w:p>
            <w:pPr>
              <w:jc w:val="right"/>
              <w:ind w:right="23"/>
              <w:spacing w:after="0"/>
              <w:rPr>
                <w:sz w:val="20"/>
                <w:szCs w:val="20"/>
                <w:color w:val="auto"/>
              </w:rPr>
            </w:pPr>
            <w:r>
              <w:rPr>
                <w:rFonts w:ascii="Arial" w:cs="Arial" w:eastAsia="Arial" w:hAnsi="Arial"/>
                <w:sz w:val="19"/>
                <w:szCs w:val="19"/>
                <w:color w:val="auto"/>
              </w:rPr>
              <w:t>20</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Asbestos related litigation charges, net of insurance</w:t>
            </w:r>
          </w:p>
        </w:tc>
        <w:tc>
          <w:tcPr>
            <w:tcW w:w="16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gridSpan w:val="3"/>
            <w:shd w:val="clear" w:color="auto" w:fill="E5FFFF"/>
          </w:tcPr>
          <w:p>
            <w:pPr>
              <w:jc w:val="right"/>
              <w:ind w:right="14"/>
              <w:spacing w:after="0"/>
              <w:rPr>
                <w:sz w:val="20"/>
                <w:szCs w:val="20"/>
                <w:color w:val="auto"/>
              </w:rPr>
            </w:pPr>
            <w:r>
              <w:rPr>
                <w:rFonts w:ascii="Arial" w:cs="Arial" w:eastAsia="Arial" w:hAnsi="Arial"/>
                <w:sz w:val="19"/>
                <w:szCs w:val="19"/>
                <w:color w:val="auto"/>
              </w:rPr>
              <w:t>169</w:t>
            </w:r>
          </w:p>
        </w:tc>
        <w:tc>
          <w:tcPr>
            <w:tcW w:w="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4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9"/>
                <w:szCs w:val="19"/>
                <w:color w:val="auto"/>
              </w:rPr>
              <w:t>146</w:t>
            </w:r>
          </w:p>
        </w:tc>
        <w:tc>
          <w:tcPr>
            <w:tcW w:w="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4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w w:val="94"/>
              </w:rPr>
              <w:t>158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9"/>
                <w:szCs w:val="19"/>
                <w:color w:val="auto"/>
              </w:rPr>
              <w:t>197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color w:val="auto"/>
              </w:rPr>
              <w:t>228</w:t>
            </w:r>
          </w:p>
        </w:tc>
        <w:tc>
          <w:tcPr>
            <w:tcW w:w="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9"/>
                <w:szCs w:val="19"/>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w w:val="94"/>
              </w:rPr>
              <w:t>178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8"/>
          </w:tcPr>
          <w:p>
            <w:pPr>
              <w:ind w:left="120"/>
              <w:spacing w:after="0"/>
              <w:rPr>
                <w:sz w:val="20"/>
                <w:szCs w:val="20"/>
                <w:color w:val="auto"/>
              </w:rPr>
            </w:pPr>
            <w:r>
              <w:rPr>
                <w:rFonts w:ascii="Arial" w:cs="Arial" w:eastAsia="Arial" w:hAnsi="Arial"/>
                <w:sz w:val="16"/>
                <w:szCs w:val="16"/>
                <w:b w:val="1"/>
                <w:bCs w:val="1"/>
                <w:color w:val="auto"/>
                <w:w w:val="98"/>
              </w:rPr>
              <w:t>Years Ended December 31,</w:t>
            </w:r>
          </w:p>
        </w:tc>
        <w:tc>
          <w:tcPr>
            <w:tcW w:w="4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6"/>
                <w:szCs w:val="16"/>
                <w:b w:val="1"/>
                <w:bCs w:val="1"/>
                <w:color w:val="auto"/>
                <w:w w:val="95"/>
              </w:rPr>
              <w:t>2012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740" w:type="dxa"/>
            <w:vAlign w:val="bottom"/>
            <w:tcBorders>
              <w:bottom w:val="single" w:sz="8" w:color="auto"/>
            </w:tcBorders>
            <w:gridSpan w:val="5"/>
          </w:tcPr>
          <w:p>
            <w:pPr>
              <w:jc w:val="right"/>
              <w:ind w:right="87"/>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7"/>
                <w:szCs w:val="17"/>
                <w:color w:val="auto"/>
              </w:rPr>
            </w:pPr>
          </w:p>
        </w:tc>
        <w:tc>
          <w:tcPr>
            <w:tcW w:w="260" w:type="dxa"/>
            <w:vAlign w:val="bottom"/>
            <w:gridSpan w:val="3"/>
          </w:tcPr>
          <w:p>
            <w:pPr>
              <w:spacing w:after="0"/>
              <w:rPr>
                <w:sz w:val="17"/>
                <w:szCs w:val="17"/>
                <w:color w:val="auto"/>
              </w:rPr>
            </w:pPr>
          </w:p>
        </w:tc>
        <w:tc>
          <w:tcPr>
            <w:tcW w:w="7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gridSpan w:val="2"/>
            <w:shd w:val="clear" w:color="auto" w:fill="E5FFFF"/>
          </w:tcPr>
          <w:p>
            <w:pPr>
              <w:ind w:left="20"/>
              <w:spacing w:after="0"/>
              <w:rPr>
                <w:sz w:val="20"/>
                <w:szCs w:val="20"/>
                <w:color w:val="auto"/>
              </w:rPr>
            </w:pPr>
            <w:r>
              <w:rPr>
                <w:rFonts w:ascii="Arial" w:cs="Arial" w:eastAsia="Arial" w:hAnsi="Arial"/>
                <w:sz w:val="19"/>
                <w:szCs w:val="19"/>
                <w:b w:val="1"/>
                <w:bCs w:val="1"/>
                <w:color w:val="auto"/>
              </w:rPr>
              <w:t>Corporate</w:t>
            </w:r>
          </w:p>
        </w:tc>
        <w:tc>
          <w:tcPr>
            <w:tcW w:w="16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Net repositioning charge</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4"/>
          </w:tcPr>
          <w:p>
            <w:pPr>
              <w:jc w:val="right"/>
              <w:ind w:right="300"/>
              <w:spacing w:after="0"/>
              <w:rPr>
                <w:sz w:val="20"/>
                <w:szCs w:val="20"/>
                <w:color w:val="auto"/>
              </w:rPr>
            </w:pPr>
            <w:r>
              <w:rPr>
                <w:rFonts w:ascii="Arial" w:cs="Arial" w:eastAsia="Arial" w:hAnsi="Arial"/>
                <w:sz w:val="19"/>
                <w:szCs w:val="19"/>
                <w:color w:val="auto"/>
              </w:rPr>
              <w:t>—</w:t>
            </w:r>
          </w:p>
        </w:tc>
        <w:tc>
          <w:tcPr>
            <w:tcW w:w="38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jc w:val="right"/>
              <w:ind w:right="7"/>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3"/>
                <w:szCs w:val="23"/>
                <w:color w:val="auto"/>
              </w:rPr>
            </w:pPr>
          </w:p>
        </w:tc>
        <w:tc>
          <w:tcPr>
            <w:tcW w:w="600" w:type="dxa"/>
            <w:vAlign w:val="bottom"/>
            <w:gridSpan w:val="5"/>
          </w:tcPr>
          <w:p>
            <w:pPr>
              <w:jc w:val="right"/>
              <w:ind w:right="83"/>
              <w:spacing w:after="0"/>
              <w:rPr>
                <w:sz w:val="20"/>
                <w:szCs w:val="20"/>
                <w:color w:val="auto"/>
              </w:rPr>
            </w:pPr>
            <w:r>
              <w:rPr>
                <w:rFonts w:ascii="Arial" w:cs="Arial" w:eastAsia="Arial" w:hAnsi="Arial"/>
                <w:sz w:val="19"/>
                <w:szCs w:val="19"/>
                <w:color w:val="auto"/>
              </w:rPr>
              <w:t>$</w:t>
            </w:r>
          </w:p>
        </w:tc>
        <w:tc>
          <w:tcPr>
            <w:tcW w:w="44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Asbestos related litigation charges, net of insurance</w:t>
            </w:r>
          </w:p>
        </w:tc>
        <w:tc>
          <w:tcPr>
            <w:tcW w:w="16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(13 )</w:t>
            </w:r>
          </w:p>
        </w:tc>
        <w:tc>
          <w:tcPr>
            <w:tcW w:w="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48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3</w:t>
            </w:r>
          </w:p>
        </w:tc>
        <w:tc>
          <w:tcPr>
            <w:tcW w:w="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4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80" w:type="dxa"/>
            <w:vAlign w:val="bottom"/>
            <w:gridSpan w:val="2"/>
          </w:tcPr>
          <w:p>
            <w:pPr>
              <w:ind w:left="380"/>
              <w:spacing w:after="0"/>
              <w:rPr>
                <w:sz w:val="20"/>
                <w:szCs w:val="20"/>
                <w:color w:val="auto"/>
              </w:rPr>
            </w:pPr>
            <w:r>
              <w:rPr>
                <w:rFonts w:ascii="Arial" w:cs="Arial" w:eastAsia="Arial" w:hAnsi="Arial"/>
                <w:sz w:val="19"/>
                <w:szCs w:val="19"/>
                <w:color w:val="auto"/>
              </w:rPr>
              <w:t>Probable and reasonably estimable environmental liabilities</w:t>
            </w:r>
          </w:p>
        </w:tc>
        <w:tc>
          <w:tcPr>
            <w:tcW w:w="160" w:type="dxa"/>
            <w:vAlign w:val="bottom"/>
          </w:tcPr>
          <w:p>
            <w:pPr>
              <w:spacing w:after="0"/>
              <w:rPr>
                <w:sz w:val="23"/>
                <w:szCs w:val="23"/>
                <w:color w:val="auto"/>
              </w:rPr>
            </w:pPr>
          </w:p>
        </w:tc>
        <w:tc>
          <w:tcPr>
            <w:tcW w:w="560" w:type="dxa"/>
            <w:vAlign w:val="bottom"/>
            <w:gridSpan w:val="3"/>
          </w:tcPr>
          <w:p>
            <w:pPr>
              <w:jc w:val="right"/>
              <w:ind w:right="54"/>
              <w:spacing w:after="0"/>
              <w:rPr>
                <w:sz w:val="20"/>
                <w:szCs w:val="20"/>
                <w:color w:val="auto"/>
              </w:rPr>
            </w:pPr>
            <w:r>
              <w:rPr>
                <w:rFonts w:ascii="Arial" w:cs="Arial" w:eastAsia="Arial" w:hAnsi="Arial"/>
                <w:sz w:val="19"/>
                <w:szCs w:val="19"/>
                <w:color w:val="auto"/>
              </w:rPr>
              <w:t>234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jc w:val="right"/>
              <w:ind w:right="7"/>
              <w:spacing w:after="0"/>
              <w:rPr>
                <w:sz w:val="20"/>
                <w:szCs w:val="20"/>
                <w:color w:val="auto"/>
              </w:rPr>
            </w:pPr>
            <w:r>
              <w:rPr>
                <w:rFonts w:ascii="Arial" w:cs="Arial" w:eastAsia="Arial" w:hAnsi="Arial"/>
                <w:sz w:val="19"/>
                <w:szCs w:val="19"/>
                <w:color w:val="auto"/>
              </w:rPr>
              <w:t>240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ind w:right="23"/>
              <w:spacing w:after="0"/>
              <w:rPr>
                <w:sz w:val="20"/>
                <w:szCs w:val="20"/>
                <w:color w:val="auto"/>
              </w:rPr>
            </w:pPr>
            <w:r>
              <w:rPr>
                <w:rFonts w:ascii="Arial" w:cs="Arial" w:eastAsia="Arial" w:hAnsi="Arial"/>
                <w:sz w:val="19"/>
                <w:szCs w:val="19"/>
                <w:color w:val="auto"/>
                <w:w w:val="94"/>
              </w:rPr>
              <w:t>212</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4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420" w:type="dxa"/>
            <w:vAlign w:val="bottom"/>
            <w:tcBorders>
              <w:bottom w:val="single" w:sz="8" w:color="auto"/>
            </w:tcBorders>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40" w:type="dxa"/>
            <w:vAlign w:val="bottom"/>
            <w:gridSpan w:val="2"/>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48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4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62</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gridSpan w:val="3"/>
          </w:tcPr>
          <w:p>
            <w:pPr>
              <w:jc w:val="right"/>
              <w:ind w:right="54"/>
              <w:spacing w:after="0"/>
              <w:rPr>
                <w:sz w:val="20"/>
                <w:szCs w:val="20"/>
                <w:color w:val="auto"/>
              </w:rPr>
            </w:pPr>
            <w:r>
              <w:rPr>
                <w:rFonts w:ascii="Arial" w:cs="Arial" w:eastAsia="Arial" w:hAnsi="Arial"/>
                <w:sz w:val="19"/>
                <w:szCs w:val="19"/>
                <w:color w:val="auto"/>
              </w:rPr>
              <w:t>221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9"/>
                <w:szCs w:val="19"/>
                <w:color w:val="auto"/>
              </w:rPr>
              <w:t>254</w:t>
            </w:r>
          </w:p>
        </w:tc>
        <w:tc>
          <w:tcPr>
            <w:tcW w:w="80" w:type="dxa"/>
            <w:vAlign w:val="bottom"/>
          </w:tcPr>
          <w:p>
            <w:pPr>
              <w:spacing w:after="0"/>
              <w:rPr>
                <w:sz w:val="24"/>
                <w:szCs w:val="24"/>
                <w:color w:val="auto"/>
              </w:rPr>
            </w:pPr>
          </w:p>
        </w:tc>
        <w:tc>
          <w:tcPr>
            <w:tcW w:w="600" w:type="dxa"/>
            <w:vAlign w:val="bottom"/>
            <w:gridSpan w:val="5"/>
          </w:tcPr>
          <w:p>
            <w:pPr>
              <w:jc w:val="right"/>
              <w:ind w:right="83"/>
              <w:spacing w:after="0"/>
              <w:rPr>
                <w:sz w:val="20"/>
                <w:szCs w:val="20"/>
                <w:color w:val="auto"/>
              </w:rPr>
            </w:pPr>
            <w:r>
              <w:rPr>
                <w:rFonts w:ascii="Arial" w:cs="Arial" w:eastAsia="Arial" w:hAnsi="Arial"/>
                <w:sz w:val="19"/>
                <w:szCs w:val="19"/>
                <w:color w:val="auto"/>
              </w:rPr>
              <w:t>$</w:t>
            </w:r>
          </w:p>
        </w:tc>
        <w:tc>
          <w:tcPr>
            <w:tcW w:w="440" w:type="dxa"/>
            <w:vAlign w:val="bottom"/>
          </w:tcPr>
          <w:p>
            <w:pPr>
              <w:jc w:val="right"/>
              <w:ind w:right="23"/>
              <w:spacing w:after="0"/>
              <w:rPr>
                <w:sz w:val="20"/>
                <w:szCs w:val="20"/>
                <w:color w:val="auto"/>
              </w:rPr>
            </w:pPr>
            <w:r>
              <w:rPr>
                <w:rFonts w:ascii="Arial" w:cs="Arial" w:eastAsia="Arial" w:hAnsi="Arial"/>
                <w:sz w:val="19"/>
                <w:szCs w:val="19"/>
                <w:color w:val="auto"/>
                <w:w w:val="94"/>
              </w:rPr>
              <w:t>291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40" w:type="dxa"/>
            <w:vAlign w:val="bottom"/>
            <w:vMerge w:val="restart"/>
          </w:tcPr>
          <w:p>
            <w:pPr>
              <w:ind w:left="5100"/>
              <w:spacing w:after="0"/>
              <w:rPr>
                <w:sz w:val="20"/>
                <w:szCs w:val="20"/>
                <w:color w:val="auto"/>
              </w:rPr>
            </w:pPr>
            <w:r>
              <w:rPr>
                <w:rFonts w:ascii="Arial" w:cs="Arial" w:eastAsia="Arial" w:hAnsi="Arial"/>
                <w:sz w:val="19"/>
                <w:szCs w:val="19"/>
                <w:color w:val="auto"/>
              </w:rPr>
              <w:t>42</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7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46" w:name="page47"/>
    <w:bookmarkEnd w:id="46"/>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148"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as well as the ability to sell trade accounts receivables. We continue to balance our cash and financing uses through investment in our existing core businesses, acquisition activity, share repurchases and dividends.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 Summary</w:t>
      </w:r>
    </w:p>
    <w:p>
      <w:pPr>
        <w:spacing w:after="0" w:line="130"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Our cash flows from operating, investing and financing activities, as reflected in the Consolidated Statement of Cash Flows for the years ended 2012, 2011 and 2010, are summarized as follows:</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2010</w:t>
            </w:r>
          </w:p>
        </w:tc>
      </w:tr>
      <w:tr>
        <w:trPr>
          <w:trHeight w:val="237"/>
        </w:trPr>
        <w:tc>
          <w:tcPr>
            <w:tcW w:w="6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provided by (used for):</w:t>
            </w:r>
          </w:p>
        </w:tc>
        <w:tc>
          <w:tcPr>
            <w:tcW w:w="20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r>
      <w:tr>
        <w:trPr>
          <w:trHeight w:val="270"/>
        </w:trPr>
        <w:tc>
          <w:tcPr>
            <w:tcW w:w="6920" w:type="dxa"/>
            <w:vAlign w:val="bottom"/>
          </w:tcPr>
          <w:p>
            <w:pPr>
              <w:ind w:left="380"/>
              <w:spacing w:after="0"/>
              <w:rPr>
                <w:sz w:val="20"/>
                <w:szCs w:val="20"/>
                <w:color w:val="auto"/>
              </w:rPr>
            </w:pPr>
            <w:r>
              <w:rPr>
                <w:rFonts w:ascii="Arial" w:cs="Arial" w:eastAsia="Arial" w:hAnsi="Arial"/>
                <w:sz w:val="19"/>
                <w:szCs w:val="19"/>
                <w:color w:val="auto"/>
              </w:rPr>
              <w:t>Operating activities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3,517</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6"/>
              <w:spacing w:after="0"/>
              <w:rPr>
                <w:sz w:val="20"/>
                <w:szCs w:val="20"/>
                <w:color w:val="auto"/>
              </w:rPr>
            </w:pPr>
            <w:r>
              <w:rPr>
                <w:rFonts w:ascii="Arial" w:cs="Arial" w:eastAsia="Arial" w:hAnsi="Arial"/>
                <w:sz w:val="19"/>
                <w:szCs w:val="19"/>
                <w:color w:val="auto"/>
              </w:rPr>
              <w:t>2,833</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6"/>
              <w:spacing w:after="0"/>
              <w:rPr>
                <w:sz w:val="20"/>
                <w:szCs w:val="20"/>
                <w:color w:val="auto"/>
              </w:rPr>
            </w:pPr>
            <w:r>
              <w:rPr>
                <w:rFonts w:ascii="Arial" w:cs="Arial" w:eastAsia="Arial" w:hAnsi="Arial"/>
                <w:sz w:val="19"/>
                <w:szCs w:val="19"/>
                <w:color w:val="auto"/>
              </w:rPr>
              <w:t>4,203</w:t>
            </w:r>
          </w:p>
        </w:tc>
      </w:tr>
      <w:tr>
        <w:trPr>
          <w:trHeight w:val="270"/>
        </w:trPr>
        <w:tc>
          <w:tcPr>
            <w:tcW w:w="69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Investing activities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(1,428 )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(611 )</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(2,269 )</w:t>
            </w:r>
          </w:p>
        </w:tc>
      </w:tr>
      <w:tr>
        <w:trPr>
          <w:trHeight w:val="270"/>
        </w:trPr>
        <w:tc>
          <w:tcPr>
            <w:tcW w:w="6920" w:type="dxa"/>
            <w:vAlign w:val="bottom"/>
          </w:tcPr>
          <w:p>
            <w:pPr>
              <w:ind w:left="380"/>
              <w:spacing w:after="0"/>
              <w:rPr>
                <w:sz w:val="20"/>
                <w:szCs w:val="20"/>
                <w:color w:val="auto"/>
              </w:rPr>
            </w:pPr>
            <w:r>
              <w:rPr>
                <w:rFonts w:ascii="Arial" w:cs="Arial" w:eastAsia="Arial" w:hAnsi="Arial"/>
                <w:sz w:val="19"/>
                <w:szCs w:val="19"/>
                <w:color w:val="auto"/>
              </w:rPr>
              <w:t>Financing activities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(1,206 )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(1,114 )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(2,047 )</w:t>
            </w:r>
          </w:p>
        </w:tc>
      </w:tr>
      <w:tr>
        <w:trPr>
          <w:trHeight w:val="270"/>
        </w:trPr>
        <w:tc>
          <w:tcPr>
            <w:tcW w:w="69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Effect of exchange rate changes on cash</w:t>
            </w: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53</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(60 )</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(38 )</w:t>
            </w:r>
          </w:p>
        </w:tc>
      </w:tr>
      <w:tr>
        <w:trPr>
          <w:trHeight w:val="304"/>
        </w:trPr>
        <w:tc>
          <w:tcPr>
            <w:tcW w:w="6920" w:type="dxa"/>
            <w:vAlign w:val="bottom"/>
          </w:tcPr>
          <w:p>
            <w:pPr>
              <w:ind w:left="20"/>
              <w:spacing w:after="0"/>
              <w:rPr>
                <w:sz w:val="20"/>
                <w:szCs w:val="20"/>
                <w:color w:val="auto"/>
              </w:rPr>
            </w:pPr>
            <w:r>
              <w:rPr>
                <w:rFonts w:ascii="Arial" w:cs="Arial" w:eastAsia="Arial" w:hAnsi="Arial"/>
                <w:sz w:val="19"/>
                <w:szCs w:val="19"/>
                <w:color w:val="auto"/>
              </w:rPr>
              <w:t>Net increase/(decrease) in cash and cash equivalents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6"/>
              <w:spacing w:after="0"/>
              <w:rPr>
                <w:sz w:val="20"/>
                <w:szCs w:val="20"/>
                <w:color w:val="auto"/>
              </w:rPr>
            </w:pPr>
            <w:r>
              <w:rPr>
                <w:rFonts w:ascii="Arial" w:cs="Arial" w:eastAsia="Arial" w:hAnsi="Arial"/>
                <w:sz w:val="19"/>
                <w:szCs w:val="19"/>
                <w:color w:val="auto"/>
              </w:rPr>
              <w:t>936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66"/>
              <w:spacing w:after="0"/>
              <w:rPr>
                <w:sz w:val="20"/>
                <w:szCs w:val="20"/>
                <w:color w:val="auto"/>
              </w:rPr>
            </w:pPr>
            <w:r>
              <w:rPr>
                <w:rFonts w:ascii="Arial" w:cs="Arial" w:eastAsia="Arial" w:hAnsi="Arial"/>
                <w:sz w:val="19"/>
                <w:szCs w:val="19"/>
                <w:color w:val="auto"/>
              </w:rPr>
              <w:t>1,048</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(151 )</w:t>
            </w:r>
          </w:p>
        </w:tc>
      </w:tr>
      <w:tr>
        <w:trPr>
          <w:trHeight w:val="20"/>
        </w:trPr>
        <w:tc>
          <w:tcPr>
            <w:tcW w:w="6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2012 compared with 2011</w:t>
      </w:r>
    </w:p>
    <w:p>
      <w:pPr>
        <w:spacing w:after="0" w:line="130"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Cash provided by operating activities increased by $684 million during 2012 compared with 2011 primarily due to reduced cash contributions to our pension plans of $706 million and a $344 million increase of net income before the non-cash pension mark-to-market adjustment, partially offset by higher cash tax payments of approximately $340 million.</w:t>
      </w:r>
    </w:p>
    <w:p>
      <w:pPr>
        <w:spacing w:after="0" w:line="87"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Cash used for investing activities increased by $ 817 million during 2012 compared with 2011 primarily due to (i) a decrease in proceeds from sales of businesses of $1,135 million (most significantly the divestiture of the Consumer Products Group business and the automotive on -board sensor products business within our Automation and Control Solutions segment in 2011), (ii) a net $117 million increase in investments (primarily short-term marketable securities), and (iii) an increase in expenditures for property, plant and equipment of $86 million, partially offset by a decrease in cash paid for acquisitions of $535 million.</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Cash used for financing activities increased by $92 million during 2012 compared to 2011 primarily due to a decrease in the net proceeds from debt issuances of $825 million and an increase in dividends paid of $120 million, partially offset by a decrease of $806 million in net repurchases of common stock and a decrease of $33 million in the payment of debt assumed with acquisitions.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2011 compared with 2010</w:t>
      </w:r>
    </w:p>
    <w:p>
      <w:pPr>
        <w:spacing w:after="0" w:line="130"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Cash provided by operating activities decreased by $1,370 million during 2011 compared with 2010 primarily due to i) increased voluntary cash contributions of $1,050 million to our U.S. pension plans, ii) an unfavorable impact from decreased deferred taxes (excluding the impact of cash taxes) of approximately $710 million, and iii) higher cash tax payments of approximately $500 million, partially offset by an $863 million increase of net income before the non-cash pension mark-to-market adjustment.</w:t>
      </w:r>
    </w:p>
    <w:p>
      <w:pPr>
        <w:spacing w:after="0" w:line="91"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Cash used for investing activities decreased by $1,658 million during 2011 compared with 2010 primarily due to an increase in proceeds from sale of businesses of $1,149 million (most significantly the divestiture of the Consumer Products Group business and the automotive on -board sensor products business within our Automation and Control Solutions segment), a decrease in cash paid for acquisitions of $330 million, and a net $315 million decrease in investments of short-term marketable securities.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7" w:name="page48"/>
    <w:bookmarkEnd w:id="47"/>
    <w:p>
      <w:pPr>
        <w:ind w:firstLine="357"/>
        <w:spacing w:after="0" w:line="245" w:lineRule="auto"/>
        <w:rPr>
          <w:sz w:val="20"/>
          <w:szCs w:val="20"/>
          <w:color w:val="auto"/>
        </w:rPr>
      </w:pPr>
      <w:r>
        <w:rPr>
          <w:rFonts w:ascii="Arial" w:cs="Arial" w:eastAsia="Arial" w:hAnsi="Arial"/>
          <w:sz w:val="19"/>
          <w:szCs w:val="19"/>
          <w:color w:val="auto"/>
        </w:rPr>
        <w:t>Cash used for financing activities decreased by $933 million during 2011 compared with 2010 primarily due to an increase in the net proceeds from debt of $1,734 million and a decrease of $293 million in the payment of debt assumed with acquisitions, partially offset by an increase of $1,085 million of repurchases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the Company believes that cash balances and operating cash flows are the principal source of liquidity. In addition to the available cash and operating cash flows, additional sources of liquidity include committed credit lines, short term debt from the commercial paper markets, long-term borrowings, and access to the public debt and equity markets, as well as the ability to sell trade accounts receivables. At December 31, 2012, a substantial portion of the Company’s cash and cash equivalents were held by foreign subsidiaries. If the amounts held outside of the U.S. were to be repatriated, under current law, they would be subject to U.S. federal income taxes, less applicable foreign tax credits. However, our intent is to permanently reinvest these funds outside of the U.S.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92"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potential acquisitions. There was $400 million of commercial paper outstanding at December 31, 2012.</w:t>
      </w:r>
    </w:p>
    <w:p>
      <w:pPr>
        <w:spacing w:after="0" w:line="91"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2012, Standard and Poor’s (S&amp;P), Fitch, and Moody’s have ratings on our long-term debt of A, A and A2 respectively, and short-term debt of A-1, F1 and P1 respectively. S&amp;P, Fitch and Moody’s have Honeywell’s rating outlook as “stable”. To date, the Company has not experienced any limitations in our ability to access these sources of liquidity.</w:t>
      </w:r>
    </w:p>
    <w:p>
      <w:pPr>
        <w:spacing w:after="0" w:line="78" w:lineRule="exact"/>
        <w:rPr>
          <w:sz w:val="20"/>
          <w:szCs w:val="20"/>
          <w:color w:val="auto"/>
        </w:rPr>
      </w:pPr>
    </w:p>
    <w:p>
      <w:pPr>
        <w:ind w:right="340" w:firstLine="357"/>
        <w:spacing w:after="0" w:line="242" w:lineRule="auto"/>
        <w:rPr>
          <w:sz w:val="20"/>
          <w:szCs w:val="20"/>
          <w:color w:val="auto"/>
        </w:rPr>
      </w:pPr>
      <w:r>
        <w:rPr>
          <w:rFonts w:ascii="Arial" w:cs="Arial" w:eastAsia="Arial" w:hAnsi="Arial"/>
          <w:sz w:val="19"/>
          <w:szCs w:val="19"/>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capital expenditures and acquisitions.</w:t>
      </w:r>
    </w:p>
    <w:p>
      <w:pPr>
        <w:spacing w:after="0" w:line="91"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As a source of liquidity, we sell interests in designated pools of trade accounts receivables to third parties. As of December 31, 2012 and 2011, none of the receivables in the designated pools had been sold to third parties. When we sell receivables, they are over-collateralized and we retain a subordinated interest in the pool of receivables representing that over-collateralization as well as an undivided interest in the balance of the receivables pools. The terms of the trade accounts receivable program permit the repurchase of receivables from the third parties at our discretion, providing us with an additional source of revolving credit. As a result, program receivables remain on the Company’s balance sheet with a corresponding amount recorded as Short-term borrowings.</w:t>
      </w:r>
    </w:p>
    <w:p>
      <w:pPr>
        <w:spacing w:after="0" w:line="31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On April 2, 2012, the Company entered into a $3,000 million Amended and Restated Five Year Credit Agreement (“Credit Agreement”) with a syndicate of banks. Commitments under the Credit Agreement can be increased pursuant to the terms of the Credit Agreement to an aggregate amount not to exceed $3,500 million. The Credit Agreement contains a $700 million sub-limit for the issuance of letters of credit. The Credit Agreement is maintained for general corporate purposes and amends and restates the previous $ 2,800 million five year credit agreement dated March 31, 2011 (“Prior Agreement”). There have been no borrowings under the Credit Agreement or the Prior Agreement.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48" w:name="page49"/>
    <w:bookmarkEnd w:id="48"/>
    <w:p>
      <w:pPr>
        <w:jc w:val="both"/>
        <w:ind w:right="500" w:firstLine="357"/>
        <w:spacing w:after="0" w:line="245" w:lineRule="auto"/>
        <w:rPr>
          <w:sz w:val="20"/>
          <w:szCs w:val="20"/>
          <w:color w:val="auto"/>
        </w:rPr>
      </w:pPr>
      <w:r>
        <w:rPr>
          <w:rFonts w:ascii="Arial" w:cs="Arial" w:eastAsia="Arial" w:hAnsi="Arial"/>
          <w:sz w:val="19"/>
          <w:szCs w:val="19"/>
          <w:color w:val="auto"/>
        </w:rPr>
        <w:t>We monitor the third-party depository institutions that hold our cash and cash equivalents on a daily basis. Our emphasis is primarily on safety of principal and secondarily on maximizing yield on those funds. We diversify our cash and cash equivalents among counterparties to minimize exposure to any one of these entities.</w:t>
      </w:r>
    </w:p>
    <w:p>
      <w:pPr>
        <w:spacing w:after="0" w:line="87" w:lineRule="exact"/>
        <w:rPr>
          <w:sz w:val="20"/>
          <w:szCs w:val="20"/>
          <w:color w:val="auto"/>
        </w:rPr>
      </w:pPr>
    </w:p>
    <w:p>
      <w:pPr>
        <w:ind w:right="140" w:firstLine="357"/>
        <w:spacing w:after="0" w:line="241" w:lineRule="auto"/>
        <w:rPr>
          <w:sz w:val="20"/>
          <w:szCs w:val="20"/>
          <w:color w:val="auto"/>
        </w:rPr>
      </w:pPr>
      <w:r>
        <w:rPr>
          <w:rFonts w:ascii="Arial" w:cs="Arial" w:eastAsia="Arial" w:hAnsi="Arial"/>
          <w:sz w:val="19"/>
          <w:szCs w:val="19"/>
          <w:color w:val="auto"/>
        </w:rPr>
        <w:t>Global economic conditions or a tightening of credit markets could adversely affect our customers’ or suppliers’ ability to obtain financing, particularly in our long-cycle businesses and airline, automotive and refining/petrochemical end markets. Customer or supplier bankruptcies, delays in their ability to obtain financing, or the unavailability of financing could adversely affect our cash flow or results of operations. To date we have not experienced material impacts from customer or supplier bankruptcy or liquidity issues. We continue to monitor and take measures to limit our exposure.</w:t>
      </w:r>
    </w:p>
    <w:p>
      <w:pPr>
        <w:spacing w:after="0" w:line="91" w:lineRule="exact"/>
        <w:rPr>
          <w:sz w:val="20"/>
          <w:szCs w:val="20"/>
          <w:color w:val="auto"/>
        </w:rPr>
      </w:pPr>
    </w:p>
    <w:p>
      <w:pPr>
        <w:jc w:val="both"/>
        <w:ind w:right="360" w:firstLine="357"/>
        <w:spacing w:after="0" w:line="242" w:lineRule="auto"/>
        <w:rPr>
          <w:sz w:val="20"/>
          <w:szCs w:val="20"/>
          <w:color w:val="auto"/>
        </w:rPr>
      </w:pPr>
      <w:r>
        <w:rPr>
          <w:rFonts w:ascii="Arial" w:cs="Arial" w:eastAsia="Arial" w:hAnsi="Arial"/>
          <w:sz w:val="19"/>
          <w:szCs w:val="19"/>
          <w:color w:val="auto"/>
        </w:rPr>
        <w:t>In February 2011, the Board of Directors authorized the repurchase of up to a total of $3 billion of Honeywell common stock. During 2012, the Company repurchased $317 million of outstanding shares to offset the dilutive impact of employee stock based compensation plans, including future option exercises, restricted unit vesting and matching contributions under our savings plans (see Part II, Item 5 for share repurchases in the fourth quarter of 2012).</w:t>
      </w:r>
    </w:p>
    <w:p>
      <w:pPr>
        <w:spacing w:after="0" w:line="91"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On October 22, 2012, the Company acquired a 70 percent controlling interest in Thomas Russell Co., a privately-held leading provider of technology and equipment for natural gas processing and treating, for approximately $525 million ($368 million, net of cash). Thomas Russell Co.’s results of operations have been consolidated into the Performance Materials and Technologies segment, with the noncontrolling interest portion reflected in net income attributable to the noncontrolling interest in the Consolidated Statement of Operations. During the calendar year 2016, Honeywell has the right to acquire and the noncontrolling shareholder has the right to sell to Honeywell the remaining 30 percent interest at a price based on a multiple of Thomas Russell Co.’s average annual operating income from 2013 to 2015, subject to a predetermined cap and floor. Additionally, Honeywell has the right to acquire the remaining 30 percent interest for a fixed price equivalent to the cap at any time on or before December 31, 2015. See Note 21 Redeemable Noncontrolling Interest.</w:t>
      </w:r>
    </w:p>
    <w:p>
      <w:pPr>
        <w:spacing w:after="0" w:line="95"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In December 2012, the Company entered into a definitive agreement to acquire Intermec, Inc. (Intermec) a leading provider of mobile computing, radio frequency identification solutions (RFID) and bar code, label and receipt printers for use in warehousing, supply chain, field service and manufacturing environments for $10 per share in cash, or an aggregate purchase price of approximately $600 million, net of cash acquired. Intermec is a U.S. public company which operates globally and had reported 2011 revenues of approximately $850 million. The transaction is expected to close by the end of the second quarter of 2013, pending Intermec shareholder approval and following customary regulatory reviews. The acquisition is expected to be funded with available cash and the issuance of commercial paper. Intermec will be integrated into our Automation and Control Solutions segment.</w:t>
      </w:r>
    </w:p>
    <w:p>
      <w:pPr>
        <w:spacing w:after="0" w:line="91" w:lineRule="exact"/>
        <w:rPr>
          <w:sz w:val="20"/>
          <w:szCs w:val="20"/>
          <w:color w:val="auto"/>
        </w:rPr>
      </w:pPr>
    </w:p>
    <w:p>
      <w:pPr>
        <w:ind w:right="400" w:firstLine="357"/>
        <w:spacing w:after="0" w:line="253" w:lineRule="auto"/>
        <w:rPr>
          <w:sz w:val="20"/>
          <w:szCs w:val="20"/>
          <w:color w:val="auto"/>
        </w:rPr>
      </w:pPr>
      <w:r>
        <w:rPr>
          <w:rFonts w:ascii="Arial" w:cs="Arial" w:eastAsia="Arial" w:hAnsi="Arial"/>
          <w:sz w:val="19"/>
          <w:szCs w:val="19"/>
          <w:color w:val="auto"/>
        </w:rPr>
        <w:t>During 2012, the Company made cash contributions of $1,039 million principally to improve the funded status of our pension plans.</w:t>
      </w:r>
    </w:p>
    <w:p>
      <w:pPr>
        <w:spacing w:after="0" w:line="80"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In addition to our normal operating cash requirements, our principal future cash requirements will be to fund capital expenditures, dividends, strategic acquisitions, share repurchases, employee benefit obligations, environmental remediation costs, asbestos claims, severance and exit costs related to repositioning actions and debt repayments.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Specifically, we expect our primary cash requirements in 2013 to be as follows:</w:t>
      </w:r>
    </w:p>
    <w:p>
      <w:pPr>
        <w:spacing w:after="0" w:line="160" w:lineRule="exact"/>
        <w:rPr>
          <w:sz w:val="20"/>
          <w:szCs w:val="20"/>
          <w:color w:val="auto"/>
        </w:rPr>
      </w:pPr>
    </w:p>
    <w:p>
      <w:pPr>
        <w:ind w:left="540" w:right="480" w:hanging="158"/>
        <w:spacing w:after="0" w:line="25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Capital expenditures—we expect to spend approximately $1.2 billion for capital expenditures in 2013 primarily for growth, production and capacity expansion, cost reduction, maintenance, and replacement.</w:t>
      </w:r>
    </w:p>
    <w:p>
      <w:pPr>
        <w:spacing w:after="0" w:line="93" w:lineRule="exact"/>
        <w:rPr>
          <w:rFonts w:ascii="Arial" w:cs="Arial" w:eastAsia="Arial" w:hAnsi="Arial"/>
          <w:sz w:val="19"/>
          <w:szCs w:val="19"/>
          <w:color w:val="auto"/>
        </w:rPr>
      </w:pPr>
    </w:p>
    <w:p>
      <w:pPr>
        <w:ind w:left="540" w:right="180" w:hanging="158"/>
        <w:spacing w:after="0" w:line="242"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Share repurchases—under the Company’s previously reported $3 billion share repurchase program, $1.6 billion remained available as of December 31, 2012 for additional share repurchases. Honeywell presently expects to repurchase outstanding shares from time to time during 2013 to offset the dilutive impact of employee stock based compensation plans, including future option exercises, restricted unit vesting and matching contributions under our savings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9" w:name="page50"/>
    <w:bookmarkEnd w:id="49"/>
    <w:p>
      <w:pPr>
        <w:ind w:left="540" w:right="500"/>
        <w:spacing w:after="0" w:line="253" w:lineRule="auto"/>
        <w:rPr>
          <w:sz w:val="20"/>
          <w:szCs w:val="20"/>
          <w:color w:val="auto"/>
        </w:rPr>
      </w:pPr>
      <w:r>
        <w:rPr>
          <w:rFonts w:ascii="Arial" w:cs="Arial" w:eastAsia="Arial" w:hAnsi="Arial"/>
          <w:sz w:val="19"/>
          <w:szCs w:val="19"/>
          <w:color w:val="auto"/>
        </w:rPr>
        <w:t>plans. The amount and timing of future repurchases may vary depending on market conditions and the level of operating, financing and other investing activities.</w:t>
      </w:r>
    </w:p>
    <w:p>
      <w:pPr>
        <w:spacing w:after="0" w:line="93" w:lineRule="exact"/>
        <w:rPr>
          <w:sz w:val="20"/>
          <w:szCs w:val="20"/>
          <w:color w:val="auto"/>
        </w:rPr>
      </w:pPr>
    </w:p>
    <w:p>
      <w:pPr>
        <w:ind w:left="540" w:right="260" w:hanging="158"/>
        <w:spacing w:after="0" w:line="25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Dividends—we expect to pay approximately $1.3 billion in dividends on our common stock in 2013, reflecting the 10 percent increase in the dividend rate effective with the fourth quarter 2012 dividend.</w:t>
      </w:r>
    </w:p>
    <w:p>
      <w:pPr>
        <w:spacing w:after="0" w:line="93" w:lineRule="exact"/>
        <w:rPr>
          <w:rFonts w:ascii="Arial" w:cs="Arial" w:eastAsia="Arial" w:hAnsi="Arial"/>
          <w:sz w:val="19"/>
          <w:szCs w:val="19"/>
          <w:color w:val="auto"/>
        </w:rPr>
      </w:pPr>
    </w:p>
    <w:p>
      <w:pPr>
        <w:ind w:left="540" w:right="140" w:hanging="158"/>
        <w:spacing w:after="0" w:line="241"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Asbestos claims—we expect our cash spending for asbestos claims and our cash receipts for related insurance recoveries to be approximately $480 and $44 million, respectively, in 2013. We believe it is possible that the effective date of the NARCO Plan of Reorganization will occur in 2013 so we have included estimated funding for the NARCO Trust in 2013. See Asbestos Matters in Note 22 to the financial statements for further discussion of possible funding obligations in 2013 related to the NARCO Trust.</w:t>
      </w:r>
    </w:p>
    <w:p>
      <w:pPr>
        <w:spacing w:after="0" w:line="104" w:lineRule="exact"/>
        <w:rPr>
          <w:rFonts w:ascii="Arial" w:cs="Arial" w:eastAsia="Arial" w:hAnsi="Arial"/>
          <w:sz w:val="19"/>
          <w:szCs w:val="19"/>
          <w:color w:val="auto"/>
        </w:rPr>
      </w:pPr>
    </w:p>
    <w:p>
      <w:pPr>
        <w:ind w:left="540" w:right="40" w:hanging="158"/>
        <w:spacing w:after="0" w:line="242"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Pension contributions—in 2013, we are not required to make contributions to our U.S. pension plans. We plan to make cash contributions of approximately $150 million ($113 million was made in January 2013) to our non-U.S. plans to satisfy regulatory funding standards. The timing and amount of contributions to both our U.S. and non-U.S. plans may be impacted by a number of factors, including the funded status of the plans.</w:t>
      </w:r>
    </w:p>
    <w:p>
      <w:pPr>
        <w:spacing w:after="0" w:line="104" w:lineRule="exact"/>
        <w:rPr>
          <w:rFonts w:ascii="Arial" w:cs="Arial" w:eastAsia="Arial" w:hAnsi="Arial"/>
          <w:sz w:val="19"/>
          <w:szCs w:val="19"/>
          <w:color w:val="auto"/>
        </w:rPr>
      </w:pPr>
    </w:p>
    <w:p>
      <w:pPr>
        <w:ind w:left="540" w:right="180" w:hanging="158"/>
        <w:spacing w:after="0" w:line="25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Repositioning actions—we expect that cash spending for severance and other exit costs necessary to execute the previously announced repositioning actions will approximate $175 million in 2013.</w:t>
      </w:r>
    </w:p>
    <w:p>
      <w:pPr>
        <w:spacing w:after="0" w:line="93" w:lineRule="exact"/>
        <w:rPr>
          <w:rFonts w:ascii="Arial" w:cs="Arial" w:eastAsia="Arial" w:hAnsi="Arial"/>
          <w:sz w:val="19"/>
          <w:szCs w:val="19"/>
          <w:color w:val="auto"/>
        </w:rPr>
      </w:pPr>
    </w:p>
    <w:p>
      <w:pPr>
        <w:ind w:left="540" w:hanging="158"/>
        <w:spacing w:after="0" w:line="25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Environmental remediation costs—we expect to spend approximately $300 million in 2013 for remedial response and voluntary clean-up costs. See Environmental Matters in Note 22 to the financial statements for additional information.</w:t>
      </w:r>
    </w:p>
    <w:p>
      <w:pPr>
        <w:spacing w:after="0" w:line="188"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2012 and 2011, we realized $21 and $1,156 million, respectively, in cash proceeds from sales of non-strategic businesses.</w:t>
      </w:r>
    </w:p>
    <w:p>
      <w:pPr>
        <w:spacing w:after="0" w:line="91"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color w:val="auto"/>
        </w:rPr>
        <w:t>Based on past performance and current expectations, we believe that our operating cash flows will be sufficient to meet our future operating cash needs. Our available cash, committed credit lines, access to the public debt and equity markets as well as our ability to sell trade accounts receivables, provide additional sources of short-term and long-term liquidity to fund current operations, debt maturities, and future investment opportunities.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0" w:name="page51"/>
    <w:bookmarkEnd w:id="50"/>
    <w:p>
      <w:pPr>
        <w:spacing w:after="0"/>
        <w:rPr>
          <w:sz w:val="20"/>
          <w:szCs w:val="20"/>
          <w:color w:val="auto"/>
        </w:rPr>
      </w:pPr>
      <w:r>
        <w:rPr>
          <w:rFonts w:ascii="Arial" w:cs="Arial" w:eastAsia="Arial" w:hAnsi="Arial"/>
          <w:sz w:val="19"/>
          <w:szCs w:val="19"/>
          <w:b w:val="1"/>
          <w:bCs w:val="1"/>
          <w:color w:val="auto"/>
        </w:rPr>
        <w:t>Contractual Obligations and Probable Liability Payments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significant contractual obligations and probable liability payments at December 31, 2012:</w:t>
      </w:r>
    </w:p>
    <w:p>
      <w:pPr>
        <w:spacing w:after="0" w:line="51"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8"/>
              </w:rPr>
              <w:t>Payments by Period</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68"/>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47"/>
              <w:spacing w:after="0" w:line="168"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47"/>
              <w:spacing w:after="0" w:line="168"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4"/>
        </w:trPr>
        <w:tc>
          <w:tcPr>
            <w:tcW w:w="4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96"/>
              </w:rPr>
              <w:t>Total(6)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Thereafter</w:t>
            </w:r>
          </w:p>
        </w:tc>
      </w:tr>
      <w:tr>
        <w:trPr>
          <w:trHeight w:val="264"/>
        </w:trPr>
        <w:tc>
          <w:tcPr>
            <w:tcW w:w="4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 including capitalized leases(1)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7,020</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625</w:t>
            </w:r>
          </w:p>
        </w:tc>
        <w:tc>
          <w:tcPr>
            <w:tcW w:w="52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711</w:t>
            </w:r>
          </w:p>
        </w:tc>
        <w:tc>
          <w:tcPr>
            <w:tcW w:w="28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863</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4,821</w:t>
            </w:r>
          </w:p>
        </w:tc>
      </w:tr>
      <w:tr>
        <w:trPr>
          <w:trHeight w:val="230"/>
        </w:trPr>
        <w:tc>
          <w:tcPr>
            <w:tcW w:w="4720" w:type="dxa"/>
            <w:vAlign w:val="bottom"/>
          </w:tcPr>
          <w:p>
            <w:pPr>
              <w:ind w:left="20"/>
              <w:spacing w:after="0"/>
              <w:rPr>
                <w:sz w:val="20"/>
                <w:szCs w:val="20"/>
                <w:color w:val="auto"/>
              </w:rPr>
            </w:pPr>
            <w:r>
              <w:rPr>
                <w:rFonts w:ascii="Arial" w:cs="Arial" w:eastAsia="Arial" w:hAnsi="Arial"/>
                <w:sz w:val="19"/>
                <w:szCs w:val="19"/>
                <w:color w:val="auto"/>
              </w:rPr>
              <w:t>Interest payments on long-term debt, including</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9"/>
                <w:szCs w:val="19"/>
                <w:color w:val="auto"/>
              </w:rPr>
              <w:t>capitalized leases</w:t>
            </w:r>
          </w:p>
        </w:tc>
        <w:tc>
          <w:tcPr>
            <w:tcW w:w="20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2,798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240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400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357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1,801</w:t>
            </w:r>
          </w:p>
        </w:tc>
      </w:tr>
      <w:tr>
        <w:trPr>
          <w:trHeight w:val="270"/>
        </w:trPr>
        <w:tc>
          <w:tcPr>
            <w:tcW w:w="4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Minimum operating lease payments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1,288</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305</w:t>
            </w:r>
          </w:p>
        </w:tc>
        <w:tc>
          <w:tcPr>
            <w:tcW w:w="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442</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229</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312</w:t>
            </w:r>
          </w:p>
        </w:tc>
      </w:tr>
      <w:tr>
        <w:trPr>
          <w:trHeight w:val="270"/>
        </w:trPr>
        <w:tc>
          <w:tcPr>
            <w:tcW w:w="4720" w:type="dxa"/>
            <w:vAlign w:val="bottom"/>
          </w:tcPr>
          <w:p>
            <w:pPr>
              <w:ind w:left="20"/>
              <w:spacing w:after="0"/>
              <w:rPr>
                <w:sz w:val="20"/>
                <w:szCs w:val="20"/>
                <w:color w:val="auto"/>
              </w:rPr>
            </w:pPr>
            <w:r>
              <w:rPr>
                <w:rFonts w:ascii="Arial" w:cs="Arial" w:eastAsia="Arial" w:hAnsi="Arial"/>
                <w:sz w:val="19"/>
                <w:szCs w:val="19"/>
                <w:color w:val="auto"/>
              </w:rPr>
              <w:t>Purchase obligations(2)</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1,783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939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474</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223</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147</w:t>
            </w:r>
          </w:p>
        </w:tc>
      </w:tr>
      <w:tr>
        <w:trPr>
          <w:trHeight w:val="270"/>
        </w:trPr>
        <w:tc>
          <w:tcPr>
            <w:tcW w:w="4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Estimated environmental liability payments(3)</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654</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304</w:t>
            </w:r>
          </w:p>
        </w:tc>
        <w:tc>
          <w:tcPr>
            <w:tcW w:w="6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200</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100</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50</w:t>
            </w:r>
          </w:p>
        </w:tc>
      </w:tr>
      <w:tr>
        <w:trPr>
          <w:trHeight w:val="270"/>
        </w:trPr>
        <w:tc>
          <w:tcPr>
            <w:tcW w:w="4720" w:type="dxa"/>
            <w:vAlign w:val="bottom"/>
          </w:tcPr>
          <w:p>
            <w:pPr>
              <w:ind w:left="20"/>
              <w:spacing w:after="0"/>
              <w:rPr>
                <w:sz w:val="20"/>
                <w:szCs w:val="20"/>
                <w:color w:val="auto"/>
              </w:rPr>
            </w:pPr>
            <w:r>
              <w:rPr>
                <w:rFonts w:ascii="Arial" w:cs="Arial" w:eastAsia="Arial" w:hAnsi="Arial"/>
                <w:sz w:val="19"/>
                <w:szCs w:val="19"/>
                <w:color w:val="auto"/>
              </w:rPr>
              <w:t>Asbestos related liability payments(4)</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1,772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480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769</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438</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85</w:t>
            </w:r>
          </w:p>
        </w:tc>
      </w:tr>
      <w:tr>
        <w:trPr>
          <w:trHeight w:val="270"/>
        </w:trPr>
        <w:tc>
          <w:tcPr>
            <w:tcW w:w="4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Asbestos insurance recoveries(5)</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(707 )</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(44 )</w:t>
            </w:r>
          </w:p>
        </w:tc>
        <w:tc>
          <w:tcPr>
            <w:tcW w:w="6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(147 )</w:t>
            </w:r>
          </w:p>
        </w:tc>
        <w:tc>
          <w:tcPr>
            <w:tcW w:w="28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(141 )</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(375 )</w:t>
            </w:r>
          </w:p>
        </w:tc>
      </w:tr>
      <w:tr>
        <w:trPr>
          <w:trHeight w:val="304"/>
        </w:trPr>
        <w:tc>
          <w:tcPr>
            <w:tcW w:w="47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14,608</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2,849</w:t>
            </w:r>
          </w:p>
        </w:tc>
        <w:tc>
          <w:tcPr>
            <w:tcW w:w="520" w:type="dxa"/>
            <w:vAlign w:val="bottom"/>
            <w:gridSpan w:val="3"/>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2,849</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tcPr>
          <w:p>
            <w:pPr>
              <w:jc w:val="right"/>
              <w:ind w:right="47"/>
              <w:spacing w:after="0"/>
              <w:rPr>
                <w:sz w:val="20"/>
                <w:szCs w:val="20"/>
                <w:color w:val="auto"/>
              </w:rPr>
            </w:pPr>
            <w:r>
              <w:rPr>
                <w:rFonts w:ascii="Arial" w:cs="Arial" w:eastAsia="Arial" w:hAnsi="Arial"/>
                <w:sz w:val="19"/>
                <w:szCs w:val="19"/>
                <w:color w:val="auto"/>
              </w:rPr>
              <w:t>2,069</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6,841</w:t>
            </w: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5702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31" w:lineRule="exact"/>
        <w:rPr>
          <w:sz w:val="20"/>
          <w:szCs w:val="20"/>
          <w:color w:val="auto"/>
        </w:rPr>
      </w:pPr>
    </w:p>
    <w:p>
      <w:pPr>
        <w:ind w:left="400" w:hanging="332"/>
        <w:spacing w:after="0"/>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Assumes all long-term debt is outstanding until scheduled maturity.</w:t>
      </w:r>
    </w:p>
    <w:p>
      <w:pPr>
        <w:spacing w:after="0" w:line="119" w:lineRule="exact"/>
        <w:rPr>
          <w:rFonts w:ascii="Arial" w:cs="Arial" w:eastAsia="Arial" w:hAnsi="Arial"/>
          <w:sz w:val="19"/>
          <w:szCs w:val="19"/>
          <w:color w:val="auto"/>
        </w:rPr>
      </w:pPr>
    </w:p>
    <w:p>
      <w:pPr>
        <w:ind w:left="400" w:right="700" w:hanging="332"/>
        <w:spacing w:after="0" w:line="253"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Purchase obligations are entered into with various vendors in the normal course of business and are consistent with our expected requirements.</w:t>
      </w:r>
    </w:p>
    <w:p>
      <w:pPr>
        <w:spacing w:after="0" w:line="93" w:lineRule="exact"/>
        <w:rPr>
          <w:rFonts w:ascii="Arial" w:cs="Arial" w:eastAsia="Arial" w:hAnsi="Arial"/>
          <w:sz w:val="19"/>
          <w:szCs w:val="19"/>
          <w:color w:val="auto"/>
        </w:rPr>
      </w:pPr>
    </w:p>
    <w:p>
      <w:pPr>
        <w:ind w:left="400" w:right="220" w:hanging="332"/>
        <w:spacing w:after="0" w:line="245"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payment amounts in the table only reflect the environmental liabilities which are probable and reasonably estimable as of December 31, 2012. See Environmental Matters in Note 22 Commitments and Contingencies of Notes to the Financial Statements for additional information.</w:t>
      </w:r>
    </w:p>
    <w:p>
      <w:pPr>
        <w:spacing w:after="0" w:line="100" w:lineRule="exact"/>
        <w:rPr>
          <w:rFonts w:ascii="Arial" w:cs="Arial" w:eastAsia="Arial" w:hAnsi="Arial"/>
          <w:sz w:val="19"/>
          <w:szCs w:val="19"/>
          <w:color w:val="auto"/>
        </w:rPr>
      </w:pPr>
    </w:p>
    <w:p>
      <w:pPr>
        <w:ind w:left="400" w:right="20" w:hanging="332"/>
        <w:spacing w:after="0" w:line="239"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These amounts are estimates of asbestos related cash payments for NARCO and Bendix based on our asbestos related liabilities which are probable and reasonably estimable as of December 31, 2012. We believe that it is possible that the effective date of the NARCO Plan of Reorganization will occur in 2013 so we have included estimated funding for the NARCO Trust starting in 2013. We have accrued for the estimated value of future NARCO asbestos related claims expected to be asserted against the NARCO trust through 2018. In light of the uncertainties inherent in making long-term projections and in connection with the initial operation of a 524(g) trust, as well as the stay of all NARCO asbestos claims since January 2002, we do not believe that we have a reasonable basis for estimating NARCO asbestos claims beyond 2018. Projecting the timing of NARCO payments is dependent on, among other things, the effective date of the Trust which could cause the timing of payments to be earlier or later than that projected. Projecting future events is subject to many uncertainties that could cause asbestos liabilities to be higher or lower than those projected and recorded. See Asbestos Matters in Note 22 Commitments and Contingencies of Notes to the Financial Statements for additional information.</w:t>
      </w:r>
    </w:p>
    <w:p>
      <w:pPr>
        <w:spacing w:after="0" w:line="105" w:lineRule="exact"/>
        <w:rPr>
          <w:rFonts w:ascii="Arial" w:cs="Arial" w:eastAsia="Arial" w:hAnsi="Arial"/>
          <w:sz w:val="19"/>
          <w:szCs w:val="19"/>
          <w:color w:val="auto"/>
        </w:rPr>
      </w:pPr>
    </w:p>
    <w:p>
      <w:pPr>
        <w:ind w:left="400" w:hanging="332"/>
        <w:spacing w:after="0" w:line="239"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These amounts represent our insurance recoveries that are deemed probable for asbestos related liabilities as of December 31, 2012. The timing of insurance recoveries are impacted by the terms of insurance settlement agreements, as well as the documentation, review and collection process required to collect on insurance claims. Where probable insurance recoveries are not subject to definitive settlement agreements with specified payment dates, but instead are covered by insurance policies, we have assumed collection will occur beyond 2017. Projecting the timing of insurance recoveries is subject to many uncertainties that could cause the amounts collected to be higher or lower than those projected and recorded or could cause the timing of collections to be earlier or later than that projected. We reevaluate our projections concerning insurance recoveries in light of any changes or developments that would impact recoveries or the timing thereof. See Asbestos Matters in Note 22 Commitments and Contingencies of Notes to the Financial Statements for additional information.</w:t>
      </w:r>
    </w:p>
    <w:p>
      <w:pPr>
        <w:spacing w:after="0" w:line="108" w:lineRule="exact"/>
        <w:rPr>
          <w:rFonts w:ascii="Arial" w:cs="Arial" w:eastAsia="Arial" w:hAnsi="Arial"/>
          <w:sz w:val="19"/>
          <w:szCs w:val="19"/>
          <w:color w:val="auto"/>
        </w:rPr>
      </w:pPr>
    </w:p>
    <w:p>
      <w:pPr>
        <w:ind w:left="400" w:right="560" w:hanging="332"/>
        <w:spacing w:after="0" w:line="253" w:lineRule="auto"/>
        <w:tabs>
          <w:tab w:leader="none" w:pos="4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table excludes tax effects as well as $722 million of uncertain tax positions. See Note 6 Income Taxes of Notes to the Financial Statements for additional information.</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51" w:name="page52"/>
    <w:bookmarkEnd w:id="51"/>
    <w:p>
      <w:pPr>
        <w:ind w:firstLine="357"/>
        <w:spacing w:after="0" w:line="239" w:lineRule="auto"/>
        <w:rPr>
          <w:sz w:val="20"/>
          <w:szCs w:val="20"/>
          <w:color w:val="auto"/>
        </w:rPr>
      </w:pPr>
      <w:r>
        <w:rPr>
          <w:rFonts w:ascii="Arial" w:cs="Arial" w:eastAsia="Arial" w:hAnsi="Arial"/>
          <w:sz w:val="19"/>
          <w:szCs w:val="19"/>
          <w:color w:val="auto"/>
        </w:rPr>
        <w:t>The table also excludes our pension and other postretirement benefits (OPEB) obligations. In 2013, we are not required to make contributions to our U.S. pension plans, however, we plan to make cash contributions of approximately $150 million ($113 million was made in January 2013) to our non-U.S. plans to satisfy regulatory funding standards. The timing and amount of contributions may be impacted by a number of factors, including the funded status of the plans. Beyond 2013, the actual amounts required to be contributed are dependent upon, among other things, interest rates, underlying asset returns and the impact of legislative or regulatory actions related to pension funding obligations. Payments due under our OPEB plans are not required to be funded in advance, but are paid as medical costs are incurred by covered retiree populations, and are principally dependent upon the future cost of retiree medical benefits under our plans. We expect our OPEB payments to approximate $149 million in 2013 net of the benefit of approximately $ 11 million from the Medicare prescription subsidy. See Note 23 to the financial statements for further discussion of our pension and OPEB plans.</w:t>
      </w:r>
    </w:p>
    <w:p>
      <w:pPr>
        <w:spacing w:after="0" w:line="93"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The noncontrolling interest shareholder of Thomas Russell Co., one of our subsidiaries, has put rights that may be exercised causing us to purchase their equity interests beginning January 1, 2016 through December 31, 2016. The same interest is subject to certain call rights by the Company. As the amount paid is based on operating income performance from 2013 to 2015, the actual settlement amount may be different and has therefore been excluded from this table.</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off-balance sheet arrangements: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Guarantees</w:t>
      </w:r>
      <w:r>
        <w:rPr>
          <w:rFonts w:ascii="Arial" w:cs="Arial" w:eastAsia="Arial" w:hAnsi="Arial"/>
          <w:sz w:val="19"/>
          <w:szCs w:val="19"/>
          <w:color w:val="auto"/>
        </w:rPr>
        <w:t>—We have issued or are a party to the following direct and indirect guarantees at December 31, 2012:</w:t>
      </w:r>
    </w:p>
    <w:p>
      <w:pPr>
        <w:spacing w:after="0" w:line="66"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176"/>
        </w:trPr>
        <w:tc>
          <w:tcPr>
            <w:tcW w:w="844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Potential</w:t>
            </w:r>
          </w:p>
        </w:tc>
      </w:tr>
      <w:tr>
        <w:trPr>
          <w:trHeight w:val="176"/>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center"/>
              <w:ind w:right="106"/>
              <w:spacing w:after="0" w:line="176" w:lineRule="exact"/>
              <w:rPr>
                <w:sz w:val="20"/>
                <w:szCs w:val="20"/>
                <w:color w:val="auto"/>
              </w:rPr>
            </w:pPr>
            <w:r>
              <w:rPr>
                <w:rFonts w:ascii="Arial" w:cs="Arial" w:eastAsia="Arial" w:hAnsi="Arial"/>
                <w:sz w:val="16"/>
                <w:szCs w:val="16"/>
                <w:b w:val="1"/>
                <w:bCs w:val="1"/>
                <w:color w:val="auto"/>
              </w:rPr>
              <w:t>Future</w:t>
            </w:r>
          </w:p>
        </w:tc>
      </w:tr>
      <w:tr>
        <w:trPr>
          <w:trHeight w:val="204"/>
        </w:trPr>
        <w:tc>
          <w:tcPr>
            <w:tcW w:w="8440" w:type="dxa"/>
            <w:vAlign w:val="bottom"/>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Payments</w:t>
            </w:r>
          </w:p>
        </w:tc>
      </w:tr>
      <w:tr>
        <w:trPr>
          <w:trHeight w:val="264"/>
        </w:trPr>
        <w:tc>
          <w:tcPr>
            <w:tcW w:w="8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Operating lease residual values</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51</w:t>
            </w:r>
          </w:p>
        </w:tc>
      </w:tr>
      <w:tr>
        <w:trPr>
          <w:trHeight w:val="270"/>
        </w:trPr>
        <w:tc>
          <w:tcPr>
            <w:tcW w:w="8440" w:type="dxa"/>
            <w:vAlign w:val="bottom"/>
          </w:tcPr>
          <w:p>
            <w:pPr>
              <w:ind w:left="20"/>
              <w:spacing w:after="0"/>
              <w:rPr>
                <w:sz w:val="20"/>
                <w:szCs w:val="20"/>
                <w:color w:val="auto"/>
              </w:rPr>
            </w:pPr>
            <w:r>
              <w:rPr>
                <w:rFonts w:ascii="Arial" w:cs="Arial" w:eastAsia="Arial" w:hAnsi="Arial"/>
                <w:sz w:val="19"/>
                <w:szCs w:val="19"/>
                <w:color w:val="auto"/>
              </w:rPr>
              <w:t>Other third parties’ financing</w:t>
            </w:r>
          </w:p>
        </w:tc>
        <w:tc>
          <w:tcPr>
            <w:tcW w:w="22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5</w:t>
            </w:r>
          </w:p>
        </w:tc>
      </w:tr>
      <w:tr>
        <w:trPr>
          <w:trHeight w:val="270"/>
        </w:trPr>
        <w:tc>
          <w:tcPr>
            <w:tcW w:w="8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Unconsolidated affiliates’ financing</w:t>
            </w: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12</w:t>
            </w:r>
          </w:p>
        </w:tc>
      </w:tr>
      <w:tr>
        <w:trPr>
          <w:trHeight w:val="270"/>
        </w:trPr>
        <w:tc>
          <w:tcPr>
            <w:tcW w:w="8440" w:type="dxa"/>
            <w:vAlign w:val="bottom"/>
          </w:tcPr>
          <w:p>
            <w:pPr>
              <w:ind w:left="20"/>
              <w:spacing w:after="0"/>
              <w:rPr>
                <w:sz w:val="20"/>
                <w:szCs w:val="20"/>
                <w:color w:val="auto"/>
              </w:rPr>
            </w:pPr>
            <w:r>
              <w:rPr>
                <w:rFonts w:ascii="Arial" w:cs="Arial" w:eastAsia="Arial" w:hAnsi="Arial"/>
                <w:sz w:val="19"/>
                <w:szCs w:val="19"/>
                <w:color w:val="auto"/>
              </w:rPr>
              <w:t>Customer financing</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9</w:t>
            </w:r>
          </w:p>
        </w:tc>
      </w:tr>
      <w:tr>
        <w:trPr>
          <w:trHeight w:val="34"/>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44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77</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right="220" w:firstLine="357"/>
        <w:spacing w:after="0" w:line="253" w:lineRule="auto"/>
        <w:rPr>
          <w:sz w:val="20"/>
          <w:szCs w:val="20"/>
          <w:color w:val="auto"/>
        </w:rPr>
      </w:pPr>
      <w:r>
        <w:rPr>
          <w:rFonts w:ascii="Arial" w:cs="Arial" w:eastAsia="Arial" w:hAnsi="Arial"/>
          <w:sz w:val="19"/>
          <w:szCs w:val="19"/>
          <w:color w:val="auto"/>
        </w:rPr>
        <w:t>We do not expect that these guarantees will have a material adverse effect on our consolidated results of operations, financial position or liquidity.</w:t>
      </w:r>
    </w:p>
    <w:p>
      <w:pPr>
        <w:spacing w:after="0" w:line="80"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(see Note 1 to the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bookmarkStart w:id="52" w:name="page53"/>
    <w:bookmarkEnd w:id="52"/>
    <w:p>
      <w:pPr>
        <w:ind w:right="20"/>
        <w:spacing w:after="0" w:line="239" w:lineRule="auto"/>
        <w:rPr>
          <w:sz w:val="20"/>
          <w:szCs w:val="20"/>
          <w:color w:val="auto"/>
        </w:rPr>
      </w:pPr>
      <w:r>
        <w:rPr>
          <w:rFonts w:ascii="Arial" w:cs="Arial" w:eastAsia="Arial" w:hAnsi="Arial"/>
          <w:sz w:val="19"/>
          <w:szCs w:val="19"/>
          <w:color w:val="auto"/>
        </w:rPr>
        <w:t>financial statements)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execution timeframe of projects, remedial techniques to be utilized and agreements with other parties.</w:t>
      </w:r>
    </w:p>
    <w:p>
      <w:pPr>
        <w:spacing w:after="0" w:line="93"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Remedial response and voluntary cleanup costs charged against pretax earnings were $234, $240 and $225 million in 2012, 2011 and 2010, respectively. At December 31, 2012 and 2011, the recorded liabilities for environmental matters was $654 and $723 million, respectively. In addition, in 2012 and 2011 we incurred operating costs for ongoing businesses of approximately $84 and $102 million, respectively, relating to compliance with environmental regulations.</w:t>
      </w:r>
    </w:p>
    <w:p>
      <w:pPr>
        <w:spacing w:after="0" w:line="91"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Remedial response and voluntary cleanup payments were $320, $270 and $ 266 million in 2012, 2011 and 2010, respectively, and are currently estimated to be approximately $300 million in 2013. We expect to fund such expenditures from operating cash flow.</w:t>
      </w:r>
    </w:p>
    <w:p>
      <w:pPr>
        <w:spacing w:after="0" w:line="80"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environmental matters will have a material adverse effect on our consolidated financial position.</w:t>
      </w:r>
    </w:p>
    <w:p>
      <w:pPr>
        <w:spacing w:after="0" w:line="91" w:lineRule="exact"/>
        <w:rPr>
          <w:sz w:val="20"/>
          <w:szCs w:val="20"/>
          <w:color w:val="auto"/>
        </w:rPr>
      </w:pPr>
    </w:p>
    <w:p>
      <w:pPr>
        <w:ind w:right="340" w:firstLine="357"/>
        <w:spacing w:after="0" w:line="253" w:lineRule="auto"/>
        <w:rPr>
          <w:sz w:val="20"/>
          <w:szCs w:val="20"/>
          <w:color w:val="auto"/>
        </w:rPr>
      </w:pPr>
      <w:r>
        <w:rPr>
          <w:rFonts w:ascii="Arial" w:cs="Arial" w:eastAsia="Arial" w:hAnsi="Arial"/>
          <w:sz w:val="19"/>
          <w:szCs w:val="19"/>
          <w:color w:val="auto"/>
        </w:rPr>
        <w:t>See Note 22 Commitments and Contingencies of Notes to the Financial Statements for a discussion of our commitments and contingencies, including those related to environmental matters and toxic tort litigation.</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As a result of our global operating and financing activities, we are exposed to 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We do not use derivative financial instruments for trading or other speculative purposes and do not use leveraged derivative financial instruments. A summary of our accounting policies for derivative financial instruments is included in Note 1 Summary of Significant Accounting Policies of Notes to the Financial Statements. We also hold investments in marketable equity securities, which exposes us to market volatility, as discussed in Note 16 Financial Instruments and Fair Value Measures of Notes to the Financial Statements.</w:t>
      </w:r>
    </w:p>
    <w:p>
      <w:pPr>
        <w:spacing w:after="0" w:line="96"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We conduct our business on a multinational basis in a wide variety of foreign currencies. Our exposure to market risk from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cash flows. We attempt to hedge transaction exposures with natural offsets to the fullest extent possible and, once these opportunities have been exhausted, through foreign currency forward and option agreements with third parties. Our principal currency exposures relate to the U.S. dollar, Euro, British pound, Canadian dollar, Chinese renminbi, Mexican peso, Indian rupee, Korean won, Czech koruna, Hong Kong dollar, Singapore dollar, Romanian leu, Swiss franc, Swedish krona, and Thai baht.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3" w:name="page54"/>
    <w:bookmarkEnd w:id="53"/>
    <w:p>
      <w:pPr>
        <w:ind w:firstLine="357"/>
        <w:spacing w:after="0" w:line="242" w:lineRule="auto"/>
        <w:rPr>
          <w:sz w:val="20"/>
          <w:szCs w:val="20"/>
          <w:color w:val="auto"/>
        </w:rPr>
      </w:pPr>
      <w:r>
        <w:rPr>
          <w:rFonts w:ascii="Arial" w:cs="Arial" w:eastAsia="Arial" w:hAnsi="Arial"/>
          <w:sz w:val="19"/>
          <w:szCs w:val="19"/>
          <w:color w:val="auto"/>
        </w:rPr>
        <w:t>Our exposure to market risk from changes in interest rates relates primarily to our net debt and pension obligations. As described in Note 14 Long-term Debt and Credit Agreements and Note 16 Financial Instruments and Fair Value Measures of Notes to the Financial Statements, we issue both fixed and variable rate debt and use interest rate swaps to manage our exposure to interest rate movements and reduce overall borrowing costs.</w:t>
      </w:r>
    </w:p>
    <w:p>
      <w:pPr>
        <w:spacing w:after="0" w:line="91" w:lineRule="exact"/>
        <w:rPr>
          <w:sz w:val="20"/>
          <w:szCs w:val="20"/>
          <w:color w:val="auto"/>
        </w:rPr>
      </w:pPr>
    </w:p>
    <w:p>
      <w:pPr>
        <w:ind w:right="160" w:firstLine="357"/>
        <w:spacing w:after="0"/>
        <w:rPr>
          <w:sz w:val="20"/>
          <w:szCs w:val="20"/>
          <w:color w:val="auto"/>
        </w:rPr>
      </w:pPr>
      <w:r>
        <w:rPr>
          <w:rFonts w:ascii="Arial" w:cs="Arial" w:eastAsia="Arial" w:hAnsi="Arial"/>
          <w:sz w:val="19"/>
          <w:szCs w:val="19"/>
          <w:color w:val="auto"/>
        </w:rPr>
        <w:t>Financial instruments, including derivatives, expose us to counterparty credit risk for nonperformance and to market risk related to changes in interest and foreign currency exchange rates and commodity prices. We manage our exposure to counterparty credit risk through specific minimum credit standards, diversification of counterparties, and procedures to monitor concentrations of credit risk. Our counterparties are substantial investment and commercial banks with significant experience using such derivative instruments. We monitor the impact of market risk on the fair value and expected future cash flows of our derivative and other financial instruments considering reasonably possible changes in interest and currency exchange rates and restrict the use of derivative financial instruments to hedging activities.</w:t>
      </w:r>
    </w:p>
    <w:p>
      <w:pPr>
        <w:spacing w:after="0" w:line="91" w:lineRule="exact"/>
        <w:rPr>
          <w:sz w:val="20"/>
          <w:szCs w:val="20"/>
          <w:color w:val="auto"/>
        </w:rPr>
      </w:pPr>
    </w:p>
    <w:p>
      <w:pPr>
        <w:ind w:right="400" w:firstLine="357"/>
        <w:spacing w:after="0" w:line="241" w:lineRule="auto"/>
        <w:rPr>
          <w:sz w:val="20"/>
          <w:szCs w:val="20"/>
          <w:color w:val="auto"/>
        </w:rPr>
      </w:pPr>
      <w:r>
        <w:rPr>
          <w:rFonts w:ascii="Arial" w:cs="Arial" w:eastAsia="Arial" w:hAnsi="Arial"/>
          <w:sz w:val="19"/>
          <w:szCs w:val="19"/>
          <w:color w:val="auto"/>
        </w:rPr>
        <w:t>The following table illustrates the potential change in fair value for interest rate sensitive instruments based on a hypothetical immediate one-percentage-point increase in interest rates across all maturities, the potential change in fair value for foreign exchange rate sensitive instruments based on a 10 percent weakening of the U.S. dollar versus local currency exchange rates across all maturities, and the potential change in fair value of contracts hedging commodity purchases based on a 20 percent decrease in the price of the underlying commodity across all maturities at December 31, 2012 and 2011.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Estimated</w:t>
            </w:r>
          </w:p>
        </w:tc>
      </w:tr>
      <w:tr>
        <w:trPr>
          <w:trHeight w:val="176"/>
        </w:trPr>
        <w:tc>
          <w:tcPr>
            <w:tcW w:w="6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w w:val="98"/>
              </w:rPr>
              <w:t>Increase</w:t>
            </w:r>
          </w:p>
        </w:tc>
      </w:tr>
      <w:tr>
        <w:trPr>
          <w:trHeight w:val="176"/>
        </w:trPr>
        <w:tc>
          <w:tcPr>
            <w:tcW w:w="68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Face or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(Decrease)</w:t>
            </w:r>
          </w:p>
        </w:tc>
      </w:tr>
      <w:tr>
        <w:trPr>
          <w:trHeight w:val="176"/>
        </w:trPr>
        <w:tc>
          <w:tcPr>
            <w:tcW w:w="68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Notional</w:t>
            </w:r>
          </w:p>
        </w:tc>
        <w:tc>
          <w:tcPr>
            <w:tcW w:w="280" w:type="dxa"/>
            <w:vAlign w:val="bottom"/>
          </w:tcPr>
          <w:p>
            <w:pPr>
              <w:spacing w:after="0"/>
              <w:rPr>
                <w:sz w:val="15"/>
                <w:szCs w:val="15"/>
                <w:color w:val="auto"/>
              </w:rPr>
            </w:pPr>
          </w:p>
        </w:tc>
        <w:tc>
          <w:tcPr>
            <w:tcW w:w="940" w:type="dxa"/>
            <w:vAlign w:val="bottom"/>
          </w:tcPr>
          <w:p>
            <w:pPr>
              <w:jc w:val="right"/>
              <w:ind w:right="55"/>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940" w:type="dxa"/>
            <w:vAlign w:val="bottom"/>
          </w:tcPr>
          <w:p>
            <w:pPr>
              <w:jc w:val="right"/>
              <w:ind w:right="255"/>
              <w:spacing w:after="0" w:line="176" w:lineRule="exact"/>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68"/>
              <w:spacing w:after="0" w:line="176" w:lineRule="exact"/>
              <w:rPr>
                <w:sz w:val="20"/>
                <w:szCs w:val="20"/>
                <w:color w:val="auto"/>
              </w:rPr>
            </w:pPr>
            <w:r>
              <w:rPr>
                <w:rFonts w:ascii="Arial" w:cs="Arial" w:eastAsia="Arial" w:hAnsi="Arial"/>
                <w:sz w:val="16"/>
                <w:szCs w:val="16"/>
                <w:b w:val="1"/>
                <w:bCs w:val="1"/>
                <w:color w:val="auto"/>
                <w:w w:val="99"/>
              </w:rPr>
              <w:t>in Fair</w:t>
            </w:r>
          </w:p>
        </w:tc>
      </w:tr>
      <w:tr>
        <w:trPr>
          <w:trHeight w:val="204"/>
        </w:trPr>
        <w:tc>
          <w:tcPr>
            <w:tcW w:w="68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Value(1)</w:t>
            </w:r>
          </w:p>
        </w:tc>
        <w:tc>
          <w:tcPr>
            <w:tcW w:w="300" w:type="dxa"/>
            <w:vAlign w:val="bottom"/>
          </w:tcPr>
          <w:p>
            <w:pPr>
              <w:spacing w:after="0"/>
              <w:rPr>
                <w:sz w:val="17"/>
                <w:szCs w:val="17"/>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Value(1)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98"/>
              </w:rPr>
              <w:t>Value</w:t>
            </w:r>
          </w:p>
        </w:tc>
      </w:tr>
      <w:tr>
        <w:trPr>
          <w:trHeight w:val="237"/>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December 31, 2012</w:t>
            </w:r>
          </w:p>
        </w:tc>
        <w:tc>
          <w:tcPr>
            <w:tcW w:w="8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r>
      <w:tr>
        <w:trPr>
          <w:trHeight w:val="243"/>
        </w:trPr>
        <w:tc>
          <w:tcPr>
            <w:tcW w:w="6880" w:type="dxa"/>
            <w:vAlign w:val="bottom"/>
          </w:tcPr>
          <w:p>
            <w:pPr>
              <w:ind w:left="20"/>
              <w:spacing w:after="0"/>
              <w:rPr>
                <w:sz w:val="20"/>
                <w:szCs w:val="20"/>
                <w:color w:val="auto"/>
              </w:rPr>
            </w:pPr>
            <w:r>
              <w:rPr>
                <w:rFonts w:ascii="Arial" w:cs="Arial" w:eastAsia="Arial" w:hAnsi="Arial"/>
                <w:sz w:val="19"/>
                <w:szCs w:val="19"/>
                <w:b w:val="1"/>
                <w:bCs w:val="1"/>
                <w:color w:val="auto"/>
              </w:rPr>
              <w:t>Interest Rate Sensitive Instruments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8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Long-term debt (including current maturities)</w:t>
            </w:r>
          </w:p>
        </w:tc>
        <w:tc>
          <w:tcPr>
            <w:tcW w:w="8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$ 7,020</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(7,020 )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(8,152 )</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(555 )</w:t>
            </w:r>
          </w:p>
        </w:tc>
      </w:tr>
      <w:tr>
        <w:trPr>
          <w:trHeight w:val="270"/>
        </w:trPr>
        <w:tc>
          <w:tcPr>
            <w:tcW w:w="6880" w:type="dxa"/>
            <w:vAlign w:val="bottom"/>
          </w:tcPr>
          <w:p>
            <w:pPr>
              <w:ind w:left="200"/>
              <w:spacing w:after="0"/>
              <w:rPr>
                <w:sz w:val="20"/>
                <w:szCs w:val="20"/>
                <w:color w:val="auto"/>
              </w:rPr>
            </w:pPr>
            <w:r>
              <w:rPr>
                <w:rFonts w:ascii="Arial" w:cs="Arial" w:eastAsia="Arial" w:hAnsi="Arial"/>
                <w:sz w:val="19"/>
                <w:szCs w:val="19"/>
                <w:color w:val="auto"/>
              </w:rPr>
              <w:t>Interest rate swap agreements</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1,400</w:t>
            </w:r>
          </w:p>
        </w:tc>
        <w:tc>
          <w:tcPr>
            <w:tcW w:w="1220" w:type="dxa"/>
            <w:vAlign w:val="bottom"/>
            <w:gridSpan w:val="2"/>
          </w:tcPr>
          <w:p>
            <w:pPr>
              <w:jc w:val="right"/>
              <w:ind w:right="55"/>
              <w:spacing w:after="0"/>
              <w:rPr>
                <w:sz w:val="20"/>
                <w:szCs w:val="20"/>
                <w:color w:val="auto"/>
              </w:rPr>
            </w:pPr>
            <w:r>
              <w:rPr>
                <w:rFonts w:ascii="Arial" w:cs="Arial" w:eastAsia="Arial" w:hAnsi="Arial"/>
                <w:sz w:val="19"/>
                <w:szCs w:val="19"/>
                <w:color w:val="auto"/>
              </w:rPr>
              <w:t>146</w:t>
            </w:r>
          </w:p>
        </w:tc>
        <w:tc>
          <w:tcPr>
            <w:tcW w:w="1240" w:type="dxa"/>
            <w:vAlign w:val="bottom"/>
            <w:gridSpan w:val="2"/>
          </w:tcPr>
          <w:p>
            <w:pPr>
              <w:jc w:val="right"/>
              <w:ind w:right="75"/>
              <w:spacing w:after="0"/>
              <w:rPr>
                <w:sz w:val="20"/>
                <w:szCs w:val="20"/>
                <w:color w:val="auto"/>
              </w:rPr>
            </w:pPr>
            <w:r>
              <w:rPr>
                <w:rFonts w:ascii="Arial" w:cs="Arial" w:eastAsia="Arial" w:hAnsi="Arial"/>
                <w:sz w:val="19"/>
                <w:szCs w:val="19"/>
                <w:color w:val="auto"/>
              </w:rPr>
              <w:t>146</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(67 )</w:t>
            </w:r>
          </w:p>
        </w:tc>
      </w:tr>
      <w:tr>
        <w:trPr>
          <w:trHeight w:val="243"/>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Foreign Exchange Rate Sensitive Instruments</w:t>
            </w: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6880" w:type="dxa"/>
            <w:vAlign w:val="bottom"/>
          </w:tcPr>
          <w:p>
            <w:pPr>
              <w:ind w:left="200"/>
              <w:spacing w:after="0"/>
              <w:rPr>
                <w:sz w:val="20"/>
                <w:szCs w:val="20"/>
                <w:color w:val="auto"/>
              </w:rPr>
            </w:pPr>
            <w:r>
              <w:rPr>
                <w:rFonts w:ascii="Arial" w:cs="Arial" w:eastAsia="Arial" w:hAnsi="Arial"/>
                <w:sz w:val="19"/>
                <w:szCs w:val="19"/>
                <w:color w:val="auto"/>
              </w:rPr>
              <w:t>Foreign currency exchange contracts(2)</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8,506</w:t>
            </w:r>
          </w:p>
        </w:tc>
        <w:tc>
          <w:tcPr>
            <w:tcW w:w="1220" w:type="dxa"/>
            <w:vAlign w:val="bottom"/>
            <w:gridSpan w:val="2"/>
          </w:tcPr>
          <w:p>
            <w:pPr>
              <w:jc w:val="right"/>
              <w:ind w:right="55"/>
              <w:spacing w:after="0"/>
              <w:rPr>
                <w:sz w:val="20"/>
                <w:szCs w:val="20"/>
                <w:color w:val="auto"/>
              </w:rPr>
            </w:pPr>
            <w:r>
              <w:rPr>
                <w:rFonts w:ascii="Arial" w:cs="Arial" w:eastAsia="Arial" w:hAnsi="Arial"/>
                <w:sz w:val="19"/>
                <w:szCs w:val="19"/>
                <w:color w:val="auto"/>
              </w:rPr>
              <w:t>20</w:t>
            </w:r>
          </w:p>
        </w:tc>
        <w:tc>
          <w:tcPr>
            <w:tcW w:w="1240" w:type="dxa"/>
            <w:vAlign w:val="bottom"/>
            <w:gridSpan w:val="2"/>
          </w:tcPr>
          <w:p>
            <w:pPr>
              <w:jc w:val="right"/>
              <w:ind w:right="75"/>
              <w:spacing w:after="0"/>
              <w:rPr>
                <w:sz w:val="20"/>
                <w:szCs w:val="20"/>
                <w:color w:val="auto"/>
              </w:rPr>
            </w:pPr>
            <w:r>
              <w:rPr>
                <w:rFonts w:ascii="Arial" w:cs="Arial" w:eastAsia="Arial" w:hAnsi="Arial"/>
                <w:sz w:val="19"/>
                <w:szCs w:val="19"/>
                <w:color w:val="auto"/>
              </w:rPr>
              <w:t>20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9"/>
                <w:szCs w:val="19"/>
                <w:color w:val="auto"/>
              </w:rPr>
              <w:t>361</w:t>
            </w:r>
          </w:p>
        </w:tc>
      </w:tr>
      <w:tr>
        <w:trPr>
          <w:trHeight w:val="243"/>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Commodity Price Sensitive Instruments</w:t>
            </w: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6880" w:type="dxa"/>
            <w:vAlign w:val="bottom"/>
          </w:tcPr>
          <w:p>
            <w:pPr>
              <w:ind w:left="200"/>
              <w:spacing w:after="0"/>
              <w:rPr>
                <w:sz w:val="20"/>
                <w:szCs w:val="20"/>
                <w:color w:val="auto"/>
              </w:rPr>
            </w:pPr>
            <w:r>
              <w:rPr>
                <w:rFonts w:ascii="Arial" w:cs="Arial" w:eastAsia="Arial" w:hAnsi="Arial"/>
                <w:sz w:val="19"/>
                <w:szCs w:val="19"/>
                <w:color w:val="auto"/>
              </w:rPr>
              <w:t>Forward commodity contracts(3)</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17</w:t>
            </w:r>
          </w:p>
        </w:tc>
        <w:tc>
          <w:tcPr>
            <w:tcW w:w="28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940" w:type="dxa"/>
            <w:vAlign w:val="bottom"/>
          </w:tcPr>
          <w:p>
            <w:pPr>
              <w:jc w:val="right"/>
              <w:ind w:right="7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(3 )</w:t>
            </w:r>
          </w:p>
        </w:tc>
      </w:tr>
      <w:tr>
        <w:trPr>
          <w:trHeight w:val="243"/>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December 31, 2011</w:t>
            </w: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43"/>
        </w:trPr>
        <w:tc>
          <w:tcPr>
            <w:tcW w:w="6880" w:type="dxa"/>
            <w:vAlign w:val="bottom"/>
          </w:tcPr>
          <w:p>
            <w:pPr>
              <w:ind w:left="20"/>
              <w:spacing w:after="0"/>
              <w:rPr>
                <w:sz w:val="20"/>
                <w:szCs w:val="20"/>
                <w:color w:val="auto"/>
              </w:rPr>
            </w:pPr>
            <w:r>
              <w:rPr>
                <w:rFonts w:ascii="Arial" w:cs="Arial" w:eastAsia="Arial" w:hAnsi="Arial"/>
                <w:sz w:val="19"/>
                <w:szCs w:val="19"/>
                <w:b w:val="1"/>
                <w:bCs w:val="1"/>
                <w:color w:val="auto"/>
              </w:rPr>
              <w:t>Interest Rate Sensitive Instruments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8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Long-term debt (including current maturities)</w:t>
            </w:r>
          </w:p>
        </w:tc>
        <w:tc>
          <w:tcPr>
            <w:tcW w:w="8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$ 6,896</w:t>
            </w:r>
          </w:p>
        </w:tc>
        <w:tc>
          <w:tcPr>
            <w:tcW w:w="1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(6,896 )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(7,896 )</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(578 )</w:t>
            </w:r>
          </w:p>
        </w:tc>
      </w:tr>
      <w:tr>
        <w:trPr>
          <w:trHeight w:val="270"/>
        </w:trPr>
        <w:tc>
          <w:tcPr>
            <w:tcW w:w="6880" w:type="dxa"/>
            <w:vAlign w:val="bottom"/>
          </w:tcPr>
          <w:p>
            <w:pPr>
              <w:ind w:left="200"/>
              <w:spacing w:after="0"/>
              <w:rPr>
                <w:sz w:val="20"/>
                <w:szCs w:val="20"/>
                <w:color w:val="auto"/>
              </w:rPr>
            </w:pPr>
            <w:r>
              <w:rPr>
                <w:rFonts w:ascii="Arial" w:cs="Arial" w:eastAsia="Arial" w:hAnsi="Arial"/>
                <w:sz w:val="19"/>
                <w:szCs w:val="19"/>
                <w:color w:val="auto"/>
              </w:rPr>
              <w:t>Interest rate swap agreements</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1,400</w:t>
            </w:r>
          </w:p>
        </w:tc>
        <w:tc>
          <w:tcPr>
            <w:tcW w:w="1220" w:type="dxa"/>
            <w:vAlign w:val="bottom"/>
            <w:gridSpan w:val="2"/>
          </w:tcPr>
          <w:p>
            <w:pPr>
              <w:jc w:val="right"/>
              <w:ind w:right="55"/>
              <w:spacing w:after="0"/>
              <w:rPr>
                <w:sz w:val="20"/>
                <w:szCs w:val="20"/>
                <w:color w:val="auto"/>
              </w:rPr>
            </w:pPr>
            <w:r>
              <w:rPr>
                <w:rFonts w:ascii="Arial" w:cs="Arial" w:eastAsia="Arial" w:hAnsi="Arial"/>
                <w:sz w:val="19"/>
                <w:szCs w:val="19"/>
                <w:color w:val="auto"/>
              </w:rPr>
              <w:t>134</w:t>
            </w:r>
          </w:p>
        </w:tc>
        <w:tc>
          <w:tcPr>
            <w:tcW w:w="1240" w:type="dxa"/>
            <w:vAlign w:val="bottom"/>
            <w:gridSpan w:val="2"/>
          </w:tcPr>
          <w:p>
            <w:pPr>
              <w:jc w:val="right"/>
              <w:ind w:right="75"/>
              <w:spacing w:after="0"/>
              <w:rPr>
                <w:sz w:val="20"/>
                <w:szCs w:val="20"/>
                <w:color w:val="auto"/>
              </w:rPr>
            </w:pPr>
            <w:r>
              <w:rPr>
                <w:rFonts w:ascii="Arial" w:cs="Arial" w:eastAsia="Arial" w:hAnsi="Arial"/>
                <w:sz w:val="19"/>
                <w:szCs w:val="19"/>
                <w:color w:val="auto"/>
              </w:rPr>
              <w:t>134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(74 )</w:t>
            </w:r>
          </w:p>
        </w:tc>
      </w:tr>
      <w:tr>
        <w:trPr>
          <w:trHeight w:val="243"/>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Foreign Exchange Rate Sensitive Instruments</w:t>
            </w: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6880" w:type="dxa"/>
            <w:vAlign w:val="bottom"/>
          </w:tcPr>
          <w:p>
            <w:pPr>
              <w:ind w:left="200"/>
              <w:spacing w:after="0"/>
              <w:rPr>
                <w:sz w:val="20"/>
                <w:szCs w:val="20"/>
                <w:color w:val="auto"/>
              </w:rPr>
            </w:pPr>
            <w:r>
              <w:rPr>
                <w:rFonts w:ascii="Arial" w:cs="Arial" w:eastAsia="Arial" w:hAnsi="Arial"/>
                <w:sz w:val="19"/>
                <w:szCs w:val="19"/>
                <w:color w:val="auto"/>
              </w:rPr>
              <w:t>Foreign currency exchange contracts(2)</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7,108</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(26 )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(26 )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9"/>
                <w:szCs w:val="19"/>
                <w:color w:val="auto"/>
              </w:rPr>
              <w:t>274</w:t>
            </w:r>
          </w:p>
        </w:tc>
      </w:tr>
      <w:tr>
        <w:trPr>
          <w:trHeight w:val="243"/>
        </w:trPr>
        <w:tc>
          <w:tcPr>
            <w:tcW w:w="68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Commodity Price Sensitive Instruments</w:t>
            </w:r>
          </w:p>
        </w:tc>
        <w:tc>
          <w:tcPr>
            <w:tcW w:w="8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4"/>
        </w:trPr>
        <w:tc>
          <w:tcPr>
            <w:tcW w:w="6880" w:type="dxa"/>
            <w:vAlign w:val="bottom"/>
          </w:tcPr>
          <w:p>
            <w:pPr>
              <w:ind w:left="200"/>
              <w:spacing w:after="0"/>
              <w:rPr>
                <w:sz w:val="20"/>
                <w:szCs w:val="20"/>
                <w:color w:val="auto"/>
              </w:rPr>
            </w:pPr>
            <w:r>
              <w:rPr>
                <w:rFonts w:ascii="Arial" w:cs="Arial" w:eastAsia="Arial" w:hAnsi="Arial"/>
                <w:sz w:val="19"/>
                <w:szCs w:val="19"/>
                <w:color w:val="auto"/>
              </w:rPr>
              <w:t>Forward commodity contracts(3)</w:t>
            </w:r>
          </w:p>
        </w:tc>
        <w:tc>
          <w:tcPr>
            <w:tcW w:w="820" w:type="dxa"/>
            <w:vAlign w:val="bottom"/>
          </w:tcPr>
          <w:p>
            <w:pPr>
              <w:jc w:val="right"/>
              <w:ind w:right="8"/>
              <w:spacing w:after="0"/>
              <w:rPr>
                <w:sz w:val="20"/>
                <w:szCs w:val="20"/>
                <w:color w:val="auto"/>
              </w:rPr>
            </w:pPr>
            <w:r>
              <w:rPr>
                <w:rFonts w:ascii="Arial" w:cs="Arial" w:eastAsia="Arial" w:hAnsi="Arial"/>
                <w:sz w:val="19"/>
                <w:szCs w:val="19"/>
                <w:color w:val="auto"/>
              </w:rPr>
              <w:t>59</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(9 )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(9 )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9"/>
                <w:szCs w:val="19"/>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702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68" w:lineRule="exact"/>
        <w:rPr>
          <w:sz w:val="20"/>
          <w:szCs w:val="20"/>
          <w:color w:val="auto"/>
        </w:rPr>
      </w:pPr>
    </w:p>
    <w:p>
      <w:pPr>
        <w:ind w:left="400" w:hanging="332"/>
        <w:spacing w:after="0"/>
        <w:tabs>
          <w:tab w:leader="none" w:pos="4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Asset or (liability).</w:t>
      </w:r>
    </w:p>
    <w:p>
      <w:pPr>
        <w:spacing w:after="0" w:line="119" w:lineRule="exact"/>
        <w:rPr>
          <w:rFonts w:ascii="Arial" w:cs="Arial" w:eastAsia="Arial" w:hAnsi="Arial"/>
          <w:sz w:val="19"/>
          <w:szCs w:val="19"/>
          <w:color w:val="auto"/>
        </w:rPr>
      </w:pPr>
    </w:p>
    <w:p>
      <w:pPr>
        <w:ind w:left="400" w:right="800" w:hanging="332"/>
        <w:spacing w:after="0" w:line="253" w:lineRule="auto"/>
        <w:tabs>
          <w:tab w:leader="none" w:pos="4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Changes in the fair value of foreign currency exchange contracts are offset by changes in the fair value or cash flows of underlying hedged foreign currency transactions.</w:t>
      </w:r>
    </w:p>
    <w:p>
      <w:pPr>
        <w:spacing w:after="0" w:line="93" w:lineRule="exact"/>
        <w:rPr>
          <w:rFonts w:ascii="Arial" w:cs="Arial" w:eastAsia="Arial" w:hAnsi="Arial"/>
          <w:sz w:val="19"/>
          <w:szCs w:val="19"/>
          <w:color w:val="auto"/>
        </w:rPr>
      </w:pPr>
    </w:p>
    <w:p>
      <w:pPr>
        <w:ind w:left="400" w:right="860" w:hanging="332"/>
        <w:spacing w:after="0" w:line="253" w:lineRule="auto"/>
        <w:tabs>
          <w:tab w:leader="none" w:pos="4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Changes in the fair value of forward commodity contracts are offset by changes in the cash flows of underlying hedged commodity transactions.</w:t>
      </w:r>
    </w:p>
    <w:p>
      <w:pPr>
        <w:spacing w:after="0" w:line="80" w:lineRule="exact"/>
        <w:rPr>
          <w:sz w:val="20"/>
          <w:szCs w:val="20"/>
          <w:color w:val="auto"/>
        </w:rPr>
      </w:pPr>
    </w:p>
    <w:p>
      <w:pPr>
        <w:ind w:right="200" w:firstLine="357"/>
        <w:spacing w:after="0" w:line="242" w:lineRule="auto"/>
        <w:rPr>
          <w:sz w:val="20"/>
          <w:szCs w:val="20"/>
          <w:color w:val="auto"/>
        </w:rPr>
      </w:pPr>
      <w:r>
        <w:rPr>
          <w:rFonts w:ascii="Arial" w:cs="Arial" w:eastAsia="Arial" w:hAnsi="Arial"/>
          <w:sz w:val="19"/>
          <w:szCs w:val="19"/>
          <w:color w:val="auto"/>
        </w:rPr>
        <w:t>The above discussion of our procedures to monitor market risk and the estimated changes in fair value resulting from our sensitivity analyses are forward-looking statements of market risk assuming certain adverse market conditions occur. Actual results in the future may differ materially from these estimated results due to actual developments in the global financial markets. The methods used by us to assess and mitigate risk discussed above should not be considered projections of future events.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4" w:name="page55"/>
    <w:bookmarkEnd w:id="54"/>
    <w:p>
      <w:pPr>
        <w:spacing w:after="0"/>
        <w:rPr>
          <w:sz w:val="20"/>
          <w:szCs w:val="20"/>
          <w:color w:val="auto"/>
        </w:rPr>
      </w:pPr>
      <w:r>
        <w:rPr>
          <w:rFonts w:ascii="Arial" w:cs="Arial" w:eastAsia="Arial" w:hAnsi="Arial"/>
          <w:sz w:val="23"/>
          <w:szCs w:val="23"/>
          <w:b w:val="1"/>
          <w:bCs w:val="1"/>
          <w:color w:val="auto"/>
        </w:rPr>
        <w:t>CRITICAL ACCOUNTING POLICIES</w:t>
      </w:r>
    </w:p>
    <w:p>
      <w:pPr>
        <w:spacing w:after="0" w:line="148"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91"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We have discussed the selection, application and disclosure of these critical accounting policies with the Audit Committee of our Board of Directors and our Independent Registered Public Accountants. New accounting standards effective in 2012 which had a material impact on our consolidated financial statements are described in the Recent Accounting Pronouncements section in Note 1 Summary of Significant Accounting Policies of Notes to the Financial Statements.</w:t>
      </w:r>
    </w:p>
    <w:p>
      <w:pPr>
        <w:spacing w:after="0" w:line="67"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Contingent Liabilities</w:t>
      </w:r>
      <w:r>
        <w:rPr>
          <w:rFonts w:ascii="Arial" w:cs="Arial" w:eastAsia="Arial" w:hAnsi="Arial"/>
          <w:sz w:val="19"/>
          <w:szCs w:val="19"/>
          <w:color w:val="auto"/>
        </w:rPr>
        <w:t>—We are subject to a number of lawsuits, investigations and claims (some of which involve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and environmental, health and safety matters. We recognize a liability for any contingency that is probable of occurrence and reasonably estimable.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For a discussion of our contingencies related to environmental, asbestos and other matters, including management’s judgment applied in the recognition and measurement of specific liabilities, see Notes 1 Summary of Significant Accounting Policies and 22 Commitments and Contingencies of Notes to the Financial Statements.</w:t>
      </w:r>
    </w:p>
    <w:p>
      <w:pPr>
        <w:spacing w:after="0" w:line="29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—We are a defendant in personal injury actions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containing asbestos (refractory and friction products). We recognize a liability for any asbestos related contingency that is probable of occurrence and reasonably estimable.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through 2018 as described in Note 22 Commitments and Contingencies of Notes to the Financial Statements. In light of the inherent uncertainties in making long term projections and in connection with the initial operation of a 524(g) trust, as well as the stay of all NARCO asbestos claims since January 2002, we do not believe that we have a reasonable basis for estimating NARCO asbestos claims beyond 2018. Regarding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We will continue to update the resolution values used to estimate the cost of pending and future Bendix claims during the fourth quarter each year. For additional information see Note 22 Commitments and Contingencies of Notes to the Financial Statements. We continually assess the likelihood of any adverse judgments or outcomes to our contingencies, as well as potential ranges of probable losses and recognize a liability, if any,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5" w:name="page56"/>
    <w:bookmarkEnd w:id="55"/>
    <w:p>
      <w:pPr>
        <w:ind w:right="420"/>
        <w:spacing w:after="0" w:line="253" w:lineRule="auto"/>
        <w:rPr>
          <w:sz w:val="20"/>
          <w:szCs w:val="20"/>
          <w:color w:val="auto"/>
        </w:rPr>
      </w:pPr>
      <w:r>
        <w:rPr>
          <w:rFonts w:ascii="Arial" w:cs="Arial" w:eastAsia="Arial" w:hAnsi="Arial"/>
          <w:sz w:val="19"/>
          <w:szCs w:val="19"/>
          <w:color w:val="auto"/>
        </w:rPr>
        <w:t>these contingencies based on an analysis of each individual issue with the assistance of outside legal counsel and, if applicable, other experts.</w:t>
      </w:r>
    </w:p>
    <w:p>
      <w:pPr>
        <w:spacing w:after="0" w:line="80" w:lineRule="exact"/>
        <w:rPr>
          <w:sz w:val="20"/>
          <w:szCs w:val="20"/>
          <w:color w:val="auto"/>
        </w:rPr>
      </w:pPr>
    </w:p>
    <w:p>
      <w:pPr>
        <w:ind w:right="20" w:firstLine="357"/>
        <w:spacing w:after="0" w:line="238" w:lineRule="auto"/>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 Our insurance is with both the domestic insurance market and the London excess market.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 See Note 22 Commitments and Contingencies of Notes to the Financial Statements for a discussion of management’s judgments applied in the recognition and measurement of insurance recoveries for asbestos related liabilities.</w:t>
      </w:r>
    </w:p>
    <w:p>
      <w:pPr>
        <w:spacing w:after="0" w:line="77" w:lineRule="exact"/>
        <w:rPr>
          <w:sz w:val="20"/>
          <w:szCs w:val="20"/>
          <w:color w:val="auto"/>
        </w:rPr>
      </w:pPr>
    </w:p>
    <w:p>
      <w:pPr>
        <w:ind w:right="500" w:firstLine="357"/>
        <w:spacing w:after="0" w:line="280" w:lineRule="auto"/>
        <w:rPr>
          <w:sz w:val="20"/>
          <w:szCs w:val="20"/>
          <w:color w:val="auto"/>
        </w:rPr>
      </w:pPr>
      <w:r>
        <w:rPr>
          <w:rFonts w:ascii="Arial" w:cs="Arial" w:eastAsia="Arial" w:hAnsi="Arial"/>
          <w:sz w:val="19"/>
          <w:szCs w:val="19"/>
          <w:b w:val="1"/>
          <w:bCs w:val="1"/>
          <w:i w:val="1"/>
          <w:iCs w:val="1"/>
          <w:color w:val="auto"/>
        </w:rPr>
        <w:t>Defined Benefit Pension Plans</w:t>
      </w:r>
      <w:r>
        <w:rPr>
          <w:rFonts w:ascii="Arial" w:cs="Arial" w:eastAsia="Arial" w:hAnsi="Arial"/>
          <w:sz w:val="19"/>
          <w:szCs w:val="19"/>
          <w:color w:val="auto"/>
        </w:rPr>
        <w:t>—We sponsor both funded and unfunded U.S. and non-U.S. defined benefit pension plans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covering the majority of our employees and retirees.</w:t>
      </w:r>
    </w:p>
    <w:p>
      <w:pPr>
        <w:spacing w:after="0" w:line="5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We recognize net actuarial gains or losses in excess of 10 percent of the greater of the market-related value of plan assets or the plans’ projected benefit obligation (the corridor) annually in the fourth quarter each year (MTM Adjustment) and, if applicable, in any quarter in which an interim remeasurement is triggered. Net actuarial gains and losses occur when the actual experience differs from any of the various assumptions used to value our pension plans or when assumptions change as they may each year. The primary factors contributing to actuarial gains and losses are changes in the discount rate used to value pension obligations as of the measurement date each year and the differences between expected and actual returns on plan assets. This accounting method also results in the potential for volatile and difficult to forecast MTM Adjustments. MTM charges were $957, $1,802 and $471 million in 2012, 2011 and 2010, respectively. The remaining components of pension income/expense, primarily service and interest costs and assumed return on plan assets, are recorded on a quarterly basis (Pension Ongoing Income/Expense).</w:t>
      </w:r>
    </w:p>
    <w:p>
      <w:pPr>
        <w:spacing w:after="0" w:line="95"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For financial reporting purposes, net periodic pension income/expense is calculated based upon a number of actuarial assumptions, including a discount rate for plan obligations and an expected long-term rate of return on plan assets. We determine the expected long-term rate of return on plan assets utilizing historical plan asset returns over varying long-term periods combined with our expectations on future market conditions and asset mix considerations (see Note 23 Pension and Other Postretirement Benefits of Notes to the Financial Statements for details on the actual various asset classes and targeted asset allocation percentages for our pension plans). The discount rate reflects the market rate on December 31 (measurement date) for high-quality fixed-income investments with maturities corresponding to our benefit obligations and is subject to change each year. Information on all our major actuarial assumptions is included in Note 23 Pension and Other Postretirement Benefits of Notes to the Financial Statements.</w:t>
      </w:r>
    </w:p>
    <w:p>
      <w:pPr>
        <w:spacing w:after="0" w:line="305"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The key assumptions used in developing our 2012, 2011 and 2010 net periodic pension expense for our U.S. plans included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84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2010</w:t>
            </w:r>
          </w:p>
        </w:tc>
        <w:tc>
          <w:tcPr>
            <w:tcW w:w="1020" w:type="dxa"/>
            <w:vAlign w:val="bottom"/>
          </w:tcPr>
          <w:p>
            <w:pPr>
              <w:spacing w:after="0"/>
              <w:rPr>
                <w:sz w:val="17"/>
                <w:szCs w:val="17"/>
                <w:color w:val="auto"/>
              </w:rPr>
            </w:pPr>
          </w:p>
        </w:tc>
      </w:tr>
      <w:tr>
        <w:trPr>
          <w:trHeight w:val="264"/>
        </w:trPr>
        <w:tc>
          <w:tcPr>
            <w:tcW w:w="1000" w:type="dxa"/>
            <w:vAlign w:val="bottom"/>
          </w:tcPr>
          <w:p>
            <w:pPr>
              <w:spacing w:after="0"/>
              <w:rPr>
                <w:sz w:val="22"/>
                <w:szCs w:val="22"/>
                <w:color w:val="auto"/>
              </w:rPr>
            </w:pPr>
          </w:p>
        </w:tc>
        <w:tc>
          <w:tcPr>
            <w:tcW w:w="6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Discount rate</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4.89 %</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5.25 %</w:t>
            </w:r>
          </w:p>
        </w:tc>
        <w:tc>
          <w:tcPr>
            <w:tcW w:w="11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5.75 %</w:t>
            </w:r>
          </w:p>
        </w:tc>
        <w:tc>
          <w:tcPr>
            <w:tcW w:w="1020" w:type="dxa"/>
            <w:vAlign w:val="bottom"/>
          </w:tcPr>
          <w:p>
            <w:pPr>
              <w:spacing w:after="0"/>
              <w:rPr>
                <w:sz w:val="22"/>
                <w:szCs w:val="22"/>
                <w:color w:val="auto"/>
              </w:rPr>
            </w:pPr>
          </w:p>
        </w:tc>
      </w:tr>
      <w:tr>
        <w:trPr>
          <w:trHeight w:val="243"/>
        </w:trPr>
        <w:tc>
          <w:tcPr>
            <w:tcW w:w="10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9"/>
                <w:szCs w:val="19"/>
                <w:color w:val="auto"/>
              </w:rPr>
              <w:t>Assets:</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1000" w:type="dxa"/>
            <w:vAlign w:val="bottom"/>
          </w:tcPr>
          <w:p>
            <w:pPr>
              <w:spacing w:after="0"/>
              <w:rPr>
                <w:sz w:val="23"/>
                <w:szCs w:val="23"/>
                <w:color w:val="auto"/>
              </w:rPr>
            </w:pPr>
          </w:p>
        </w:tc>
        <w:tc>
          <w:tcPr>
            <w:tcW w:w="62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rate of return</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11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9 %</w:t>
            </w:r>
          </w:p>
        </w:tc>
        <w:tc>
          <w:tcPr>
            <w:tcW w:w="102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6280" w:type="dxa"/>
            <w:vAlign w:val="bottom"/>
          </w:tcPr>
          <w:p>
            <w:pPr>
              <w:ind w:left="380"/>
              <w:spacing w:after="0"/>
              <w:rPr>
                <w:sz w:val="20"/>
                <w:szCs w:val="20"/>
                <w:color w:val="auto"/>
              </w:rPr>
            </w:pPr>
            <w:r>
              <w:rPr>
                <w:rFonts w:ascii="Arial" w:cs="Arial" w:eastAsia="Arial" w:hAnsi="Arial"/>
                <w:sz w:val="19"/>
                <w:szCs w:val="19"/>
                <w:color w:val="auto"/>
              </w:rPr>
              <w:t>Actual rate of return</w:t>
            </w:r>
          </w:p>
        </w:tc>
        <w:tc>
          <w:tcPr>
            <w:tcW w:w="840" w:type="dxa"/>
            <w:vAlign w:val="bottom"/>
          </w:tcPr>
          <w:p>
            <w:pPr>
              <w:jc w:val="right"/>
              <w:spacing w:after="0"/>
              <w:rPr>
                <w:sz w:val="20"/>
                <w:szCs w:val="20"/>
                <w:color w:val="auto"/>
              </w:rPr>
            </w:pPr>
            <w:r>
              <w:rPr>
                <w:rFonts w:ascii="Arial" w:cs="Arial" w:eastAsia="Arial" w:hAnsi="Arial"/>
                <w:sz w:val="19"/>
                <w:szCs w:val="19"/>
                <w:color w:val="auto"/>
              </w:rPr>
              <w:t>13 %</w:t>
            </w:r>
          </w:p>
        </w:tc>
        <w:tc>
          <w:tcPr>
            <w:tcW w:w="280" w:type="dxa"/>
            <w:vAlign w:val="bottom"/>
          </w:tcPr>
          <w:p>
            <w:pPr>
              <w:spacing w:after="0"/>
              <w:rPr>
                <w:sz w:val="23"/>
                <w:szCs w:val="23"/>
                <w:color w:val="auto"/>
              </w:rPr>
            </w:pPr>
          </w:p>
        </w:tc>
        <w:tc>
          <w:tcPr>
            <w:tcW w:w="820" w:type="dxa"/>
            <w:vAlign w:val="bottom"/>
          </w:tcPr>
          <w:p>
            <w:pPr>
              <w:jc w:val="right"/>
              <w:ind w:right="192"/>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ind w:right="1"/>
              <w:spacing w:after="0"/>
              <w:rPr>
                <w:sz w:val="20"/>
                <w:szCs w:val="20"/>
                <w:color w:val="auto"/>
              </w:rPr>
            </w:pPr>
            <w:r>
              <w:rPr>
                <w:rFonts w:ascii="Arial" w:cs="Arial" w:eastAsia="Arial" w:hAnsi="Arial"/>
                <w:sz w:val="19"/>
                <w:szCs w:val="19"/>
                <w:color w:val="auto"/>
              </w:rPr>
              <w:t>19 %</w:t>
            </w:r>
          </w:p>
        </w:tc>
        <w:tc>
          <w:tcPr>
            <w:tcW w:w="102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62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Actual 10 year average annual compounded rate of return</w:t>
            </w:r>
          </w:p>
        </w:tc>
        <w:tc>
          <w:tcPr>
            <w:tcW w:w="8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6 %</w:t>
            </w:r>
          </w:p>
        </w:tc>
        <w:tc>
          <w:tcPr>
            <w:tcW w:w="11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6 %</w:t>
            </w:r>
          </w:p>
        </w:tc>
        <w:tc>
          <w:tcPr>
            <w:tcW w:w="1020" w:type="dxa"/>
            <w:vAlign w:val="bottom"/>
          </w:tcPr>
          <w:p>
            <w:pPr>
              <w:spacing w:after="0"/>
              <w:rPr>
                <w:sz w:val="23"/>
                <w:szCs w:val="23"/>
                <w:color w:val="auto"/>
              </w:rPr>
            </w:pPr>
          </w:p>
        </w:tc>
      </w:tr>
      <w:tr>
        <w:trPr>
          <w:trHeight w:val="342"/>
        </w:trPr>
        <w:tc>
          <w:tcPr>
            <w:tcW w:w="1000" w:type="dxa"/>
            <w:vAlign w:val="bottom"/>
          </w:tcPr>
          <w:p>
            <w:pPr>
              <w:spacing w:after="0"/>
              <w:rPr>
                <w:sz w:val="24"/>
                <w:szCs w:val="24"/>
                <w:color w:val="auto"/>
              </w:rPr>
            </w:pPr>
          </w:p>
        </w:tc>
        <w:tc>
          <w:tcPr>
            <w:tcW w:w="6280" w:type="dxa"/>
            <w:vAlign w:val="bottom"/>
          </w:tcPr>
          <w:p>
            <w:pPr>
              <w:ind w:left="4600"/>
              <w:spacing w:after="0"/>
              <w:rPr>
                <w:sz w:val="20"/>
                <w:szCs w:val="20"/>
                <w:color w:val="auto"/>
              </w:rPr>
            </w:pPr>
            <w:r>
              <w:rPr>
                <w:rFonts w:ascii="Arial" w:cs="Arial" w:eastAsia="Arial" w:hAnsi="Arial"/>
                <w:sz w:val="19"/>
                <w:szCs w:val="19"/>
                <w:color w:val="auto"/>
              </w:rPr>
              <w:t>52</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9"/>
        </w:trPr>
        <w:tc>
          <w:tcPr>
            <w:tcW w:w="100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6" w:name="page57"/>
    <w:bookmarkEnd w:id="56"/>
    <w:p>
      <w:pPr>
        <w:ind w:right="120" w:firstLine="357"/>
        <w:spacing w:after="0" w:line="242" w:lineRule="auto"/>
        <w:rPr>
          <w:sz w:val="20"/>
          <w:szCs w:val="20"/>
          <w:color w:val="auto"/>
        </w:rPr>
      </w:pPr>
      <w:r>
        <w:rPr>
          <w:rFonts w:ascii="Arial" w:cs="Arial" w:eastAsia="Arial" w:hAnsi="Arial"/>
          <w:sz w:val="19"/>
          <w:szCs w:val="19"/>
          <w:color w:val="auto"/>
        </w:rPr>
        <w:t>The discount rate can be volatile from year to year because it is determined based upon prevailing interest rates as of the measurement date. We will use a 4.06 percent discount rate in 2013, reflecting the decrease in the market interest rate environment since December 31, 2011. We will use an expected rate of return on plan assets of 7.75 percent for 2013 down from 8 percent in 2012 due to lower future expected market returns.</w:t>
      </w:r>
    </w:p>
    <w:p>
      <w:pPr>
        <w:spacing w:after="0" w:line="91"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In addition to the potential for MTM Adjustments, changes in our expected rate of return on plan assets and discount rate resulting from economic events also affects future pension ongoing expense. The following table highlights the sensitivity of our U.S. pension obligations and ongoing expense to changes in these assumptions, assuming all other assumptions remain constant. These estimates exclude any potential MTM Adjustment: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ind w:left="620"/>
              <w:spacing w:after="0"/>
              <w:rPr>
                <w:sz w:val="20"/>
                <w:szCs w:val="20"/>
                <w:color w:val="auto"/>
              </w:rPr>
            </w:pPr>
            <w:r>
              <w:rPr>
                <w:rFonts w:ascii="Arial" w:cs="Arial" w:eastAsia="Arial" w:hAnsi="Arial"/>
                <w:sz w:val="16"/>
                <w:szCs w:val="16"/>
                <w:b w:val="1"/>
                <w:bCs w:val="1"/>
                <w:color w:val="auto"/>
              </w:rPr>
              <w:t>Impact on 2013</w:t>
            </w:r>
          </w:p>
        </w:tc>
        <w:tc>
          <w:tcPr>
            <w:tcW w:w="3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04"/>
        </w:trPr>
        <w:tc>
          <w:tcPr>
            <w:tcW w:w="572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Change in Assumption</w:t>
            </w:r>
          </w:p>
        </w:tc>
        <w:tc>
          <w:tcPr>
            <w:tcW w:w="300" w:type="dxa"/>
            <w:vAlign w:val="bottom"/>
          </w:tcPr>
          <w:p>
            <w:pPr>
              <w:spacing w:after="0"/>
              <w:rPr>
                <w:sz w:val="17"/>
                <w:szCs w:val="17"/>
                <w:color w:val="auto"/>
              </w:rPr>
            </w:pPr>
          </w:p>
        </w:tc>
        <w:tc>
          <w:tcPr>
            <w:tcW w:w="23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Pension Ongoing Expense</w:t>
            </w:r>
          </w:p>
        </w:tc>
        <w:tc>
          <w:tcPr>
            <w:tcW w:w="30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Impact on PBO</w:t>
            </w:r>
          </w:p>
        </w:tc>
      </w:tr>
      <w:tr>
        <w:trPr>
          <w:trHeight w:val="264"/>
        </w:trPr>
        <w:tc>
          <w:tcPr>
            <w:tcW w:w="5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0.25 percentage point decrease in discount rate</w:t>
            </w:r>
          </w:p>
        </w:tc>
        <w:tc>
          <w:tcPr>
            <w:tcW w:w="300" w:type="dxa"/>
            <w:vAlign w:val="bottom"/>
            <w:shd w:val="clear" w:color="auto" w:fill="E5FFFF"/>
          </w:tcPr>
          <w:p>
            <w:pPr>
              <w:spacing w:after="0"/>
              <w:rPr>
                <w:sz w:val="22"/>
                <w:szCs w:val="22"/>
                <w:color w:val="auto"/>
              </w:rPr>
            </w:pPr>
          </w:p>
        </w:tc>
        <w:tc>
          <w:tcPr>
            <w:tcW w:w="2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Decrease $9 million</w:t>
            </w:r>
          </w:p>
        </w:tc>
        <w:tc>
          <w:tcPr>
            <w:tcW w:w="300" w:type="dxa"/>
            <w:vAlign w:val="bottom"/>
            <w:shd w:val="clear" w:color="auto" w:fill="E5FFFF"/>
          </w:tcPr>
          <w:p>
            <w:pPr>
              <w:spacing w:after="0"/>
              <w:rPr>
                <w:sz w:val="22"/>
                <w:szCs w:val="22"/>
                <w:color w:val="auto"/>
              </w:rPr>
            </w:pPr>
          </w:p>
        </w:tc>
        <w:tc>
          <w:tcPr>
            <w:tcW w:w="2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Increase $565 million</w:t>
            </w:r>
          </w:p>
        </w:tc>
      </w:tr>
      <w:tr>
        <w:trPr>
          <w:trHeight w:val="270"/>
        </w:trPr>
        <w:tc>
          <w:tcPr>
            <w:tcW w:w="5720" w:type="dxa"/>
            <w:vAlign w:val="bottom"/>
          </w:tcPr>
          <w:p>
            <w:pPr>
              <w:ind w:left="20"/>
              <w:spacing w:after="0"/>
              <w:rPr>
                <w:sz w:val="20"/>
                <w:szCs w:val="20"/>
                <w:color w:val="auto"/>
              </w:rPr>
            </w:pPr>
            <w:r>
              <w:rPr>
                <w:rFonts w:ascii="Arial" w:cs="Arial" w:eastAsia="Arial" w:hAnsi="Arial"/>
                <w:sz w:val="19"/>
                <w:szCs w:val="19"/>
                <w:color w:val="auto"/>
              </w:rPr>
              <w:t>0.25 percentage point increase in discount rate</w:t>
            </w:r>
          </w:p>
        </w:tc>
        <w:tc>
          <w:tcPr>
            <w:tcW w:w="300" w:type="dxa"/>
            <w:vAlign w:val="bottom"/>
          </w:tcPr>
          <w:p>
            <w:pPr>
              <w:spacing w:after="0"/>
              <w:rPr>
                <w:sz w:val="23"/>
                <w:szCs w:val="23"/>
                <w:color w:val="auto"/>
              </w:rPr>
            </w:pPr>
          </w:p>
        </w:tc>
        <w:tc>
          <w:tcPr>
            <w:tcW w:w="2380" w:type="dxa"/>
            <w:vAlign w:val="bottom"/>
          </w:tcPr>
          <w:p>
            <w:pPr>
              <w:ind w:left="20"/>
              <w:spacing w:after="0"/>
              <w:rPr>
                <w:sz w:val="20"/>
                <w:szCs w:val="20"/>
                <w:color w:val="auto"/>
              </w:rPr>
            </w:pPr>
            <w:r>
              <w:rPr>
                <w:rFonts w:ascii="Arial" w:cs="Arial" w:eastAsia="Arial" w:hAnsi="Arial"/>
                <w:sz w:val="19"/>
                <w:szCs w:val="19"/>
                <w:color w:val="auto"/>
              </w:rPr>
              <w:t>Increase $7 million</w:t>
            </w:r>
          </w:p>
        </w:tc>
        <w:tc>
          <w:tcPr>
            <w:tcW w:w="30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9"/>
                <w:szCs w:val="19"/>
                <w:color w:val="auto"/>
              </w:rPr>
              <w:t>Decrease $545 million</w:t>
            </w:r>
          </w:p>
        </w:tc>
      </w:tr>
      <w:tr>
        <w:trPr>
          <w:trHeight w:val="230"/>
        </w:trPr>
        <w:tc>
          <w:tcPr>
            <w:tcW w:w="5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0.25 percentage point decrease in expected rate of return on</w:t>
            </w:r>
          </w:p>
        </w:tc>
        <w:tc>
          <w:tcPr>
            <w:tcW w:w="300" w:type="dxa"/>
            <w:vAlign w:val="bottom"/>
            <w:shd w:val="clear" w:color="auto" w:fill="E5FFFF"/>
          </w:tcPr>
          <w:p>
            <w:pPr>
              <w:spacing w:after="0"/>
              <w:rPr>
                <w:sz w:val="19"/>
                <w:szCs w:val="19"/>
                <w:color w:val="auto"/>
              </w:rPr>
            </w:pPr>
          </w:p>
        </w:tc>
        <w:tc>
          <w:tcPr>
            <w:tcW w:w="23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720" w:type="dxa"/>
            <w:vAlign w:val="bottom"/>
            <w:shd w:val="clear" w:color="auto" w:fill="E5FFFF"/>
          </w:tcPr>
          <w:p>
            <w:pPr>
              <w:spacing w:after="0"/>
              <w:rPr>
                <w:sz w:val="19"/>
                <w:szCs w:val="19"/>
                <w:color w:val="auto"/>
              </w:rPr>
            </w:pPr>
          </w:p>
        </w:tc>
      </w:tr>
      <w:tr>
        <w:trPr>
          <w:trHeight w:val="230"/>
        </w:trPr>
        <w:tc>
          <w:tcPr>
            <w:tcW w:w="57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assets</w:t>
            </w:r>
          </w:p>
        </w:tc>
        <w:tc>
          <w:tcPr>
            <w:tcW w:w="300" w:type="dxa"/>
            <w:vAlign w:val="bottom"/>
            <w:shd w:val="clear" w:color="auto" w:fill="E5FFFF"/>
          </w:tcPr>
          <w:p>
            <w:pPr>
              <w:spacing w:after="0"/>
              <w:rPr>
                <w:sz w:val="19"/>
                <w:szCs w:val="19"/>
                <w:color w:val="auto"/>
              </w:rPr>
            </w:pPr>
          </w:p>
        </w:tc>
        <w:tc>
          <w:tcPr>
            <w:tcW w:w="2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Increase $35 million</w:t>
            </w:r>
          </w:p>
        </w:tc>
        <w:tc>
          <w:tcPr>
            <w:tcW w:w="300" w:type="dxa"/>
            <w:vAlign w:val="bottom"/>
            <w:shd w:val="clear" w:color="auto" w:fill="E5FFFF"/>
          </w:tcPr>
          <w:p>
            <w:pPr>
              <w:spacing w:after="0"/>
              <w:rPr>
                <w:sz w:val="19"/>
                <w:szCs w:val="19"/>
                <w:color w:val="auto"/>
              </w:rPr>
            </w:pPr>
          </w:p>
        </w:tc>
        <w:tc>
          <w:tcPr>
            <w:tcW w:w="2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w:t>
            </w:r>
          </w:p>
        </w:tc>
      </w:tr>
      <w:tr>
        <w:trPr>
          <w:trHeight w:val="230"/>
        </w:trPr>
        <w:tc>
          <w:tcPr>
            <w:tcW w:w="5720" w:type="dxa"/>
            <w:vAlign w:val="bottom"/>
          </w:tcPr>
          <w:p>
            <w:pPr>
              <w:ind w:left="20"/>
              <w:spacing w:after="0"/>
              <w:rPr>
                <w:sz w:val="20"/>
                <w:szCs w:val="20"/>
                <w:color w:val="auto"/>
              </w:rPr>
            </w:pPr>
            <w:r>
              <w:rPr>
                <w:rFonts w:ascii="Arial" w:cs="Arial" w:eastAsia="Arial" w:hAnsi="Arial"/>
                <w:sz w:val="19"/>
                <w:szCs w:val="19"/>
                <w:color w:val="auto"/>
              </w:rPr>
              <w:t>0.25 percentage point increase in expected rate of return on</w:t>
            </w: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4"/>
        </w:trPr>
        <w:tc>
          <w:tcPr>
            <w:tcW w:w="5720" w:type="dxa"/>
            <w:vAlign w:val="bottom"/>
          </w:tcPr>
          <w:p>
            <w:pPr>
              <w:ind w:left="200"/>
              <w:spacing w:after="0"/>
              <w:rPr>
                <w:sz w:val="20"/>
                <w:szCs w:val="20"/>
                <w:color w:val="auto"/>
              </w:rPr>
            </w:pPr>
            <w:r>
              <w:rPr>
                <w:rFonts w:ascii="Arial" w:cs="Arial" w:eastAsia="Arial" w:hAnsi="Arial"/>
                <w:sz w:val="19"/>
                <w:szCs w:val="19"/>
                <w:color w:val="auto"/>
              </w:rPr>
              <w:t>assets</w:t>
            </w:r>
          </w:p>
        </w:tc>
        <w:tc>
          <w:tcPr>
            <w:tcW w:w="30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9"/>
                <w:szCs w:val="19"/>
                <w:color w:val="auto"/>
              </w:rPr>
              <w:t>Decrease $35 million</w:t>
            </w:r>
          </w:p>
        </w:tc>
        <w:tc>
          <w:tcPr>
            <w:tcW w:w="3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w:t>
            </w:r>
          </w:p>
        </w:tc>
      </w:tr>
    </w:tbl>
    <w:p>
      <w:pPr>
        <w:spacing w:after="0" w:line="104"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Pension ongoing income for all of our pension plans is expected to range from $50 to $75 million in 2013 compared with ongoing pension expense of $36 million in 2012. The increase in pension ongoing income in 2013 compared with 2012 results primarily from an increase in the plans’ assets at December 31, 2012 compared with December 31, 2011 due to contributions and strong asset returns in 2012. Also, if required, an MTM Adjustment will be recorded in the fourth quarter of 2013 in accordance with our pension accounting method as previously described. It is difficult to reliably forecast or predict whether there will be a MTM Adjustment in 2013,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2012, 2011 and 2010, we were not required to make contributions to satisfy minimum statutory funding requirements in our U.S. pension plans. However, we made voluntary contributions of $ 792, $1,650 and $1,000 million to our U.S. pension plans in 2012, 2011 and 2010, respectively, primarily to improve the funded status of our plans which has been adversely impacted by relatively low discount rates and asset losses in 2011 and 2008 resulting from the poor performance of the equity markets. In 2013, we are not required to make contributions to our U.S. pension plans, however, we plan to make cash contributions of approximately $150 million ($113 million was made in January 2013) to our non-U.S. plans to satisfy regulatory funding standards. The timing and amount of contributions to both our U.S. and non-U.S. plans may be impacted by a number of factors, including the funded status of the plans.</w:t>
      </w:r>
    </w:p>
    <w:p>
      <w:pPr>
        <w:spacing w:after="0" w:line="67"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b w:val="1"/>
          <w:bCs w:val="1"/>
          <w:i w:val="1"/>
          <w:iCs w:val="1"/>
          <w:color w:val="auto"/>
        </w:rPr>
        <w:t>Long-Lived Assets (including Tangible and Definite-Lived Intangible Assets)</w:t>
      </w:r>
      <w:r>
        <w:rPr>
          <w:rFonts w:ascii="Arial" w:cs="Arial" w:eastAsia="Arial" w:hAnsi="Arial"/>
          <w:sz w:val="19"/>
          <w:szCs w:val="19"/>
          <w:color w:val="auto"/>
        </w:rPr>
        <w:t>—To conduct our global business operations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execute our business strategy, we acquire tangible and intangible assets, including property, plant and equipment and definite-lived intangible assets. At December 31, 2012, the net carrying amount of these long-lived assets totaled approximately $6.7 billion. The determination of useful lives (for depreciation/amortization purposes) and whether or not these assets are impaired involves the use of accounting estimates and assumptions, changes in which could materially impact our financial condition or operating performance if actual results differ from such estimates and assumptions. We periodically evaluate the recoverability of the carrying amount of our long-lived assets whenever events or changes in circumstances indicate that the carrying amount of a long-lived asset group may not be fully recoverable. The principal factors we consider in deciding when to perform an impairment review are as follows:</w:t>
      </w:r>
    </w:p>
    <w:p>
      <w:pPr>
        <w:spacing w:after="0" w:line="368" w:lineRule="exact"/>
        <w:rPr>
          <w:sz w:val="20"/>
          <w:szCs w:val="20"/>
          <w:color w:val="auto"/>
        </w:rPr>
      </w:pPr>
    </w:p>
    <w:p>
      <w:pPr>
        <w:ind w:left="540" w:right="680" w:hanging="158"/>
        <w:spacing w:after="0" w:line="25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Significant under-performance (i.e., declines in sales, earnings or cash flows) of a business or product line in relation to expectations;</w:t>
      </w:r>
    </w:p>
    <w:p>
      <w:pPr>
        <w:spacing w:after="0" w:line="93" w:lineRule="exact"/>
        <w:rPr>
          <w:rFonts w:ascii="Arial" w:cs="Arial" w:eastAsia="Arial" w:hAnsi="Arial"/>
          <w:sz w:val="19"/>
          <w:szCs w:val="19"/>
          <w:color w:val="auto"/>
        </w:rPr>
      </w:pPr>
    </w:p>
    <w:p>
      <w:pPr>
        <w:ind w:left="540" w:right="220" w:hanging="158"/>
        <w:spacing w:after="0" w:line="25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Annual operating plans or five-year strategic plans that indicate an unfavorable trend in operating performance of a business or product line;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7" w:name="page58"/>
    <w:bookmarkEnd w:id="57"/>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Significant negative industry or economic trends;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Significant changes or planned changes in our use of the assets.</w:t>
      </w:r>
    </w:p>
    <w:p>
      <w:pPr>
        <w:spacing w:after="0" w:line="227"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in the fair value hierarchy or an estimate of the future discounted cash flow, level 3 of the fair value hierarchy. The key estimates in our discounted cash flow analysis include expected industry growth rates, our assumptions as to volume, selling prices and costs, and the discount rate selected. As described in more detail in Note 16 to the financial statements, we have recorded impairment charges related to long-lived assets of $22 million and $ 127 million in 2012 and 2011, respectively, principally related to manufacturing plant and equipment in facilities scheduled to close or be downsized.</w:t>
      </w:r>
    </w:p>
    <w:p>
      <w:pPr>
        <w:spacing w:after="0" w:line="278"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b w:val="1"/>
          <w:bCs w:val="1"/>
          <w:i w:val="1"/>
          <w:iCs w:val="1"/>
          <w:color w:val="auto"/>
        </w:rPr>
        <w:t>Goodwill and Indefinite-Lived Intangible Assets Impairment Testing</w:t>
      </w:r>
      <w:r>
        <w:rPr>
          <w:rFonts w:ascii="Arial" w:cs="Arial" w:eastAsia="Arial" w:hAnsi="Arial"/>
          <w:sz w:val="19"/>
          <w:szCs w:val="19"/>
          <w:color w:val="auto"/>
        </w:rPr>
        <w:t>—Goodwill represents the excess of acquisition costs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over the fair value of the net tangible assets and identifiable intangible assets acquired in a business combination. Indefinite-lived intangible assets primarily consist of trademarks acquired in business combinations. Goodwill and indefinite-lived assets are not amortized, but are subject to impairment testing. Our goodwill and indefinite-lived intangible asset balances of $12.4 billion and $725 million, respectively, as of December 31, 2012, are subject to impairment testing annually as of March 31, or whenever events or changes in circumstances indicate that the carrying amount may not be fully recoverable. This testing compares carrying values to fair values and, when appropriate, the carrying value is reduced to fair value. In testing goodwill, the fair value of our reporting units is estimated utilizing a discounted cash flow approach utilizing cash flow forecasts in our five year strategic and annual operating plans adjusted for terminal value assumptions. This impairment test involves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96" w:lineRule="exact"/>
        <w:rPr>
          <w:sz w:val="20"/>
          <w:szCs w:val="20"/>
          <w:color w:val="auto"/>
        </w:rPr>
      </w:pPr>
    </w:p>
    <w:p>
      <w:pPr>
        <w:jc w:val="both"/>
        <w:ind w:right="300" w:firstLine="357"/>
        <w:spacing w:after="0" w:line="242" w:lineRule="auto"/>
        <w:rPr>
          <w:sz w:val="20"/>
          <w:szCs w:val="20"/>
          <w:color w:val="auto"/>
        </w:rPr>
      </w:pPr>
      <w:r>
        <w:rPr>
          <w:rFonts w:ascii="Arial" w:cs="Arial" w:eastAsia="Arial" w:hAnsi="Arial"/>
          <w:sz w:val="19"/>
          <w:szCs w:val="19"/>
          <w:color w:val="auto"/>
        </w:rPr>
        <w:t>We completed our annual impairment test as of March 31, 2012 and determined that there was no impairment to our goodwill and indefinite-lived intangible assets as of that date. However, significant negative industry or economic trends, disruptions to our business, unexpected significant changes or planned changes in use of the assets, divestitures and market capitalization declines may have a negative effect on the fair values.</w:t>
      </w:r>
    </w:p>
    <w:p>
      <w:pPr>
        <w:spacing w:after="0" w:line="67" w:lineRule="exact"/>
        <w:rPr>
          <w:sz w:val="20"/>
          <w:szCs w:val="20"/>
          <w:color w:val="auto"/>
        </w:rPr>
      </w:pPr>
    </w:p>
    <w:p>
      <w:pPr>
        <w:ind w:right="40" w:firstLine="357"/>
        <w:spacing w:after="0" w:line="24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—Deferred tax assets and liabilities are determined based on the difference between the financial statements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 basis of assets and liabilities using enacted tax rates in effect for the year in which the differences are expected to reverse. Our provision for income taxes is based on domestic and international statutory income tax rates in the jurisdictions in which we operate. Significant judgment is required in determining income tax provisions as well as deferred tax asset and liability balances, including the estimation of valuation allowances and the evaluation of tax positions.</w:t>
      </w:r>
    </w:p>
    <w:p>
      <w:pPr>
        <w:spacing w:after="0" w:line="84"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As of December 31, 2012, we recorded a net deferred tax asset of $2,473 million, less a valuation allowance of $ 598 million. Net deferred tax assets are primarily comprised of net deductible temporary differences, net operating loss carryforwards and tax credit carryforwards that are available to reduce taxable income in future periods.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 valuation allowance is established to offset any deferred tax assets if, based upon the available evidence it is more likely than not that some or all of the deferred tax asset will not be realized.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58" w:name="page59"/>
    <w:bookmarkEnd w:id="58"/>
    <w:p>
      <w:pPr>
        <w:ind w:firstLine="357"/>
        <w:spacing w:after="0" w:line="238" w:lineRule="auto"/>
        <w:rPr>
          <w:sz w:val="20"/>
          <w:szCs w:val="20"/>
          <w:color w:val="auto"/>
        </w:rPr>
      </w:pPr>
      <w:r>
        <w:rPr>
          <w:rFonts w:ascii="Arial" w:cs="Arial" w:eastAsia="Arial" w:hAnsi="Arial"/>
          <w:sz w:val="19"/>
          <w:szCs w:val="19"/>
          <w:color w:val="auto"/>
        </w:rPr>
        <w:t>Our net deferred tax asset of $2,473 million consists of $1,422 million related to U.S. operations and $1,051 million related to non-U.S. operations. The U.S. net deferred tax asset of $1,422 million consists of net deductible temporary differences, tax credit carryforwards, state tax net operating losses which we believe will more likely than not be realized through the generation of future taxable income in the U.S. and tax planning strategies. The non-U.S. net deferred tax asset of $1,051 million consists principally of net operating loss, capital loss and tax credit carryforwards, mainly in Canada, France, Germany, Luxembourg, Netherlands and the United Kingdom. We maintain a valuation allowance of $598 million against these deferred tax assets reflecting our historical experience and lower expectations of taxable income over the applicable carryforward periods. As more fully described in Note 6 to the financial statements, our valuation allowance increased by $ 7 million in 2012, decreased by $45 million in 2011 and increased by $58 million in 2010, respectively. In the event we determine that we will not be able to realize our net deferred tax assets in the future, we will reduce such amounts through a charge to income in the period such determination is made. Conversely, if we determine that we will be able to realize net deferred tax assets in excess of the carrying amounts, we will decrease the recorded valuation allowance through a credit to income in the period that such determination is made.</w:t>
      </w:r>
    </w:p>
    <w:p>
      <w:pPr>
        <w:spacing w:after="0" w:line="10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Significant judgment is required in determining income tax provisions and in evaluating tax positions. We establish additional reserves for income taxes when, despite the belief that tax positions are fully supportable, there remain certain positions that do not meet the minimum recognition threshold. The approach for evaluating certain and uncertain tax positions is defined by the authoritative guidance and this guidance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spacing w:after="0" w:line="71" w:lineRule="exact"/>
        <w:rPr>
          <w:sz w:val="20"/>
          <w:szCs w:val="20"/>
          <w:color w:val="auto"/>
        </w:rPr>
      </w:pPr>
    </w:p>
    <w:p>
      <w:pPr>
        <w:ind w:right="20" w:firstLine="357"/>
        <w:spacing w:after="0"/>
        <w:rPr>
          <w:sz w:val="20"/>
          <w:szCs w:val="20"/>
          <w:color w:val="auto"/>
        </w:rPr>
      </w:pPr>
      <w:r>
        <w:rPr>
          <w:rFonts w:ascii="Arial" w:cs="Arial" w:eastAsia="Arial" w:hAnsi="Arial"/>
          <w:sz w:val="19"/>
          <w:szCs w:val="19"/>
          <w:b w:val="1"/>
          <w:bCs w:val="1"/>
          <w:i w:val="1"/>
          <w:iCs w:val="1"/>
          <w:color w:val="auto"/>
        </w:rPr>
        <w:t>Sales Recognition on Long-Term Contracts</w:t>
      </w:r>
      <w:r>
        <w:rPr>
          <w:rFonts w:ascii="Arial" w:cs="Arial" w:eastAsia="Arial" w:hAnsi="Arial"/>
          <w:sz w:val="19"/>
          <w:szCs w:val="19"/>
          <w:color w:val="auto"/>
        </w:rPr>
        <w:t>—In 2012, we recognized approximately 16 percent of our total net sales using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percentage-of-completion method for long-term contracts in our Automation and Control Solutions, Aerospace and Performance Materials and Technologies segments. These long- 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2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MATTERS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30" w:lineRule="exact"/>
        <w:rPr>
          <w:sz w:val="20"/>
          <w:szCs w:val="20"/>
          <w:color w:val="auto"/>
        </w:rPr>
      </w:pPr>
    </w:p>
    <w:p>
      <w:pPr>
        <w:ind w:left="5600" w:right="1460" w:hanging="5240"/>
        <w:spacing w:after="0" w:line="372" w:lineRule="auto"/>
        <w:rPr>
          <w:sz w:val="20"/>
          <w:szCs w:val="20"/>
          <w:color w:val="auto"/>
        </w:rPr>
      </w:pPr>
      <w:r>
        <w:rPr>
          <w:rFonts w:ascii="Arial" w:cs="Arial" w:eastAsia="Arial" w:hAnsi="Arial"/>
          <w:sz w:val="19"/>
          <w:szCs w:val="19"/>
          <w:color w:val="auto"/>
        </w:rPr>
        <w:t>See Note 22 to the financial statements for a discussion of environmental, asbestos and other litigation matters.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1 to the financial statements for a discussion of 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47"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Information relating to market risk is included in Item 7. Management’s Discussion and Analysis of Financial Condition and Results of Operations under the caption “Financial Instruments”.</w:t>
      </w:r>
    </w:p>
    <w:p>
      <w:pPr>
        <w:spacing w:after="0" w:line="8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16" w:right="839" w:bottom="1440" w:gutter="0" w:footer="0" w:header="0"/>
        </w:sectPr>
      </w:pPr>
    </w:p>
    <w:bookmarkStart w:id="60" w:name="page61"/>
    <w:bookmarkEnd w:id="60"/>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182"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465"/>
              <w:spacing w:after="0"/>
              <w:rPr>
                <w:sz w:val="20"/>
                <w:szCs w:val="20"/>
                <w:color w:val="auto"/>
              </w:rPr>
            </w:pPr>
            <w:r>
              <w:rPr>
                <w:rFonts w:ascii="Arial" w:cs="Arial" w:eastAsia="Arial" w:hAnsi="Arial"/>
                <w:sz w:val="16"/>
                <w:szCs w:val="16"/>
                <w:b w:val="1"/>
                <w:bCs w:val="1"/>
                <w:color w:val="auto"/>
                <w:w w:val="98"/>
              </w:rPr>
              <w:t>Years Ended December 31,</w:t>
            </w:r>
          </w:p>
        </w:tc>
        <w:tc>
          <w:tcPr>
            <w:tcW w:w="74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24"/>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2010</w:t>
            </w:r>
          </w:p>
        </w:tc>
      </w:tr>
      <w:tr>
        <w:trPr>
          <w:trHeight w:val="168"/>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gridSpan w:val="4"/>
          </w:tcPr>
          <w:p>
            <w:pPr>
              <w:jc w:val="center"/>
              <w:spacing w:after="0" w:line="168" w:lineRule="exact"/>
              <w:rPr>
                <w:sz w:val="20"/>
                <w:szCs w:val="20"/>
                <w:color w:val="auto"/>
              </w:rPr>
            </w:pPr>
            <w:r>
              <w:rPr>
                <w:rFonts w:ascii="Arial" w:cs="Arial" w:eastAsia="Arial" w:hAnsi="Arial"/>
                <w:sz w:val="16"/>
                <w:szCs w:val="16"/>
                <w:b w:val="1"/>
                <w:bCs w:val="1"/>
                <w:color w:val="auto"/>
                <w:w w:val="98"/>
              </w:rPr>
              <w:t>(Dollars in millions,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6"/>
          </w:tcPr>
          <w:p>
            <w:pPr>
              <w:jc w:val="center"/>
              <w:ind w:left="465"/>
              <w:spacing w:after="0"/>
              <w:rPr>
                <w:sz w:val="20"/>
                <w:szCs w:val="20"/>
                <w:color w:val="auto"/>
              </w:rPr>
            </w:pPr>
            <w:r>
              <w:rPr>
                <w:rFonts w:ascii="Arial" w:cs="Arial" w:eastAsia="Arial" w:hAnsi="Arial"/>
                <w:sz w:val="16"/>
                <w:szCs w:val="16"/>
                <w:b w:val="1"/>
                <w:bCs w:val="1"/>
                <w:color w:val="auto"/>
                <w:w w:val="99"/>
              </w:rPr>
              <w:t>except per share amounts)</w:t>
            </w:r>
          </w:p>
        </w:tc>
        <w:tc>
          <w:tcPr>
            <w:tcW w:w="740" w:type="dxa"/>
            <w:vAlign w:val="bottom"/>
          </w:tcPr>
          <w:p>
            <w:pPr>
              <w:spacing w:after="0"/>
              <w:rPr>
                <w:sz w:val="17"/>
                <w:szCs w:val="17"/>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Product sales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29,812</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28,745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25,242</w:t>
            </w:r>
          </w:p>
        </w:tc>
      </w:tr>
      <w:tr>
        <w:trPr>
          <w:trHeight w:val="270"/>
        </w:trPr>
        <w:tc>
          <w:tcPr>
            <w:tcW w:w="7900" w:type="dxa"/>
            <w:vAlign w:val="bottom"/>
          </w:tcPr>
          <w:p>
            <w:pPr>
              <w:ind w:left="20"/>
              <w:spacing w:after="0"/>
              <w:rPr>
                <w:sz w:val="20"/>
                <w:szCs w:val="20"/>
                <w:color w:val="auto"/>
              </w:rPr>
            </w:pPr>
            <w:r>
              <w:rPr>
                <w:rFonts w:ascii="Arial" w:cs="Arial" w:eastAsia="Arial" w:hAnsi="Arial"/>
                <w:sz w:val="19"/>
                <w:szCs w:val="19"/>
                <w:color w:val="auto"/>
              </w:rPr>
              <w:t>Service sales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7,853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7,784</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7,108</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37,665</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36,529</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9"/>
              </w:rPr>
              <w:t>32,350</w:t>
            </w:r>
          </w:p>
        </w:tc>
      </w:tr>
      <w:tr>
        <w:trPr>
          <w:trHeight w:val="277"/>
        </w:trPr>
        <w:tc>
          <w:tcPr>
            <w:tcW w:w="7900" w:type="dxa"/>
            <w:vAlign w:val="bottom"/>
          </w:tcPr>
          <w:p>
            <w:pPr>
              <w:ind w:left="20"/>
              <w:spacing w:after="0"/>
              <w:rPr>
                <w:sz w:val="20"/>
                <w:szCs w:val="20"/>
                <w:color w:val="auto"/>
              </w:rPr>
            </w:pPr>
            <w:r>
              <w:rPr>
                <w:rFonts w:ascii="Arial" w:cs="Arial" w:eastAsia="Arial" w:hAnsi="Arial"/>
                <w:sz w:val="19"/>
                <w:szCs w:val="19"/>
                <w:color w:val="auto"/>
              </w:rPr>
              <w:t>Costs, expenses and other</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Cost of products sold</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22,929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23,220</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19,903</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Cost of services sold</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5,362</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5,336</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4,818</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28,291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28,556</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24,721</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Selling, general and administrative expenses</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5,218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5,399</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4,618</w:t>
            </w: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 (income) expense</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(84 )</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(97 )</w:t>
            </w: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Interest and other financial charges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351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376</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386</w:t>
            </w: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33,790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34,247</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w w:val="99"/>
              </w:rPr>
              <w:t>29,628</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200" w:type="dxa"/>
            <w:vAlign w:val="bottom"/>
          </w:tcPr>
          <w:p>
            <w:pPr>
              <w:spacing w:after="0"/>
              <w:rPr>
                <w:sz w:val="24"/>
                <w:szCs w:val="24"/>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3,875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2,282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2,722</w:t>
            </w: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expense</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944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417</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765</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Income from continuing operations after taxes</w:t>
            </w:r>
          </w:p>
        </w:tc>
        <w:tc>
          <w:tcPr>
            <w:tcW w:w="200" w:type="dxa"/>
            <w:vAlign w:val="bottom"/>
          </w:tcPr>
          <w:p>
            <w:pPr>
              <w:spacing w:after="0"/>
              <w:rPr>
                <w:sz w:val="24"/>
                <w:szCs w:val="24"/>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2,931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1,865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1,957</w:t>
            </w: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from discontinued operations after taxes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209</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78</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4"/>
                <w:szCs w:val="24"/>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2,931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2,074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2,035</w:t>
            </w: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Net income attributable to the noncontrolling interest</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7</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13</w:t>
            </w:r>
          </w:p>
        </w:tc>
      </w:tr>
      <w:tr>
        <w:trPr>
          <w:trHeight w:val="304"/>
        </w:trPr>
        <w:tc>
          <w:tcPr>
            <w:tcW w:w="7900" w:type="dxa"/>
            <w:vAlign w:val="bottom"/>
          </w:tcPr>
          <w:p>
            <w:pPr>
              <w:ind w:left="20"/>
              <w:spacing w:after="0"/>
              <w:rPr>
                <w:sz w:val="20"/>
                <w:szCs w:val="20"/>
                <w:color w:val="auto"/>
              </w:rPr>
            </w:pPr>
            <w:r>
              <w:rPr>
                <w:rFonts w:ascii="Arial" w:cs="Arial" w:eastAsia="Arial" w:hAnsi="Arial"/>
                <w:sz w:val="19"/>
                <w:szCs w:val="19"/>
                <w:color w:val="auto"/>
              </w:rPr>
              <w:t>Net income attributable to Honeywell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2,926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2,067</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2,022</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3"/>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Amounts attributable to Honeywell:</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9"/>
                <w:szCs w:val="19"/>
                <w:color w:val="auto"/>
              </w:rPr>
              <w:t>Income from continuing operations less net income attributable to the noncontrolling</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900" w:type="dxa"/>
            <w:vAlign w:val="bottom"/>
          </w:tcPr>
          <w:p>
            <w:pPr>
              <w:ind w:left="560"/>
              <w:spacing w:after="0"/>
              <w:rPr>
                <w:sz w:val="20"/>
                <w:szCs w:val="20"/>
                <w:color w:val="auto"/>
              </w:rPr>
            </w:pPr>
            <w:r>
              <w:rPr>
                <w:rFonts w:ascii="Arial" w:cs="Arial" w:eastAsia="Arial" w:hAnsi="Arial"/>
                <w:sz w:val="19"/>
                <w:szCs w:val="19"/>
                <w:color w:val="auto"/>
              </w:rPr>
              <w:t>interest</w:t>
            </w:r>
          </w:p>
        </w:tc>
        <w:tc>
          <w:tcPr>
            <w:tcW w:w="20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2,926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1,858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1,944</w:t>
            </w: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209</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78</w:t>
            </w:r>
          </w:p>
        </w:tc>
      </w:tr>
      <w:tr>
        <w:trPr>
          <w:trHeight w:val="304"/>
        </w:trPr>
        <w:tc>
          <w:tcPr>
            <w:tcW w:w="7900" w:type="dxa"/>
            <w:vAlign w:val="bottom"/>
          </w:tcPr>
          <w:p>
            <w:pPr>
              <w:ind w:left="380"/>
              <w:spacing w:after="0"/>
              <w:rPr>
                <w:sz w:val="20"/>
                <w:szCs w:val="20"/>
                <w:color w:val="auto"/>
              </w:rPr>
            </w:pPr>
            <w:r>
              <w:rPr>
                <w:rFonts w:ascii="Arial" w:cs="Arial" w:eastAsia="Arial" w:hAnsi="Arial"/>
                <w:sz w:val="19"/>
                <w:szCs w:val="19"/>
                <w:color w:val="auto"/>
              </w:rPr>
              <w:t>Net income attributable to Honeywell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2,926</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2,067</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2,022</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3"/>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 of common stock—basic:</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Income from continuing operations</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3.74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2.38</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2.51</w:t>
            </w: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0.27</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0.10</w:t>
            </w:r>
          </w:p>
        </w:tc>
      </w:tr>
      <w:tr>
        <w:trPr>
          <w:trHeight w:val="304"/>
        </w:trPr>
        <w:tc>
          <w:tcPr>
            <w:tcW w:w="7900" w:type="dxa"/>
            <w:vAlign w:val="bottom"/>
          </w:tcPr>
          <w:p>
            <w:pPr>
              <w:ind w:left="38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3.74</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2.65</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2.61</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3"/>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 of common stock—assuming dilution:</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Income from continuing operations</w:t>
            </w:r>
          </w:p>
        </w:tc>
        <w:tc>
          <w:tcPr>
            <w:tcW w:w="20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3.69</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2.35</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2.49</w:t>
            </w: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Income from discontinued operations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0.26</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0.10</w:t>
            </w:r>
          </w:p>
        </w:tc>
      </w:tr>
      <w:tr>
        <w:trPr>
          <w:trHeight w:val="304"/>
        </w:trPr>
        <w:tc>
          <w:tcPr>
            <w:tcW w:w="7900" w:type="dxa"/>
            <w:vAlign w:val="bottom"/>
          </w:tcPr>
          <w:p>
            <w:pPr>
              <w:ind w:left="38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3.69</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2.61</w:t>
            </w: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2.59</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 dividends per share of common stock</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1.53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1.37</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1.21</w:t>
            </w: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60" w:type="dxa"/>
            <w:vAlign w:val="bottom"/>
          </w:tcPr>
          <w:p>
            <w:pPr>
              <w:spacing w:after="0"/>
              <w:rPr>
                <w:sz w:val="17"/>
                <w:szCs w:val="17"/>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r>
      <w:tr>
        <w:trPr>
          <w:trHeight w:val="196"/>
        </w:trPr>
        <w:tc>
          <w:tcPr>
            <w:tcW w:w="8160" w:type="dxa"/>
            <w:vAlign w:val="bottom"/>
          </w:tcPr>
          <w:p>
            <w:pPr>
              <w:spacing w:after="0"/>
              <w:rPr>
                <w:sz w:val="17"/>
                <w:szCs w:val="17"/>
                <w:color w:val="auto"/>
              </w:rPr>
            </w:pPr>
          </w:p>
        </w:tc>
        <w:tc>
          <w:tcPr>
            <w:tcW w:w="86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95"/>
              </w:rPr>
              <w:t>2011</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2010</w:t>
            </w:r>
          </w:p>
        </w:tc>
      </w:tr>
      <w:tr>
        <w:trPr>
          <w:trHeight w:val="264"/>
        </w:trPr>
        <w:tc>
          <w:tcPr>
            <w:tcW w:w="8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8"/>
              </w:rPr>
              <w:t>(Dollars in millions)</w:t>
            </w:r>
          </w:p>
        </w:tc>
        <w:tc>
          <w:tcPr>
            <w:tcW w:w="860" w:type="dxa"/>
            <w:vAlign w:val="bottom"/>
          </w:tcPr>
          <w:p>
            <w:pPr>
              <w:spacing w:after="0"/>
              <w:rPr>
                <w:sz w:val="22"/>
                <w:szCs w:val="22"/>
                <w:color w:val="auto"/>
              </w:rPr>
            </w:pPr>
          </w:p>
        </w:tc>
      </w:tr>
      <w:tr>
        <w:trPr>
          <w:trHeight w:val="270"/>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$ 2,931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2,074</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$ 2,035</w:t>
            </w:r>
          </w:p>
        </w:tc>
      </w:tr>
      <w:tr>
        <w:trPr>
          <w:trHeight w:val="277"/>
        </w:trPr>
        <w:tc>
          <w:tcPr>
            <w:tcW w:w="8160" w:type="dxa"/>
            <w:vAlign w:val="bottom"/>
          </w:tcPr>
          <w:p>
            <w:pPr>
              <w:ind w:left="20"/>
              <w:spacing w:after="0"/>
              <w:rPr>
                <w:sz w:val="20"/>
                <w:szCs w:val="20"/>
                <w:color w:val="auto"/>
              </w:rPr>
            </w:pPr>
            <w:r>
              <w:rPr>
                <w:rFonts w:ascii="Arial" w:cs="Arial" w:eastAsia="Arial" w:hAnsi="Arial"/>
                <w:sz w:val="19"/>
                <w:szCs w:val="19"/>
                <w:color w:val="auto"/>
              </w:rPr>
              <w:t>Other comprehensive income (loss), net of tax</w:t>
            </w: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Foreign exchange translation adjustment</w:t>
            </w:r>
          </w:p>
        </w:tc>
        <w:tc>
          <w:tcPr>
            <w:tcW w:w="8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282</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(146 )</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(249 )</w:t>
            </w:r>
          </w:p>
        </w:tc>
      </w:tr>
      <w:tr>
        <w:trPr>
          <w:trHeight w:val="304"/>
        </w:trPr>
        <w:tc>
          <w:tcPr>
            <w:tcW w:w="8160" w:type="dxa"/>
            <w:vAlign w:val="bottom"/>
          </w:tcPr>
          <w:p>
            <w:pPr>
              <w:ind w:left="380"/>
              <w:spacing w:after="0"/>
              <w:rPr>
                <w:sz w:val="20"/>
                <w:szCs w:val="20"/>
                <w:color w:val="auto"/>
              </w:rPr>
            </w:pPr>
            <w:r>
              <w:rPr>
                <w:rFonts w:ascii="Arial" w:cs="Arial" w:eastAsia="Arial" w:hAnsi="Arial"/>
                <w:sz w:val="19"/>
                <w:szCs w:val="19"/>
                <w:color w:val="auto"/>
              </w:rPr>
              <w:t>Actuarial gains (losses)</w:t>
            </w:r>
          </w:p>
        </w:tc>
        <w:tc>
          <w:tcPr>
            <w:tcW w:w="860" w:type="dxa"/>
            <w:vAlign w:val="bottom"/>
          </w:tcPr>
          <w:p>
            <w:pPr>
              <w:jc w:val="right"/>
              <w:spacing w:after="0"/>
              <w:rPr>
                <w:sz w:val="20"/>
                <w:szCs w:val="20"/>
                <w:color w:val="auto"/>
              </w:rPr>
            </w:pPr>
            <w:r>
              <w:rPr>
                <w:rFonts w:ascii="Arial" w:cs="Arial" w:eastAsia="Arial" w:hAnsi="Arial"/>
                <w:sz w:val="19"/>
                <w:szCs w:val="19"/>
                <w:color w:val="auto"/>
              </w:rPr>
              <w:t>(839 )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(1,317 )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(291 )</w:t>
            </w: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Prior service credit (cost)</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36</w:t>
            </w:r>
          </w:p>
        </w:tc>
      </w:tr>
      <w:tr>
        <w:trPr>
          <w:trHeight w:val="270"/>
        </w:trPr>
        <w:tc>
          <w:tcPr>
            <w:tcW w:w="8160" w:type="dxa"/>
            <w:vAlign w:val="bottom"/>
          </w:tcPr>
          <w:p>
            <w:pPr>
              <w:ind w:left="380"/>
              <w:spacing w:after="0"/>
              <w:rPr>
                <w:sz w:val="20"/>
                <w:szCs w:val="20"/>
                <w:color w:val="auto"/>
              </w:rPr>
            </w:pPr>
            <w:r>
              <w:rPr>
                <w:rFonts w:ascii="Arial" w:cs="Arial" w:eastAsia="Arial" w:hAnsi="Arial"/>
                <w:sz w:val="19"/>
                <w:szCs w:val="19"/>
                <w:color w:val="auto"/>
              </w:rPr>
              <w:t>Prior service cost (credit) recognized during year</w:t>
            </w:r>
          </w:p>
        </w:tc>
        <w:tc>
          <w:tcPr>
            <w:tcW w:w="860" w:type="dxa"/>
            <w:vAlign w:val="bottom"/>
          </w:tcPr>
          <w:p>
            <w:pPr>
              <w:jc w:val="right"/>
              <w:ind w:right="45"/>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(7 )</w:t>
            </w: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Actuarial losses recognized during year</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649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1,171</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345</w:t>
            </w:r>
          </w:p>
        </w:tc>
      </w:tr>
      <w:tr>
        <w:trPr>
          <w:trHeight w:val="270"/>
        </w:trPr>
        <w:tc>
          <w:tcPr>
            <w:tcW w:w="8160" w:type="dxa"/>
            <w:vAlign w:val="bottom"/>
          </w:tcPr>
          <w:p>
            <w:pPr>
              <w:ind w:left="380"/>
              <w:spacing w:after="0"/>
              <w:rPr>
                <w:sz w:val="20"/>
                <w:szCs w:val="20"/>
                <w:color w:val="auto"/>
              </w:rPr>
            </w:pPr>
            <w:r>
              <w:rPr>
                <w:rFonts w:ascii="Arial" w:cs="Arial" w:eastAsia="Arial" w:hAnsi="Arial"/>
                <w:sz w:val="19"/>
                <w:szCs w:val="19"/>
                <w:color w:val="auto"/>
              </w:rPr>
              <w:t>Settlements and curtailments</w:t>
            </w:r>
          </w:p>
        </w:tc>
        <w:tc>
          <w:tcPr>
            <w:tcW w:w="860" w:type="dxa"/>
            <w:vAlign w:val="bottom"/>
          </w:tcPr>
          <w:p>
            <w:pPr>
              <w:jc w:val="right"/>
              <w:spacing w:after="0"/>
              <w:rPr>
                <w:sz w:val="20"/>
                <w:szCs w:val="20"/>
                <w:color w:val="auto"/>
              </w:rPr>
            </w:pPr>
            <w:r>
              <w:rPr>
                <w:rFonts w:ascii="Arial" w:cs="Arial" w:eastAsia="Arial" w:hAnsi="Arial"/>
                <w:sz w:val="19"/>
                <w:szCs w:val="19"/>
                <w:color w:val="auto"/>
              </w:rPr>
              <w:t>(2 )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(107 )</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(26 )</w:t>
            </w: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Foreign exchange translation and other</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35</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(13 )</w:t>
            </w:r>
          </w:p>
        </w:tc>
      </w:tr>
      <w:tr>
        <w:trPr>
          <w:trHeight w:val="304"/>
        </w:trPr>
        <w:tc>
          <w:tcPr>
            <w:tcW w:w="8160" w:type="dxa"/>
            <w:vAlign w:val="bottom"/>
          </w:tcPr>
          <w:p>
            <w:pPr>
              <w:ind w:left="20"/>
              <w:spacing w:after="0"/>
              <w:rPr>
                <w:sz w:val="20"/>
                <w:szCs w:val="20"/>
                <w:color w:val="auto"/>
              </w:rPr>
            </w:pPr>
            <w:r>
              <w:rPr>
                <w:rFonts w:ascii="Arial" w:cs="Arial" w:eastAsia="Arial" w:hAnsi="Arial"/>
                <w:sz w:val="19"/>
                <w:szCs w:val="19"/>
                <w:color w:val="auto"/>
              </w:rPr>
              <w:t>Pensions and other postretirement benefit adjustments</w:t>
            </w:r>
          </w:p>
        </w:tc>
        <w:tc>
          <w:tcPr>
            <w:tcW w:w="860" w:type="dxa"/>
            <w:vAlign w:val="bottom"/>
          </w:tcPr>
          <w:p>
            <w:pPr>
              <w:jc w:val="right"/>
              <w:spacing w:after="0"/>
              <w:rPr>
                <w:sz w:val="20"/>
                <w:szCs w:val="20"/>
                <w:color w:val="auto"/>
              </w:rPr>
            </w:pPr>
            <w:r>
              <w:rPr>
                <w:rFonts w:ascii="Arial" w:cs="Arial" w:eastAsia="Arial" w:hAnsi="Arial"/>
                <w:sz w:val="19"/>
                <w:szCs w:val="19"/>
                <w:color w:val="auto"/>
              </w:rPr>
              <w:t>(198 )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(209 )</w:t>
            </w:r>
          </w:p>
        </w:tc>
        <w:tc>
          <w:tcPr>
            <w:tcW w:w="30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Arial" w:cs="Arial" w:eastAsia="Arial" w:hAnsi="Arial"/>
                <w:sz w:val="19"/>
                <w:szCs w:val="19"/>
                <w:color w:val="auto"/>
              </w:rPr>
              <w:t>44</w:t>
            </w: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Unrealized gains (losses) for the period</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12</w:t>
            </w:r>
          </w:p>
        </w:tc>
        <w:tc>
          <w:tcPr>
            <w:tcW w:w="300" w:type="dxa"/>
            <w:vAlign w:val="bottom"/>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90</w:t>
            </w:r>
          </w:p>
        </w:tc>
      </w:tr>
      <w:tr>
        <w:trPr>
          <w:trHeight w:val="304"/>
        </w:trPr>
        <w:tc>
          <w:tcPr>
            <w:tcW w:w="8160" w:type="dxa"/>
            <w:vAlign w:val="bottom"/>
          </w:tcPr>
          <w:p>
            <w:pPr>
              <w:ind w:left="20"/>
              <w:spacing w:after="0"/>
              <w:rPr>
                <w:sz w:val="20"/>
                <w:szCs w:val="20"/>
                <w:color w:val="auto"/>
              </w:rPr>
            </w:pPr>
            <w:r>
              <w:rPr>
                <w:rFonts w:ascii="Arial" w:cs="Arial" w:eastAsia="Arial" w:hAnsi="Arial"/>
                <w:sz w:val="19"/>
                <w:szCs w:val="19"/>
                <w:color w:val="auto"/>
              </w:rPr>
              <w:t>Changes in fair value of available for sale investments</w:t>
            </w:r>
          </w:p>
        </w:tc>
        <w:tc>
          <w:tcPr>
            <w:tcW w:w="860" w:type="dxa"/>
            <w:vAlign w:val="bottom"/>
          </w:tcPr>
          <w:p>
            <w:pPr>
              <w:jc w:val="right"/>
              <w:spacing w:after="0"/>
              <w:rPr>
                <w:sz w:val="20"/>
                <w:szCs w:val="20"/>
                <w:color w:val="auto"/>
              </w:rPr>
            </w:pPr>
            <w:r>
              <w:rPr>
                <w:rFonts w:ascii="Arial" w:cs="Arial" w:eastAsia="Arial" w:hAnsi="Arial"/>
                <w:sz w:val="19"/>
                <w:szCs w:val="19"/>
                <w:color w:val="auto"/>
              </w:rPr>
              <w:t>(6 )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Arial" w:cs="Arial" w:eastAsia="Arial" w:hAnsi="Arial"/>
                <w:sz w:val="19"/>
                <w:szCs w:val="19"/>
                <w:color w:val="auto"/>
              </w:rPr>
              <w:t>90</w:t>
            </w:r>
          </w:p>
        </w:tc>
      </w:tr>
      <w:tr>
        <w:trPr>
          <w:trHeight w:val="270"/>
        </w:trPr>
        <w:tc>
          <w:tcPr>
            <w:tcW w:w="8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Effective portion of cash flow hedges recognized in other comprehensive income</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(48 )</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(4 )</w:t>
            </w:r>
          </w:p>
        </w:tc>
      </w:tr>
      <w:tr>
        <w:trPr>
          <w:trHeight w:val="270"/>
        </w:trPr>
        <w:tc>
          <w:tcPr>
            <w:tcW w:w="8160" w:type="dxa"/>
            <w:vAlign w:val="bottom"/>
          </w:tcPr>
          <w:p>
            <w:pPr>
              <w:ind w:left="380"/>
              <w:spacing w:after="0"/>
              <w:rPr>
                <w:sz w:val="20"/>
                <w:szCs w:val="20"/>
                <w:color w:val="auto"/>
              </w:rPr>
            </w:pPr>
            <w:r>
              <w:rPr>
                <w:rFonts w:ascii="Arial" w:cs="Arial" w:eastAsia="Arial" w:hAnsi="Arial"/>
                <w:sz w:val="19"/>
                <w:szCs w:val="19"/>
                <w:color w:val="auto"/>
              </w:rPr>
              <w:t>Less: reclassification adjustment for losses included in 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(14 )</w:t>
            </w:r>
          </w:p>
        </w:tc>
        <w:tc>
          <w:tcPr>
            <w:tcW w:w="300" w:type="dxa"/>
            <w:vAlign w:val="bottom"/>
          </w:tcPr>
          <w:p>
            <w:pPr>
              <w:spacing w:after="0"/>
              <w:rPr>
                <w:sz w:val="23"/>
                <w:szCs w:val="23"/>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r>
      <w:tr>
        <w:trPr>
          <w:trHeight w:val="34"/>
        </w:trPr>
        <w:tc>
          <w:tcPr>
            <w:tcW w:w="8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27</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(34 )</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(4 )</w:t>
            </w:r>
          </w:p>
        </w:tc>
      </w:tr>
      <w:tr>
        <w:trPr>
          <w:trHeight w:val="270"/>
        </w:trPr>
        <w:tc>
          <w:tcPr>
            <w:tcW w:w="8160" w:type="dxa"/>
            <w:vAlign w:val="bottom"/>
          </w:tcPr>
          <w:p>
            <w:pPr>
              <w:ind w:left="20"/>
              <w:spacing w:after="0"/>
              <w:rPr>
                <w:sz w:val="20"/>
                <w:szCs w:val="20"/>
                <w:color w:val="auto"/>
              </w:rPr>
            </w:pPr>
            <w:r>
              <w:rPr>
                <w:rFonts w:ascii="Arial" w:cs="Arial" w:eastAsia="Arial" w:hAnsi="Arial"/>
                <w:sz w:val="19"/>
                <w:szCs w:val="19"/>
                <w:color w:val="auto"/>
              </w:rPr>
              <w:t>Other comprehensive income (loss)</w:t>
            </w:r>
          </w:p>
        </w:tc>
        <w:tc>
          <w:tcPr>
            <w:tcW w:w="860" w:type="dxa"/>
            <w:vAlign w:val="bottom"/>
          </w:tcPr>
          <w:p>
            <w:pPr>
              <w:jc w:val="right"/>
              <w:ind w:right="45"/>
              <w:spacing w:after="0"/>
              <w:rPr>
                <w:sz w:val="20"/>
                <w:szCs w:val="20"/>
                <w:color w:val="auto"/>
              </w:rPr>
            </w:pPr>
            <w:r>
              <w:rPr>
                <w:rFonts w:ascii="Arial" w:cs="Arial" w:eastAsia="Arial" w:hAnsi="Arial"/>
                <w:sz w:val="19"/>
                <w:szCs w:val="19"/>
                <w:color w:val="auto"/>
              </w:rPr>
              <w:t>105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(377 )</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(119 )</w:t>
            </w:r>
          </w:p>
        </w:tc>
      </w:tr>
      <w:tr>
        <w:trPr>
          <w:trHeight w:val="270"/>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Comprehensive income (loss)</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3,036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1,697</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1,916</w:t>
            </w:r>
          </w:p>
        </w:tc>
      </w:tr>
      <w:tr>
        <w:trPr>
          <w:trHeight w:val="270"/>
        </w:trPr>
        <w:tc>
          <w:tcPr>
            <w:tcW w:w="8160" w:type="dxa"/>
            <w:vAlign w:val="bottom"/>
          </w:tcPr>
          <w:p>
            <w:pPr>
              <w:ind w:left="380"/>
              <w:spacing w:after="0"/>
              <w:rPr>
                <w:sz w:val="20"/>
                <w:szCs w:val="20"/>
                <w:color w:val="auto"/>
              </w:rPr>
            </w:pPr>
            <w:r>
              <w:rPr>
                <w:rFonts w:ascii="Arial" w:cs="Arial" w:eastAsia="Arial" w:hAnsi="Arial"/>
                <w:sz w:val="19"/>
                <w:szCs w:val="19"/>
                <w:color w:val="auto"/>
              </w:rPr>
              <w:t>Less: Comprehensive income attributable to noncontrolling interest</w:t>
            </w: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3"/>
                <w:szCs w:val="23"/>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15</w:t>
            </w:r>
          </w:p>
        </w:tc>
      </w:tr>
      <w:tr>
        <w:trPr>
          <w:trHeight w:val="34"/>
        </w:trPr>
        <w:tc>
          <w:tcPr>
            <w:tcW w:w="8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Comprehensive income (loss) attributable to Honeywell</w:t>
            </w:r>
          </w:p>
        </w:tc>
        <w:tc>
          <w:tcPr>
            <w:tcW w:w="8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$ 3,031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1,694</w:t>
            </w:r>
          </w:p>
        </w:tc>
        <w:tc>
          <w:tcPr>
            <w:tcW w:w="30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$ 1,901</w:t>
            </w:r>
          </w:p>
        </w:tc>
      </w:tr>
      <w:tr>
        <w:trPr>
          <w:trHeight w:val="20"/>
        </w:trPr>
        <w:tc>
          <w:tcPr>
            <w:tcW w:w="8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9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2011</w:t>
            </w:r>
          </w:p>
        </w:tc>
      </w:tr>
      <w:tr>
        <w:trPr>
          <w:trHeight w:val="264"/>
        </w:trPr>
        <w:tc>
          <w:tcPr>
            <w:tcW w:w="9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gridSpan w:val="4"/>
          </w:tcPr>
          <w:p>
            <w:pPr>
              <w:jc w:val="right"/>
              <w:ind w:right="284"/>
              <w:spacing w:after="0"/>
              <w:rPr>
                <w:sz w:val="20"/>
                <w:szCs w:val="20"/>
                <w:color w:val="auto"/>
              </w:rPr>
            </w:pPr>
            <w:r>
              <w:rPr>
                <w:rFonts w:ascii="Arial" w:cs="Arial" w:eastAsia="Arial" w:hAnsi="Arial"/>
                <w:sz w:val="16"/>
                <w:szCs w:val="16"/>
                <w:b w:val="1"/>
                <w:bCs w:val="1"/>
                <w:color w:val="auto"/>
              </w:rPr>
              <w:t>(Dollars in millions)</w:t>
            </w:r>
          </w:p>
        </w:tc>
      </w:tr>
      <w:tr>
        <w:trPr>
          <w:trHeight w:val="203"/>
        </w:trPr>
        <w:tc>
          <w:tcPr>
            <w:tcW w:w="918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9"/>
                <w:szCs w:val="19"/>
                <w:color w:val="auto"/>
              </w:rPr>
              <w:t>Current assets: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Cash and cash equivalents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4,634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3,698</w:t>
            </w:r>
          </w:p>
        </w:tc>
      </w:tr>
      <w:tr>
        <w:trPr>
          <w:trHeight w:val="270"/>
        </w:trPr>
        <w:tc>
          <w:tcPr>
            <w:tcW w:w="9180" w:type="dxa"/>
            <w:vAlign w:val="bottom"/>
          </w:tcPr>
          <w:p>
            <w:pPr>
              <w:ind w:left="200"/>
              <w:spacing w:after="0"/>
              <w:rPr>
                <w:sz w:val="20"/>
                <w:szCs w:val="20"/>
                <w:color w:val="auto"/>
              </w:rPr>
            </w:pPr>
            <w:r>
              <w:rPr>
                <w:rFonts w:ascii="Arial" w:cs="Arial" w:eastAsia="Arial" w:hAnsi="Arial"/>
                <w:sz w:val="19"/>
                <w:szCs w:val="19"/>
                <w:color w:val="auto"/>
              </w:rPr>
              <w:t>Accounts, notes and other receivables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7,429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7,228</w:t>
            </w: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Inventories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4,235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4,264</w:t>
            </w:r>
          </w:p>
        </w:tc>
      </w:tr>
      <w:tr>
        <w:trPr>
          <w:trHeight w:val="270"/>
        </w:trPr>
        <w:tc>
          <w:tcPr>
            <w:tcW w:w="9180" w:type="dxa"/>
            <w:vAlign w:val="bottom"/>
          </w:tcPr>
          <w:p>
            <w:pPr>
              <w:ind w:left="200"/>
              <w:spacing w:after="0"/>
              <w:rPr>
                <w:sz w:val="20"/>
                <w:szCs w:val="20"/>
                <w:color w:val="auto"/>
              </w:rPr>
            </w:pPr>
            <w:r>
              <w:rPr>
                <w:rFonts w:ascii="Arial" w:cs="Arial" w:eastAsia="Arial" w:hAnsi="Arial"/>
                <w:sz w:val="19"/>
                <w:szCs w:val="19"/>
                <w:color w:val="auto"/>
              </w:rPr>
              <w:t>Deferred income taxes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669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460</w:t>
            </w: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Investments and other current assets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631</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484</w:t>
            </w:r>
          </w:p>
        </w:tc>
      </w:tr>
      <w:tr>
        <w:trPr>
          <w:trHeight w:val="304"/>
        </w:trPr>
        <w:tc>
          <w:tcPr>
            <w:tcW w:w="9180" w:type="dxa"/>
            <w:vAlign w:val="bottom"/>
          </w:tcPr>
          <w:p>
            <w:pPr>
              <w:ind w:left="740"/>
              <w:spacing w:after="0"/>
              <w:rPr>
                <w:sz w:val="20"/>
                <w:szCs w:val="20"/>
                <w:color w:val="auto"/>
              </w:rPr>
            </w:pPr>
            <w:r>
              <w:rPr>
                <w:rFonts w:ascii="Arial" w:cs="Arial" w:eastAsia="Arial" w:hAnsi="Arial"/>
                <w:sz w:val="19"/>
                <w:szCs w:val="19"/>
                <w:color w:val="auto"/>
              </w:rPr>
              <w:t>Total current assets</w:t>
            </w: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17,598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16,134</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Investments and long-term receivables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623</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494</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Property, plant and equipment—net</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5,001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4,804</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Goodwill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12,425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11,858</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Other intangible assets—net</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2,449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2,477</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Insurance recoveries for asbestos related liabilities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663</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709</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Deferred income taxes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1,889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2,132</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assets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1,205</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1,200</w:t>
            </w:r>
          </w:p>
        </w:tc>
      </w:tr>
      <w:tr>
        <w:trPr>
          <w:trHeight w:val="304"/>
        </w:trPr>
        <w:tc>
          <w:tcPr>
            <w:tcW w:w="9180" w:type="dxa"/>
            <w:vAlign w:val="bottom"/>
          </w:tcPr>
          <w:p>
            <w:pPr>
              <w:ind w:left="740"/>
              <w:spacing w:after="0"/>
              <w:rPr>
                <w:sz w:val="20"/>
                <w:szCs w:val="20"/>
                <w:color w:val="auto"/>
              </w:rPr>
            </w:pPr>
            <w:r>
              <w:rPr>
                <w:rFonts w:ascii="Arial" w:cs="Arial" w:eastAsia="Arial" w:hAnsi="Arial"/>
                <w:sz w:val="19"/>
                <w:szCs w:val="19"/>
                <w:color w:val="auto"/>
              </w:rPr>
              <w:t>Total assets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41,853</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39,808</w:t>
            </w:r>
          </w:p>
        </w:tc>
      </w:tr>
      <w:tr>
        <w:trPr>
          <w:trHeight w:val="20"/>
        </w:trPr>
        <w:tc>
          <w:tcPr>
            <w:tcW w:w="9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9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918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9"/>
                <w:szCs w:val="19"/>
                <w:color w:val="auto"/>
              </w:rPr>
              <w:t>Current liabilities: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Accounts payable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4,736</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4,738</w:t>
            </w:r>
          </w:p>
        </w:tc>
      </w:tr>
      <w:tr>
        <w:trPr>
          <w:trHeight w:val="270"/>
        </w:trPr>
        <w:tc>
          <w:tcPr>
            <w:tcW w:w="9180" w:type="dxa"/>
            <w:vAlign w:val="bottom"/>
          </w:tcPr>
          <w:p>
            <w:pPr>
              <w:ind w:left="200"/>
              <w:spacing w:after="0"/>
              <w:rPr>
                <w:sz w:val="20"/>
                <w:szCs w:val="20"/>
                <w:color w:val="auto"/>
              </w:rPr>
            </w:pPr>
            <w:r>
              <w:rPr>
                <w:rFonts w:ascii="Arial" w:cs="Arial" w:eastAsia="Arial" w:hAnsi="Arial"/>
                <w:sz w:val="19"/>
                <w:szCs w:val="19"/>
                <w:color w:val="auto"/>
              </w:rPr>
              <w:t>Short-term borrowings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76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60</w:t>
            </w: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Commercial paper</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400</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599</w:t>
            </w:r>
          </w:p>
        </w:tc>
      </w:tr>
      <w:tr>
        <w:trPr>
          <w:trHeight w:val="270"/>
        </w:trPr>
        <w:tc>
          <w:tcPr>
            <w:tcW w:w="9180" w:type="dxa"/>
            <w:vAlign w:val="bottom"/>
          </w:tcPr>
          <w:p>
            <w:pPr>
              <w:ind w:left="200"/>
              <w:spacing w:after="0"/>
              <w:rPr>
                <w:sz w:val="20"/>
                <w:szCs w:val="20"/>
                <w:color w:val="auto"/>
              </w:rPr>
            </w:pPr>
            <w:r>
              <w:rPr>
                <w:rFonts w:ascii="Arial" w:cs="Arial" w:eastAsia="Arial" w:hAnsi="Arial"/>
                <w:sz w:val="19"/>
                <w:szCs w:val="19"/>
                <w:color w:val="auto"/>
              </w:rPr>
              <w:t>Current maturities of long-term debt</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625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15</w:t>
            </w:r>
          </w:p>
        </w:tc>
      </w:tr>
      <w:tr>
        <w:trPr>
          <w:trHeight w:val="270"/>
        </w:trPr>
        <w:tc>
          <w:tcPr>
            <w:tcW w:w="91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Accrued liabilities</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7,208</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6,863</w:t>
            </w:r>
          </w:p>
        </w:tc>
      </w:tr>
      <w:tr>
        <w:trPr>
          <w:trHeight w:val="304"/>
        </w:trPr>
        <w:tc>
          <w:tcPr>
            <w:tcW w:w="9180" w:type="dxa"/>
            <w:vAlign w:val="bottom"/>
          </w:tcPr>
          <w:p>
            <w:pPr>
              <w:ind w:left="740"/>
              <w:spacing w:after="0"/>
              <w:rPr>
                <w:sz w:val="20"/>
                <w:szCs w:val="20"/>
                <w:color w:val="auto"/>
              </w:rPr>
            </w:pPr>
            <w:r>
              <w:rPr>
                <w:rFonts w:ascii="Arial" w:cs="Arial" w:eastAsia="Arial" w:hAnsi="Arial"/>
                <w:sz w:val="19"/>
                <w:szCs w:val="19"/>
                <w:color w:val="auto"/>
              </w:rPr>
              <w:t>Total current liabilities</w:t>
            </w:r>
          </w:p>
        </w:tc>
        <w:tc>
          <w:tcPr>
            <w:tcW w:w="200" w:type="dxa"/>
            <w:vAlign w:val="bottom"/>
          </w:tcPr>
          <w:p>
            <w:pPr>
              <w:spacing w:after="0"/>
              <w:rPr>
                <w:sz w:val="24"/>
                <w:szCs w:val="24"/>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13,045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12,275</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debt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6,395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6,881</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Deferred income taxes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628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676</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Postretirement benefit obligations other than pensions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1,365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1,417</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Asbestos related liabilities</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1,292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1,499</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liabilities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5,913</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6,158</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Redeemable noncontrolling interest</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150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w:t>
            </w:r>
          </w:p>
        </w:tc>
      </w:tr>
      <w:tr>
        <w:trPr>
          <w:trHeight w:val="203"/>
        </w:trPr>
        <w:tc>
          <w:tcPr>
            <w:tcW w:w="918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SHAREOWNERS’ EQUITY</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Capital—common stock issued</w:t>
            </w: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958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958</w:t>
            </w:r>
          </w:p>
        </w:tc>
      </w:tr>
      <w:tr>
        <w:trPr>
          <w:trHeight w:val="270"/>
        </w:trPr>
        <w:tc>
          <w:tcPr>
            <w:tcW w:w="9180" w:type="dxa"/>
            <w:vAlign w:val="bottom"/>
            <w:shd w:val="clear" w:color="auto" w:fill="E5FFFF"/>
          </w:tcPr>
          <w:p>
            <w:pPr>
              <w:ind w:left="560"/>
              <w:spacing w:after="0"/>
              <w:rPr>
                <w:sz w:val="20"/>
                <w:szCs w:val="20"/>
                <w:color w:val="auto"/>
              </w:rPr>
            </w:pPr>
            <w:r>
              <w:rPr>
                <w:rFonts w:ascii="Arial" w:cs="Arial" w:eastAsia="Arial" w:hAnsi="Arial"/>
                <w:sz w:val="19"/>
                <w:szCs w:val="19"/>
                <w:color w:val="auto"/>
              </w:rPr>
              <w:t>—additional paid-in capital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4,358</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4,157</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Common stock held in treasury, at cost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(8,801 )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(8,948 )</w:t>
            </w:r>
          </w:p>
        </w:tc>
      </w:tr>
      <w:tr>
        <w:trPr>
          <w:trHeight w:val="270"/>
        </w:trPr>
        <w:tc>
          <w:tcPr>
            <w:tcW w:w="91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Accumulated other comprehensive income (loss)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(1,339 )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(1,444 )</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Retained earnings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17,799</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16,083</w:t>
            </w:r>
          </w:p>
        </w:tc>
      </w:tr>
      <w:tr>
        <w:trPr>
          <w:trHeight w:val="34"/>
        </w:trPr>
        <w:tc>
          <w:tcPr>
            <w:tcW w:w="9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1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Honeywell shareowners’ equity</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12,975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10,806</w:t>
            </w:r>
          </w:p>
        </w:tc>
      </w:tr>
      <w:tr>
        <w:trPr>
          <w:trHeight w:val="270"/>
        </w:trPr>
        <w:tc>
          <w:tcPr>
            <w:tcW w:w="9180" w:type="dxa"/>
            <w:vAlign w:val="bottom"/>
          </w:tcPr>
          <w:p>
            <w:pPr>
              <w:ind w:left="20"/>
              <w:spacing w:after="0"/>
              <w:rPr>
                <w:sz w:val="20"/>
                <w:szCs w:val="20"/>
                <w:color w:val="auto"/>
              </w:rPr>
            </w:pPr>
            <w:r>
              <w:rPr>
                <w:rFonts w:ascii="Arial" w:cs="Arial" w:eastAsia="Arial" w:hAnsi="Arial"/>
                <w:sz w:val="19"/>
                <w:szCs w:val="19"/>
                <w:color w:val="auto"/>
              </w:rPr>
              <w:t>Noncontrolling interest</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90</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96</w:t>
            </w:r>
          </w:p>
        </w:tc>
      </w:tr>
      <w:tr>
        <w:trPr>
          <w:trHeight w:val="34"/>
        </w:trPr>
        <w:tc>
          <w:tcPr>
            <w:tcW w:w="9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18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 shareowners’ equity</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13,065</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10,902</w:t>
            </w:r>
          </w:p>
        </w:tc>
      </w:tr>
      <w:tr>
        <w:trPr>
          <w:trHeight w:val="304"/>
        </w:trPr>
        <w:tc>
          <w:tcPr>
            <w:tcW w:w="9180" w:type="dxa"/>
            <w:vAlign w:val="bottom"/>
          </w:tcPr>
          <w:p>
            <w:pPr>
              <w:ind w:left="740"/>
              <w:spacing w:after="0"/>
              <w:rPr>
                <w:sz w:val="20"/>
                <w:szCs w:val="20"/>
                <w:color w:val="auto"/>
              </w:rPr>
            </w:pPr>
            <w:r>
              <w:rPr>
                <w:rFonts w:ascii="Arial" w:cs="Arial" w:eastAsia="Arial" w:hAnsi="Arial"/>
                <w:sz w:val="19"/>
                <w:szCs w:val="19"/>
                <w:color w:val="auto"/>
              </w:rPr>
              <w:t>Total liabilities, redeemable noncontrolling interest and shareowners’ equity</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41,853</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39,808</w:t>
            </w:r>
          </w:p>
        </w:tc>
      </w:tr>
      <w:tr>
        <w:trPr>
          <w:trHeight w:val="20"/>
        </w:trPr>
        <w:tc>
          <w:tcPr>
            <w:tcW w:w="9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6"/>
                <w:szCs w:val="16"/>
                <w:b w:val="1"/>
                <w:bCs w:val="1"/>
                <w:color w:val="auto"/>
                <w:w w:val="98"/>
              </w:rPr>
              <w:t>Years Ended December 31,</w:t>
            </w:r>
          </w:p>
        </w:tc>
      </w:tr>
      <w:tr>
        <w:trPr>
          <w:trHeight w:val="196"/>
        </w:trPr>
        <w:tc>
          <w:tcPr>
            <w:tcW w:w="8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2010</w:t>
            </w:r>
          </w:p>
        </w:tc>
      </w:tr>
      <w:tr>
        <w:trPr>
          <w:trHeight w:val="264"/>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8"/>
              </w:rPr>
              <w:t>(Dollars in millions)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Honeywell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2,926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2,067</w:t>
            </w:r>
          </w:p>
        </w:tc>
        <w:tc>
          <w:tcPr>
            <w:tcW w:w="3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2,022</w:t>
            </w:r>
          </w:p>
        </w:tc>
      </w:tr>
      <w:tr>
        <w:trPr>
          <w:trHeight w:val="212"/>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20"/>
        </w:trPr>
        <w:tc>
          <w:tcPr>
            <w:tcW w:w="81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926</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987</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Gain on sale of non-strategic businesses and assets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(362 )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Repositioning and other charges</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Net payments for repositioning and other charges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(503 )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(439 )</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Pension and other postretirement expense</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1,065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1,823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689</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Pension and other postretirement benefit payments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(1,183 )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(1,883 )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(838 )</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164</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84</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(331 )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878</w:t>
            </w:r>
          </w:p>
        </w:tc>
      </w:tr>
      <w:tr>
        <w:trPr>
          <w:trHeight w:val="270"/>
        </w:trPr>
        <w:tc>
          <w:tcPr>
            <w:tcW w:w="8120" w:type="dxa"/>
            <w:vAlign w:val="bottom"/>
          </w:tcPr>
          <w:p>
            <w:pPr>
              <w:ind w:left="700"/>
              <w:spacing w:after="0"/>
              <w:rPr>
                <w:sz w:val="20"/>
                <w:szCs w:val="20"/>
                <w:color w:val="auto"/>
              </w:rPr>
            </w:pPr>
            <w:r>
              <w:rPr>
                <w:rFonts w:ascii="Arial" w:cs="Arial" w:eastAsia="Arial" w:hAnsi="Arial"/>
                <w:sz w:val="18"/>
                <w:szCs w:val="18"/>
                <w:color w:val="auto"/>
              </w:rPr>
              <w:t>Excess tax benefits from share based payment arrangements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8120" w:type="dxa"/>
            <w:vAlign w:val="bottom"/>
            <w:shd w:val="clear" w:color="auto" w:fill="E5FFFF"/>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27</w:t>
            </w:r>
          </w:p>
        </w:tc>
      </w:tr>
      <w:tr>
        <w:trPr>
          <w:trHeight w:val="230"/>
        </w:trPr>
        <w:tc>
          <w:tcPr>
            <w:tcW w:w="8120" w:type="dxa"/>
            <w:vAlign w:val="bottom"/>
          </w:tcPr>
          <w:p>
            <w:pPr>
              <w:ind w:left="7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Accounts, notes and other receivables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(119 )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(316 )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(688 )</w:t>
            </w:r>
          </w:p>
        </w:tc>
      </w:tr>
      <w:tr>
        <w:trPr>
          <w:trHeight w:val="270"/>
        </w:trPr>
        <w:tc>
          <w:tcPr>
            <w:tcW w:w="812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(78 )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25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(26 )</w:t>
            </w:r>
          </w:p>
        </w:tc>
      </w:tr>
      <w:tr>
        <w:trPr>
          <w:trHeight w:val="270"/>
        </w:trPr>
        <w:tc>
          <w:tcPr>
            <w:tcW w:w="812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527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592</w:t>
            </w:r>
          </w:p>
        </w:tc>
      </w:tr>
      <w:tr>
        <w:trPr>
          <w:trHeight w:val="270"/>
        </w:trPr>
        <w:tc>
          <w:tcPr>
            <w:tcW w:w="8120" w:type="dxa"/>
            <w:vAlign w:val="bottom"/>
            <w:shd w:val="clear" w:color="auto" w:fill="E5FFFF"/>
          </w:tcPr>
          <w:p>
            <w:pPr>
              <w:ind w:left="10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(273 )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(54 )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8"/>
                <w:szCs w:val="18"/>
                <w:color w:val="auto"/>
              </w:rPr>
              <w:t>548</w:t>
            </w:r>
          </w:p>
        </w:tc>
      </w:tr>
      <w:tr>
        <w:trPr>
          <w:trHeight w:val="304"/>
        </w:trPr>
        <w:tc>
          <w:tcPr>
            <w:tcW w:w="8120" w:type="dxa"/>
            <w:vAlign w:val="bottom"/>
          </w:tcPr>
          <w:p>
            <w:pPr>
              <w:ind w:left="12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color w:val="auto"/>
              </w:rPr>
              <w:t>3,517</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rPr>
              <w:t>2,833</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4,203</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disposals of property, plant and equipment</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14</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Increase in investments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Decrease in investments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112</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(973 )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(1,303 )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sales of businesses, net of fees paid</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1,156</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7</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5</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120" w:type="dxa"/>
            <w:vAlign w:val="bottom"/>
            <w:shd w:val="clear" w:color="auto" w:fill="E5FFFF"/>
          </w:tcPr>
          <w:p>
            <w:pPr>
              <w:ind w:left="122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(1,428 )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9"/>
              </w:rPr>
              <w:t>(2,269 )</w:t>
            </w:r>
          </w:p>
        </w:tc>
      </w:tr>
      <w:tr>
        <w:trPr>
          <w:trHeight w:val="264"/>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Net (decrease)/increase in commercial paper</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(199 )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Net increase/(decrease) in short-term borrowings</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20</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Payment of debt assumed with acquisitions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(326 )</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23"/>
                <w:szCs w:val="23"/>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195</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1,390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Payments of long-term debt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(939 )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(1,006 )</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Excess tax benefits from share based payment arrangements</w:t>
            </w: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8"/>
                <w:szCs w:val="18"/>
                <w:color w:val="auto"/>
              </w:rPr>
              <w:t>56</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8"/>
              <w:spacing w:after="0"/>
              <w:rPr>
                <w:sz w:val="20"/>
                <w:szCs w:val="20"/>
                <w:color w:val="auto"/>
              </w:rPr>
            </w:pPr>
            <w:r>
              <w:rPr>
                <w:rFonts w:ascii="Arial" w:cs="Arial" w:eastAsia="Arial" w:hAnsi="Arial"/>
                <w:sz w:val="18"/>
                <w:szCs w:val="18"/>
                <w:color w:val="auto"/>
              </w:rPr>
              <w:t>42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8"/>
                <w:szCs w:val="18"/>
                <w:color w:val="auto"/>
              </w:rPr>
              <w:t>13</w:t>
            </w:r>
          </w:p>
        </w:tc>
      </w:tr>
      <w:tr>
        <w:trPr>
          <w:trHeight w:val="270"/>
        </w:trPr>
        <w:tc>
          <w:tcPr>
            <w:tcW w:w="812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(1,085 )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Cash dividends paid</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(1,211 )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(1,091 )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(944 )</w:t>
            </w:r>
          </w:p>
        </w:tc>
      </w:tr>
      <w:tr>
        <w:trPr>
          <w:trHeight w:val="304"/>
        </w:trPr>
        <w:tc>
          <w:tcPr>
            <w:tcW w:w="8120" w:type="dxa"/>
            <w:vAlign w:val="bottom"/>
          </w:tcPr>
          <w:p>
            <w:pPr>
              <w:ind w:left="122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(1,206 )</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(1,114 )</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(2,047 )</w:t>
            </w:r>
          </w:p>
        </w:tc>
      </w:tr>
      <w:tr>
        <w:trPr>
          <w:trHeight w:val="34"/>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9"/>
              <w:spacing w:after="0"/>
              <w:rPr>
                <w:sz w:val="20"/>
                <w:szCs w:val="20"/>
                <w:color w:val="auto"/>
              </w:rPr>
            </w:pPr>
            <w:r>
              <w:rPr>
                <w:rFonts w:ascii="Arial" w:cs="Arial" w:eastAsia="Arial" w:hAnsi="Arial"/>
                <w:sz w:val="18"/>
                <w:szCs w:val="18"/>
                <w:color w:val="auto"/>
              </w:rPr>
              <w:t>53</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(38 )</w:t>
            </w:r>
          </w:p>
        </w:tc>
      </w:tr>
      <w:tr>
        <w:trPr>
          <w:trHeight w:val="304"/>
        </w:trPr>
        <w:tc>
          <w:tcPr>
            <w:tcW w:w="812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w:t>
            </w:r>
          </w:p>
        </w:tc>
        <w:tc>
          <w:tcPr>
            <w:tcW w:w="180" w:type="dxa"/>
            <w:vAlign w:val="bottom"/>
          </w:tcPr>
          <w:p>
            <w:pPr>
              <w:spacing w:after="0"/>
              <w:rPr>
                <w:sz w:val="24"/>
                <w:szCs w:val="24"/>
                <w:color w:val="auto"/>
              </w:rPr>
            </w:pP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1,048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0"/>
        </w:trPr>
        <w:tc>
          <w:tcPr>
            <w:tcW w:w="8120" w:type="dxa"/>
            <w:vAlign w:val="bottom"/>
            <w:shd w:val="clear" w:color="auto" w:fill="E5FF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9"/>
              <w:spacing w:after="0"/>
              <w:rPr>
                <w:sz w:val="20"/>
                <w:szCs w:val="20"/>
                <w:color w:val="auto"/>
              </w:rPr>
            </w:pPr>
            <w:r>
              <w:rPr>
                <w:rFonts w:ascii="Arial" w:cs="Arial" w:eastAsia="Arial" w:hAnsi="Arial"/>
                <w:sz w:val="18"/>
                <w:szCs w:val="18"/>
                <w:color w:val="auto"/>
              </w:rPr>
              <w:t>3,698</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8"/>
              <w:spacing w:after="0"/>
              <w:rPr>
                <w:sz w:val="20"/>
                <w:szCs w:val="20"/>
                <w:color w:val="auto"/>
              </w:rPr>
            </w:pPr>
            <w:r>
              <w:rPr>
                <w:rFonts w:ascii="Arial" w:cs="Arial" w:eastAsia="Arial" w:hAnsi="Arial"/>
                <w:sz w:val="18"/>
                <w:szCs w:val="18"/>
                <w:color w:val="auto"/>
              </w:rPr>
              <w:t>2,650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8"/>
                <w:szCs w:val="18"/>
                <w:color w:val="auto"/>
              </w:rPr>
              <w:t>2,801</w:t>
            </w:r>
          </w:p>
        </w:tc>
      </w:tr>
      <w:tr>
        <w:trPr>
          <w:trHeight w:val="304"/>
        </w:trPr>
        <w:tc>
          <w:tcPr>
            <w:tcW w:w="8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9"/>
              <w:spacing w:after="0"/>
              <w:rPr>
                <w:sz w:val="20"/>
                <w:szCs w:val="20"/>
                <w:color w:val="auto"/>
              </w:rPr>
            </w:pPr>
            <w:r>
              <w:rPr>
                <w:rFonts w:ascii="Arial" w:cs="Arial" w:eastAsia="Arial" w:hAnsi="Arial"/>
                <w:sz w:val="18"/>
                <w:szCs w:val="18"/>
                <w:color w:val="auto"/>
              </w:rPr>
              <w:t>4,634</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68"/>
              <w:spacing w:after="0"/>
              <w:rPr>
                <w:sz w:val="20"/>
                <w:szCs w:val="20"/>
                <w:color w:val="auto"/>
              </w:rPr>
            </w:pPr>
            <w:r>
              <w:rPr>
                <w:rFonts w:ascii="Arial" w:cs="Arial" w:eastAsia="Arial" w:hAnsi="Arial"/>
                <w:sz w:val="18"/>
                <w:szCs w:val="18"/>
                <w:color w:val="auto"/>
              </w:rPr>
              <w:t>3,698</w:t>
            </w: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8"/>
              <w:spacing w:after="0"/>
              <w:rPr>
                <w:sz w:val="20"/>
                <w:szCs w:val="20"/>
                <w:color w:val="auto"/>
              </w:rPr>
            </w:pPr>
            <w:r>
              <w:rPr>
                <w:rFonts w:ascii="Arial" w:cs="Arial" w:eastAsia="Arial" w:hAnsi="Arial"/>
                <w:sz w:val="18"/>
                <w:szCs w:val="18"/>
                <w:color w:val="auto"/>
              </w:rPr>
              <w:t>2,650</w:t>
            </w:r>
          </w:p>
        </w:tc>
      </w:tr>
      <w:tr>
        <w:trPr>
          <w:trHeight w:val="20"/>
        </w:trPr>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ectPr>
          <w:pgSz w:w="11900" w:h="16838" w:orient="portrait"/>
          <w:cols w:equalWidth="0" w:num="1">
            <w:col w:w="11420"/>
          </w:cols>
          <w:pgMar w:left="240" w:top="106"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SHAREOWNERS’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3"/>
          </w:tcPr>
          <w:p>
            <w:pPr>
              <w:jc w:val="right"/>
              <w:ind w:right="671"/>
              <w:spacing w:after="0"/>
              <w:rPr>
                <w:sz w:val="20"/>
                <w:szCs w:val="20"/>
                <w:color w:val="auto"/>
              </w:rPr>
            </w:pPr>
            <w:r>
              <w:rPr>
                <w:rFonts w:ascii="Arial" w:cs="Arial" w:eastAsia="Arial" w:hAnsi="Arial"/>
                <w:sz w:val="16"/>
                <w:szCs w:val="16"/>
                <w:b w:val="1"/>
                <w:bCs w:val="1"/>
                <w:color w:val="auto"/>
                <w:w w:val="95"/>
              </w:rPr>
              <w:t>2011</w:t>
            </w:r>
          </w:p>
        </w:tc>
        <w:tc>
          <w:tcPr>
            <w:tcW w:w="198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2010</w:t>
            </w:r>
          </w:p>
        </w:tc>
      </w:tr>
      <w:tr>
        <w:trPr>
          <w:trHeight w:val="264"/>
        </w:trPr>
        <w:tc>
          <w:tcPr>
            <w:tcW w:w="5460" w:type="dxa"/>
            <w:vAlign w:val="bottom"/>
          </w:tcPr>
          <w:p>
            <w:pPr>
              <w:spacing w:after="0"/>
              <w:rPr>
                <w:sz w:val="22"/>
                <w:szCs w:val="22"/>
                <w:color w:val="auto"/>
              </w:rPr>
            </w:pPr>
          </w:p>
        </w:tc>
        <w:tc>
          <w:tcPr>
            <w:tcW w:w="114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Shares</w:t>
            </w:r>
          </w:p>
        </w:tc>
        <w:tc>
          <w:tcPr>
            <w:tcW w:w="7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120" w:type="dxa"/>
            <w:vAlign w:val="bottom"/>
            <w:tcBorders>
              <w:top w:val="single" w:sz="8" w:color="auto"/>
              <w:bottom w:val="single" w:sz="8" w:color="auto"/>
            </w:tcBorders>
            <w:gridSpan w:val="3"/>
          </w:tcPr>
          <w:p>
            <w:pPr>
              <w:jc w:val="right"/>
              <w:ind w:right="27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Shares</w:t>
            </w:r>
          </w:p>
        </w:tc>
        <w:tc>
          <w:tcPr>
            <w:tcW w:w="940" w:type="dxa"/>
            <w:vAlign w:val="bottom"/>
            <w:tcBorders>
              <w:top w:val="single" w:sz="8" w:color="auto"/>
              <w:bottom w:val="single" w:sz="8" w:color="auto"/>
            </w:tcBorders>
            <w:gridSpan w:val="2"/>
          </w:tcPr>
          <w:p>
            <w:pPr>
              <w:jc w:val="right"/>
              <w:ind w:right="291"/>
              <w:spacing w:after="0"/>
              <w:rPr>
                <w:sz w:val="20"/>
                <w:szCs w:val="20"/>
                <w:color w:val="auto"/>
              </w:rPr>
            </w:pPr>
            <w:r>
              <w:rPr>
                <w:rFonts w:ascii="Arial" w:cs="Arial" w:eastAsia="Arial" w:hAnsi="Arial"/>
                <w:sz w:val="16"/>
                <w:szCs w:val="16"/>
                <w:b w:val="1"/>
                <w:bCs w:val="1"/>
                <w:color w:val="auto"/>
              </w:rPr>
              <w:t>$</w:t>
            </w:r>
          </w:p>
        </w:tc>
      </w:tr>
      <w:tr>
        <w:trPr>
          <w:trHeight w:val="304"/>
        </w:trPr>
        <w:tc>
          <w:tcPr>
            <w:tcW w:w="5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Common stock, par value</w:t>
            </w:r>
          </w:p>
        </w:tc>
        <w:tc>
          <w:tcPr>
            <w:tcW w:w="78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957.6</w:t>
            </w: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958</w:t>
            </w:r>
          </w:p>
        </w:tc>
        <w:tc>
          <w:tcPr>
            <w:tcW w:w="1000" w:type="dxa"/>
            <w:vAlign w:val="bottom"/>
            <w:gridSpan w:val="2"/>
            <w:shd w:val="clear" w:color="auto" w:fill="E5FFFF"/>
          </w:tcPr>
          <w:p>
            <w:pPr>
              <w:jc w:val="right"/>
              <w:ind w:right="18"/>
              <w:spacing w:after="0"/>
              <w:rPr>
                <w:sz w:val="20"/>
                <w:szCs w:val="20"/>
                <w:color w:val="auto"/>
              </w:rPr>
            </w:pPr>
            <w:r>
              <w:rPr>
                <w:rFonts w:ascii="Arial" w:cs="Arial" w:eastAsia="Arial" w:hAnsi="Arial"/>
                <w:sz w:val="18"/>
                <w:szCs w:val="18"/>
                <w:color w:val="auto"/>
              </w:rPr>
              <w:t>957.6</w:t>
            </w: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958</w:t>
            </w:r>
          </w:p>
        </w:tc>
        <w:tc>
          <w:tcPr>
            <w:tcW w:w="1040" w:type="dxa"/>
            <w:vAlign w:val="bottom"/>
            <w:gridSpan w:val="2"/>
            <w:shd w:val="clear" w:color="auto" w:fill="E5FFFF"/>
          </w:tcPr>
          <w:p>
            <w:pPr>
              <w:jc w:val="right"/>
              <w:ind w:right="54"/>
              <w:spacing w:after="0"/>
              <w:rPr>
                <w:sz w:val="20"/>
                <w:szCs w:val="20"/>
                <w:color w:val="auto"/>
              </w:rPr>
            </w:pPr>
            <w:r>
              <w:rPr>
                <w:rFonts w:ascii="Arial" w:cs="Arial" w:eastAsia="Arial" w:hAnsi="Arial"/>
                <w:sz w:val="18"/>
                <w:szCs w:val="18"/>
                <w:color w:val="auto"/>
              </w:rPr>
              <w:t>957.6</w:t>
            </w: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958</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7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1"/>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4,157</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3,977</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3,823</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Issued for employee savings and option plans</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Contributed to pension plans</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32</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157</w:t>
            </w:r>
          </w:p>
        </w:tc>
      </w:tr>
      <w:tr>
        <w:trPr>
          <w:trHeight w:val="270"/>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Other owner changes</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9</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300" w:type="dxa"/>
            <w:vAlign w:val="bottom"/>
            <w:gridSpan w:val="2"/>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4,358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4,157</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3,977</w:t>
            </w:r>
          </w:p>
        </w:tc>
      </w:tr>
      <w:tr>
        <w:trPr>
          <w:trHeight w:val="35"/>
        </w:trPr>
        <w:tc>
          <w:tcPr>
            <w:tcW w:w="5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3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Treasury stock</w:t>
            </w: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69"/>
        </w:trPr>
        <w:tc>
          <w:tcPr>
            <w:tcW w:w="54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Pr>
          <w:p>
            <w:pPr>
              <w:jc w:val="right"/>
              <w:spacing w:after="0"/>
              <w:rPr>
                <w:sz w:val="20"/>
                <w:szCs w:val="20"/>
                <w:color w:val="auto"/>
              </w:rPr>
            </w:pPr>
            <w:r>
              <w:rPr>
                <w:rFonts w:ascii="Arial" w:cs="Arial" w:eastAsia="Arial" w:hAnsi="Arial"/>
                <w:sz w:val="18"/>
                <w:szCs w:val="18"/>
                <w:color w:val="auto"/>
              </w:rPr>
              <w:t>(182.9 )</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(8,948 )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(174.6 )</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(8,299 )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(193.4 )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(8,995 )</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Reacquired stock or repurchases of common stock</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(317 )</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(20.3 )</w:t>
            </w:r>
          </w:p>
        </w:tc>
        <w:tc>
          <w:tcPr>
            <w:tcW w:w="11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(1,085 )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Issued for employee savings and option plans</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464</w:t>
            </w: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rPr>
              <w:t>12.0</w:t>
            </w: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436</w:t>
            </w:r>
          </w:p>
        </w:tc>
        <w:tc>
          <w:tcPr>
            <w:tcW w:w="1040" w:type="dxa"/>
            <w:vAlign w:val="bottom"/>
            <w:gridSpan w:val="2"/>
          </w:tcPr>
          <w:p>
            <w:pPr>
              <w:jc w:val="right"/>
              <w:ind w:right="54"/>
              <w:spacing w:after="0"/>
              <w:rPr>
                <w:sz w:val="20"/>
                <w:szCs w:val="20"/>
                <w:color w:val="auto"/>
              </w:rPr>
            </w:pPr>
            <w:r>
              <w:rPr>
                <w:rFonts w:ascii="Arial" w:cs="Arial" w:eastAsia="Arial" w:hAnsi="Arial"/>
                <w:sz w:val="18"/>
                <w:szCs w:val="18"/>
                <w:color w:val="auto"/>
              </w:rPr>
              <w:t>8.9</w:t>
            </w: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328</w:t>
            </w:r>
          </w:p>
        </w:tc>
      </w:tr>
      <w:tr>
        <w:trPr>
          <w:trHeight w:val="270"/>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Contributed to pension plans</w:t>
            </w:r>
          </w:p>
        </w:tc>
        <w:tc>
          <w:tcPr>
            <w:tcW w:w="780" w:type="dxa"/>
            <w:vAlign w:val="bottom"/>
            <w:tcBorders>
              <w:bottom w:val="single" w:sz="8" w:color="auto"/>
            </w:tcBorders>
            <w:shd w:val="clear" w:color="auto" w:fill="E5FF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54"/>
              <w:spacing w:after="0"/>
              <w:rPr>
                <w:sz w:val="20"/>
                <w:szCs w:val="20"/>
                <w:color w:val="auto"/>
              </w:rPr>
            </w:pPr>
            <w:r>
              <w:rPr>
                <w:rFonts w:ascii="Arial" w:cs="Arial" w:eastAsia="Arial" w:hAnsi="Arial"/>
                <w:sz w:val="18"/>
                <w:szCs w:val="18"/>
                <w:color w:val="auto"/>
              </w:rPr>
              <w:t>9.9</w:t>
            </w:r>
          </w:p>
        </w:tc>
        <w:tc>
          <w:tcPr>
            <w:tcW w:w="1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368</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Pr>
          <w:p>
            <w:pPr>
              <w:jc w:val="right"/>
              <w:spacing w:after="0"/>
              <w:rPr>
                <w:sz w:val="20"/>
                <w:szCs w:val="20"/>
                <w:color w:val="auto"/>
              </w:rPr>
            </w:pPr>
            <w:r>
              <w:rPr>
                <w:rFonts w:ascii="Arial" w:cs="Arial" w:eastAsia="Arial" w:hAnsi="Arial"/>
                <w:sz w:val="18"/>
                <w:szCs w:val="18"/>
                <w:color w:val="auto"/>
              </w:rPr>
              <w:t>(174.8 )</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(8,801 )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(182.9 )</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(8,948 )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(174.6 )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(8,299 )</w:t>
            </w:r>
          </w:p>
        </w:tc>
      </w:tr>
      <w:tr>
        <w:trPr>
          <w:trHeight w:val="35"/>
        </w:trPr>
        <w:tc>
          <w:tcPr>
            <w:tcW w:w="54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3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69"/>
        </w:trPr>
        <w:tc>
          <w:tcPr>
            <w:tcW w:w="54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16,083</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15,097</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14,023</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Net income attributable to Honeywell</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2,926</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2,022</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(1,210 )</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(1,081 )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(948 )</w:t>
            </w:r>
          </w:p>
        </w:tc>
      </w:tr>
      <w:tr>
        <w:trPr>
          <w:trHeight w:val="35"/>
        </w:trPr>
        <w:tc>
          <w:tcPr>
            <w:tcW w:w="5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7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17,799</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16,083</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15,097</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1"/>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(1,444 )</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(1,067 )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(948 )</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(146 )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(249 )</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Pensions and other postretirement benefit adjustments</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(198 )</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(209 )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44</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Changes in fair value of available for sale investments</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90</w:t>
            </w:r>
          </w:p>
        </w:tc>
      </w:tr>
      <w:tr>
        <w:trPr>
          <w:trHeight w:val="270"/>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8"/>
                <w:szCs w:val="18"/>
                <w:color w:val="auto"/>
              </w:rPr>
              <w:t>27</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300" w:type="dxa"/>
            <w:vAlign w:val="bottom"/>
            <w:gridSpan w:val="2"/>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(34 )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(4 )</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(1,339 )</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(1,444 )</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(1,067 )</w:t>
            </w:r>
          </w:p>
        </w:tc>
      </w:tr>
      <w:tr>
        <w:trPr>
          <w:trHeight w:val="35"/>
        </w:trPr>
        <w:tc>
          <w:tcPr>
            <w:tcW w:w="5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3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Noncontrolling interest</w:t>
            </w:r>
          </w:p>
        </w:tc>
        <w:tc>
          <w:tcPr>
            <w:tcW w:w="7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7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69"/>
        </w:trPr>
        <w:tc>
          <w:tcPr>
            <w:tcW w:w="54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110</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Acquisitions</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6</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2</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Interest sold (bought)</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4</w:t>
            </w:r>
          </w:p>
        </w:tc>
      </w:tr>
      <w:tr>
        <w:trPr>
          <w:trHeight w:val="271"/>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13</w:t>
            </w:r>
          </w:p>
        </w:tc>
      </w:tr>
      <w:tr>
        <w:trPr>
          <w:trHeight w:val="269"/>
        </w:trPr>
        <w:tc>
          <w:tcPr>
            <w:tcW w:w="546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2</w:t>
            </w:r>
          </w:p>
        </w:tc>
      </w:tr>
      <w:tr>
        <w:trPr>
          <w:trHeight w:val="270"/>
        </w:trPr>
        <w:tc>
          <w:tcPr>
            <w:tcW w:w="54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Dividends paid</w:t>
            </w:r>
          </w:p>
        </w:tc>
        <w:tc>
          <w:tcPr>
            <w:tcW w:w="7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(21 )</w:t>
            </w:r>
          </w:p>
        </w:tc>
        <w:tc>
          <w:tcPr>
            <w:tcW w:w="2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300" w:type="dxa"/>
            <w:vAlign w:val="bottom"/>
            <w:gridSpan w:val="2"/>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(23 )</w:t>
            </w:r>
          </w:p>
        </w:tc>
        <w:tc>
          <w:tcPr>
            <w:tcW w:w="26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(10 )</w:t>
            </w:r>
          </w:p>
        </w:tc>
      </w:tr>
      <w:tr>
        <w:trPr>
          <w:trHeight w:val="304"/>
        </w:trPr>
        <w:tc>
          <w:tcPr>
            <w:tcW w:w="5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3"/>
          </w:tcPr>
          <w:p>
            <w:pPr>
              <w:jc w:val="right"/>
              <w:ind w:right="51"/>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right"/>
              <w:ind w:right="51"/>
              <w:spacing w:after="0"/>
              <w:rPr>
                <w:sz w:val="20"/>
                <w:szCs w:val="20"/>
                <w:color w:val="auto"/>
              </w:rPr>
            </w:pPr>
            <w:r>
              <w:rPr>
                <w:rFonts w:ascii="Arial" w:cs="Arial" w:eastAsia="Arial" w:hAnsi="Arial"/>
                <w:sz w:val="18"/>
                <w:szCs w:val="18"/>
                <w:color w:val="auto"/>
              </w:rPr>
              <w:t>121</w:t>
            </w:r>
          </w:p>
        </w:tc>
      </w:tr>
      <w:tr>
        <w:trPr>
          <w:trHeight w:val="35"/>
        </w:trPr>
        <w:tc>
          <w:tcPr>
            <w:tcW w:w="54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r>
      <w:tr>
        <w:trPr>
          <w:trHeight w:val="270"/>
        </w:trPr>
        <w:tc>
          <w:tcPr>
            <w:tcW w:w="54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Total shareowners’ equity</w:t>
            </w:r>
          </w:p>
        </w:tc>
        <w:tc>
          <w:tcPr>
            <w:tcW w:w="78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782.8</w:t>
            </w:r>
          </w:p>
        </w:tc>
        <w:tc>
          <w:tcPr>
            <w:tcW w:w="2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13,065</w:t>
            </w:r>
          </w:p>
        </w:tc>
        <w:tc>
          <w:tcPr>
            <w:tcW w:w="1000" w:type="dxa"/>
            <w:vAlign w:val="bottom"/>
            <w:gridSpan w:val="2"/>
            <w:shd w:val="clear" w:color="auto" w:fill="E5FFFF"/>
          </w:tcPr>
          <w:p>
            <w:pPr>
              <w:jc w:val="right"/>
              <w:ind w:right="18"/>
              <w:spacing w:after="0"/>
              <w:rPr>
                <w:sz w:val="20"/>
                <w:szCs w:val="20"/>
                <w:color w:val="auto"/>
              </w:rPr>
            </w:pPr>
            <w:r>
              <w:rPr>
                <w:rFonts w:ascii="Arial" w:cs="Arial" w:eastAsia="Arial" w:hAnsi="Arial"/>
                <w:sz w:val="18"/>
                <w:szCs w:val="18"/>
                <w:color w:val="auto"/>
              </w:rPr>
              <w:t>774.7</w:t>
            </w:r>
          </w:p>
        </w:tc>
        <w:tc>
          <w:tcPr>
            <w:tcW w:w="1120" w:type="dxa"/>
            <w:vAlign w:val="bottom"/>
            <w:gridSpan w:val="3"/>
            <w:shd w:val="clear" w:color="auto" w:fill="E5FFFF"/>
          </w:tcPr>
          <w:p>
            <w:pPr>
              <w:jc w:val="right"/>
              <w:ind w:right="51"/>
              <w:spacing w:after="0"/>
              <w:rPr>
                <w:sz w:val="20"/>
                <w:szCs w:val="20"/>
                <w:color w:val="auto"/>
              </w:rPr>
            </w:pPr>
            <w:r>
              <w:rPr>
                <w:rFonts w:ascii="Arial" w:cs="Arial" w:eastAsia="Arial" w:hAnsi="Arial"/>
                <w:sz w:val="18"/>
                <w:szCs w:val="18"/>
                <w:color w:val="auto"/>
              </w:rPr>
              <w:t>10,902</w:t>
            </w:r>
          </w:p>
        </w:tc>
        <w:tc>
          <w:tcPr>
            <w:tcW w:w="1040" w:type="dxa"/>
            <w:vAlign w:val="bottom"/>
            <w:gridSpan w:val="2"/>
            <w:shd w:val="clear" w:color="auto" w:fill="E5FFFF"/>
          </w:tcPr>
          <w:p>
            <w:pPr>
              <w:jc w:val="right"/>
              <w:ind w:right="54"/>
              <w:spacing w:after="0"/>
              <w:rPr>
                <w:sz w:val="20"/>
                <w:szCs w:val="20"/>
                <w:color w:val="auto"/>
              </w:rPr>
            </w:pPr>
            <w:r>
              <w:rPr>
                <w:rFonts w:ascii="Arial" w:cs="Arial" w:eastAsia="Arial" w:hAnsi="Arial"/>
                <w:sz w:val="18"/>
                <w:szCs w:val="18"/>
                <w:color w:val="auto"/>
              </w:rPr>
              <w:t>783.0</w:t>
            </w:r>
          </w:p>
        </w:tc>
        <w:tc>
          <w:tcPr>
            <w:tcW w:w="940" w:type="dxa"/>
            <w:vAlign w:val="bottom"/>
            <w:gridSpan w:val="2"/>
            <w:shd w:val="clear" w:color="auto" w:fill="E5FFFF"/>
          </w:tcPr>
          <w:p>
            <w:pPr>
              <w:jc w:val="right"/>
              <w:ind w:right="51"/>
              <w:spacing w:after="0"/>
              <w:rPr>
                <w:sz w:val="20"/>
                <w:szCs w:val="20"/>
                <w:color w:val="auto"/>
              </w:rPr>
            </w:pPr>
            <w:r>
              <w:rPr>
                <w:rFonts w:ascii="Arial" w:cs="Arial" w:eastAsia="Arial" w:hAnsi="Arial"/>
                <w:sz w:val="18"/>
                <w:szCs w:val="18"/>
                <w:color w:val="auto"/>
              </w:rPr>
              <w:t>10,787</w:t>
            </w:r>
          </w:p>
        </w:tc>
      </w:tr>
      <w:tr>
        <w:trPr>
          <w:trHeight w:val="20"/>
        </w:trPr>
        <w:tc>
          <w:tcPr>
            <w:tcW w:w="5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1—Summary of Significant Accounting Policies</w:t>
      </w:r>
    </w:p>
    <w:p>
      <w:pPr>
        <w:spacing w:after="0" w:line="106" w:lineRule="exact"/>
        <w:rPr>
          <w:sz w:val="20"/>
          <w:szCs w:val="20"/>
          <w:color w:val="auto"/>
        </w:rPr>
      </w:pPr>
    </w:p>
    <w:p>
      <w:pPr>
        <w:ind w:right="380" w:firstLine="357"/>
        <w:spacing w:after="0" w:line="258" w:lineRule="auto"/>
        <w:rPr>
          <w:sz w:val="20"/>
          <w:szCs w:val="20"/>
          <w:color w:val="auto"/>
        </w:rPr>
      </w:pP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—The financial statements and accompanying notes are prepared in accordance with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generally accepted in the United States of America. The following is a description of Honeywell’s significant accounting policies.</w:t>
      </w:r>
    </w:p>
    <w:p>
      <w:pPr>
        <w:spacing w:after="0" w:line="52"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Principles of Consolidation</w:t>
      </w:r>
      <w:r>
        <w:rPr>
          <w:rFonts w:ascii="Arial" w:cs="Arial" w:eastAsia="Arial" w:hAnsi="Arial"/>
          <w:sz w:val="19"/>
          <w:szCs w:val="19"/>
          <w:color w:val="auto"/>
        </w:rPr>
        <w:t>—The consolidated financial statements include the accounts of Honeywell International Inc. and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90"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The Consumer Products Group (CPG) automotive aftermarket business had historically been part of the Transportation Systems reportable segment. In accordance with generally accepted accounting principles, CPG is presented as discontinued operations in all periods presented. See Note 2 Acquisitions and Divestitures for further details.</w:t>
      </w:r>
    </w:p>
    <w:p>
      <w:pPr>
        <w:spacing w:after="0" w:line="87"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Noncontrolling interest is included within the equity section in the Consolidated Balance Sheet. Redeemable noncontrolling interest is considered to be temporary equity and is therefore reported outside of permanent equity on the Company’s Consolidated Balance Sheet at the greater of the initial carrying amount adjusted for the noncontrolling interest’s share of net income (loss) or its redemption value. We present the amount of consolidated net income that is attributable to Honeywell and the noncontrolling interest in the Consolidated Statement of Operations. Furthermore, we disclose the amount of comprehensive income that is attributable to Honeywell and the noncontrolling interest in the Consolidated Statement of Comprehensive Income.</w:t>
      </w:r>
    </w:p>
    <w:p>
      <w:pPr>
        <w:spacing w:after="0" w:line="56" w:lineRule="exact"/>
        <w:rPr>
          <w:sz w:val="20"/>
          <w:szCs w:val="20"/>
          <w:color w:val="auto"/>
        </w:rPr>
      </w:pPr>
    </w:p>
    <w:p>
      <w:pPr>
        <w:ind w:right="360" w:firstLine="357"/>
        <w:spacing w:after="0" w:line="280" w:lineRule="auto"/>
        <w:rPr>
          <w:sz w:val="20"/>
          <w:szCs w:val="20"/>
          <w:color w:val="auto"/>
        </w:rPr>
      </w:pPr>
      <w:r>
        <w:rPr>
          <w:rFonts w:ascii="Arial" w:cs="Arial" w:eastAsia="Arial" w:hAnsi="Arial"/>
          <w:sz w:val="19"/>
          <w:szCs w:val="19"/>
          <w:b w:val="1"/>
          <w:bCs w:val="1"/>
          <w:i w:val="1"/>
          <w:iCs w:val="1"/>
          <w:color w:val="auto"/>
        </w:rPr>
        <w:t>Cash and Cash Equivalents</w:t>
      </w:r>
      <w:r>
        <w:rPr>
          <w:rFonts w:ascii="Arial" w:cs="Arial" w:eastAsia="Arial" w:hAnsi="Arial"/>
          <w:sz w:val="19"/>
          <w:szCs w:val="19"/>
          <w:color w:val="auto"/>
        </w:rPr>
        <w:t>—Cash and cash equivalents include cash on hand and on deposit and highly liquid, temporary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cash investments with an original maturity of three months or less.</w:t>
      </w:r>
    </w:p>
    <w:p>
      <w:pPr>
        <w:spacing w:after="0" w:line="30" w:lineRule="exact"/>
        <w:rPr>
          <w:sz w:val="20"/>
          <w:szCs w:val="20"/>
          <w:color w:val="auto"/>
        </w:rPr>
      </w:pPr>
    </w:p>
    <w:p>
      <w:pPr>
        <w:ind w:right="80" w:firstLine="357"/>
        <w:spacing w:after="0" w:line="280" w:lineRule="auto"/>
        <w:rPr>
          <w:sz w:val="20"/>
          <w:szCs w:val="20"/>
          <w:color w:val="auto"/>
        </w:rPr>
      </w:pPr>
      <w:r>
        <w:rPr>
          <w:rFonts w:ascii="Arial" w:cs="Arial" w:eastAsia="Arial" w:hAnsi="Arial"/>
          <w:sz w:val="19"/>
          <w:szCs w:val="19"/>
          <w:b w:val="1"/>
          <w:bCs w:val="1"/>
          <w:i w:val="1"/>
          <w:iCs w:val="1"/>
          <w:color w:val="auto"/>
        </w:rPr>
        <w:t>Inventories</w:t>
      </w:r>
      <w:r>
        <w:rPr>
          <w:rFonts w:ascii="Arial" w:cs="Arial" w:eastAsia="Arial" w:hAnsi="Arial"/>
          <w:sz w:val="19"/>
          <w:szCs w:val="19"/>
          <w:color w:val="auto"/>
        </w:rPr>
        <w:t>—Inventories are valued at the lower of cost or market using the first-in, first-out or the average cost method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last-in, first-out (LIFO) method for certain qualifying domestic inventories.</w:t>
      </w:r>
    </w:p>
    <w:p>
      <w:pPr>
        <w:spacing w:after="0" w:line="3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—Investments in affiliates over which we have a significant influence, but not a controlling interest, are accounted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using the equity method of accounting. Other investments are carried at market value, if readily determinable, or at cost. All equity investments are periodically reviewed to determine if declines in fair value below cost basis are other-than-temporary. Significant and sustained decreases in quoted market prices or a series of historic and projected operating losses by investees are strong indicators of other-than-temporary declines. If the decline in fair value is determined to be other- than-temporary, an impairment loss is recorded and the investment is written down to a new carrying value.</w:t>
      </w:r>
    </w:p>
    <w:p>
      <w:pPr>
        <w:spacing w:after="0" w:line="66"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Property, Plant and Equipment</w:t>
      </w:r>
      <w:r>
        <w:rPr>
          <w:rFonts w:ascii="Arial" w:cs="Arial" w:eastAsia="Arial" w:hAnsi="Arial"/>
          <w:sz w:val="19"/>
          <w:szCs w:val="19"/>
          <w:color w:val="auto"/>
        </w:rPr>
        <w:t>—Property, plant and equipment are recorded at cost, including any asset 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 See Note 11 Property, Plant and Equipment - Net and Note 17 Other Liabilities of Notes to the Financial Statements for additional details.</w:t>
      </w:r>
    </w:p>
    <w:p>
      <w:pPr>
        <w:spacing w:after="0" w:line="6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b w:val="1"/>
          <w:bCs w:val="1"/>
          <w:i w:val="1"/>
          <w:iCs w:val="1"/>
          <w:color w:val="auto"/>
        </w:rPr>
        <w:t>Goodwill and Indefinite-Lived Intangible Assets</w:t>
      </w:r>
      <w:r>
        <w:rPr>
          <w:rFonts w:ascii="Arial" w:cs="Arial" w:eastAsia="Arial" w:hAnsi="Arial"/>
          <w:sz w:val="19"/>
          <w:szCs w:val="19"/>
          <w:color w:val="auto"/>
        </w:rPr>
        <w:t>—Goodwill represents the excess of acquisition costs over the fair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tangible net assets and identifiable intangible assets of businesses acquired. Goodwill and certain other intangible assets deemed to have indefinite lives are not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500"/>
        <w:spacing w:after="0"/>
        <w:rPr>
          <w:sz w:val="20"/>
          <w:szCs w:val="20"/>
          <w:color w:val="auto"/>
        </w:rPr>
      </w:pPr>
      <w:r>
        <w:rPr>
          <w:rFonts w:ascii="Arial" w:cs="Arial" w:eastAsia="Arial" w:hAnsi="Arial"/>
          <w:sz w:val="19"/>
          <w:szCs w:val="19"/>
          <w:color w:val="auto"/>
        </w:rPr>
        <w:t>amortized. Intangible assets determined to have definite lives are amortized over their useful lives. Goodwill and indefinite-lived intangible assets are subject to impairment testing annually as of March 31, or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2012 and determined that there was no impairment as of that date. See Note 12 for additional details on goodwill balances.</w:t>
      </w:r>
    </w:p>
    <w:p>
      <w:pPr>
        <w:spacing w:after="0" w:line="70" w:lineRule="exact"/>
        <w:rPr>
          <w:sz w:val="20"/>
          <w:szCs w:val="20"/>
          <w:color w:val="auto"/>
        </w:rPr>
      </w:pPr>
    </w:p>
    <w:p>
      <w:pPr>
        <w:jc w:val="both"/>
        <w:ind w:right="240" w:firstLine="357"/>
        <w:spacing w:after="0" w:line="258" w:lineRule="auto"/>
        <w:rPr>
          <w:sz w:val="20"/>
          <w:szCs w:val="20"/>
          <w:color w:val="auto"/>
        </w:rPr>
      </w:pPr>
      <w:r>
        <w:rPr>
          <w:rFonts w:ascii="Arial" w:cs="Arial" w:eastAsia="Arial" w:hAnsi="Arial"/>
          <w:sz w:val="19"/>
          <w:szCs w:val="19"/>
          <w:b w:val="1"/>
          <w:bCs w:val="1"/>
          <w:i w:val="1"/>
          <w:iCs w:val="1"/>
          <w:color w:val="auto"/>
        </w:rPr>
        <w:t>Other Intangible Assets with Determinable Lives</w:t>
      </w:r>
      <w:r>
        <w:rPr>
          <w:rFonts w:ascii="Arial" w:cs="Arial" w:eastAsia="Arial" w:hAnsi="Arial"/>
          <w:sz w:val="19"/>
          <w:szCs w:val="19"/>
          <w:color w:val="auto"/>
        </w:rPr>
        <w:t>—Other intangible assets with determinable lives consist of customer lists,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technology, patents and trademarks and other intangibles and are amortized over their estimated useful lives, ranging from 2 to 24 years.</w:t>
      </w:r>
    </w:p>
    <w:p>
      <w:pPr>
        <w:spacing w:after="0" w:line="52" w:lineRule="exact"/>
        <w:rPr>
          <w:sz w:val="20"/>
          <w:szCs w:val="20"/>
          <w:color w:val="auto"/>
        </w:rPr>
      </w:pPr>
    </w:p>
    <w:p>
      <w:pPr>
        <w:ind w:right="40" w:firstLine="357"/>
        <w:spacing w:after="0" w:line="243" w:lineRule="auto"/>
        <w:rPr>
          <w:sz w:val="20"/>
          <w:szCs w:val="20"/>
          <w:color w:val="auto"/>
        </w:rPr>
      </w:pPr>
      <w:r>
        <w:rPr>
          <w:rFonts w:ascii="Arial" w:cs="Arial" w:eastAsia="Arial" w:hAnsi="Arial"/>
          <w:sz w:val="19"/>
          <w:szCs w:val="19"/>
          <w:b w:val="1"/>
          <w:bCs w:val="1"/>
          <w:i w:val="1"/>
          <w:iCs w:val="1"/>
          <w:color w:val="auto"/>
        </w:rPr>
        <w:t>Long-Lived Assets</w:t>
      </w:r>
      <w:r>
        <w:rPr>
          <w:rFonts w:ascii="Arial" w:cs="Arial" w:eastAsia="Arial" w:hAnsi="Arial"/>
          <w:sz w:val="19"/>
          <w:szCs w:val="19"/>
          <w:color w:val="auto"/>
        </w:rPr>
        <w:t>—We periodically evaluate the recoverability of the carrying amount of long-lived assets (including property,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plant and equipment and intangible assets with determinable lives) whenever events or changes in circumstances indicate that the carrying amount of an asset may not be fully recoverable. We evaluate events or changes in circumstances based on a number of factors including operating results, business plans and forecasts, general and industry trends and, economic projections and anticipated cash flows. An impairment is assessed when the undiscounted expected future cash flows derived from an asset are less than its carrying amount. Impairment losses are measured as the amount by which the carrying value of an asset exceeds its fair value and are recognized in earnings. We also continually evaluate the estimated useful lives of all long-lived assets and periodically revise such estimates based on current events.</w:t>
      </w:r>
    </w:p>
    <w:p>
      <w:pPr>
        <w:spacing w:after="0" w:line="6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b w:val="1"/>
          <w:bCs w:val="1"/>
          <w:i w:val="1"/>
          <w:iCs w:val="1"/>
          <w:color w:val="auto"/>
        </w:rPr>
        <w:t>Sales Recognition</w:t>
      </w:r>
      <w:r>
        <w:rPr>
          <w:rFonts w:ascii="Arial" w:cs="Arial" w:eastAsia="Arial" w:hAnsi="Arial"/>
          <w:sz w:val="19"/>
          <w:szCs w:val="19"/>
          <w:color w:val="auto"/>
        </w:rPr>
        <w:t>—Product and service sales are recognized when persuasive evidence of an arrangement exists, product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delivery has occurred or services have been rendered, pricing is fixed or determinable, and collection is reasonably assured. Service sales, principally representing repair, maintenance and engineering activities in our Aerospace and Automation and Control Solutions segments, are recognized over the contractual period or as services are rendered. Sales under long-term contracts in the Aerospace, Automation and Control Solutions and Performance Materials and Technologies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72"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Allowance for Doubtful Accounts</w:t>
      </w:r>
      <w:r>
        <w:rPr>
          <w:rFonts w:ascii="Arial" w:cs="Arial" w:eastAsia="Arial" w:hAnsi="Arial"/>
          <w:sz w:val="19"/>
          <w:szCs w:val="19"/>
          <w:color w:val="auto"/>
        </w:rPr>
        <w:t>—We maintain allowances for doubtful accounts for estimated losses as a result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inability to make required payments. We estimate anticipated losses from doubtful accounts based on days past due, as measured from the contractual due date, historical collection history and incorporate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success of outside collection agencies activity, solvency of customer and any bankruptcy proceedings.</w:t>
      </w:r>
    </w:p>
    <w:p>
      <w:pPr>
        <w:spacing w:after="0" w:line="52" w:lineRule="exact"/>
        <w:rPr>
          <w:sz w:val="20"/>
          <w:szCs w:val="20"/>
          <w:color w:val="auto"/>
        </w:rPr>
      </w:pPr>
    </w:p>
    <w:p>
      <w:pPr>
        <w:ind w:right="100" w:firstLine="357"/>
        <w:spacing w:after="0" w:line="248" w:lineRule="auto"/>
        <w:rPr>
          <w:sz w:val="20"/>
          <w:szCs w:val="20"/>
          <w:color w:val="auto"/>
        </w:rPr>
      </w:pPr>
      <w:r>
        <w:rPr>
          <w:rFonts w:ascii="Arial" w:cs="Arial" w:eastAsia="Arial" w:hAnsi="Arial"/>
          <w:sz w:val="19"/>
          <w:szCs w:val="19"/>
          <w:b w:val="1"/>
          <w:bCs w:val="1"/>
          <w:i w:val="1"/>
          <w:iCs w:val="1"/>
          <w:color w:val="auto"/>
        </w:rPr>
        <w:t>Environmental Expenditures</w:t>
      </w:r>
      <w:r>
        <w:rPr>
          <w:rFonts w:ascii="Arial" w:cs="Arial" w:eastAsia="Arial" w:hAnsi="Arial"/>
          <w:sz w:val="19"/>
          <w:szCs w:val="19"/>
          <w:color w:val="auto"/>
        </w:rPr>
        <w:t>—Environmental expenditures that relate to current operations are expensed or capitalized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appropriate. Expenditures that relate to an existing condition caused by past operations, and that do not provide future benefits, are expensed as incurred. Liabilities are recorded when environmental remedial efforts or damage claim payments are probable and the costs can be reasonably estimated. Such liabilities are based on our best estimate of the undiscounted future costs required to complete the remedial work. The recorded liabilities are adjusted periodically as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20"/>
        <w:spacing w:after="0" w:line="242" w:lineRule="auto"/>
        <w:rPr>
          <w:sz w:val="20"/>
          <w:szCs w:val="20"/>
          <w:color w:val="auto"/>
        </w:rPr>
      </w:pPr>
      <w:r>
        <w:rPr>
          <w:rFonts w:ascii="Arial" w:cs="Arial" w:eastAsia="Arial" w:hAnsi="Arial"/>
          <w:sz w:val="19"/>
          <w:szCs w:val="19"/>
          <w:color w:val="auto"/>
        </w:rPr>
        <w:t>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w:t>
      </w:r>
    </w:p>
    <w:p>
      <w:pPr>
        <w:spacing w:after="0" w:line="6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—Honeywell is a defendant in personal injury actions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products containing asbestos (refractory and friction products). We recognize a liability for any asbestos related contingency that is probable of occurrence and reasonably estimable.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through 2018 as described in Note 22 Commitments and Contingencies of Notes to the Financial Statements. In light of the inherent uncertainties in making long term projections and in connection with the initial operation of a 524(g) trust, as well as the stay of all NARCO asbestos claims since January 2002, we do not believe that we have a reasonable basis for estimating NARCO asbestos claims beyond 2018. Regarding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We will continue to update the resolution values used to estimate the cost of pending and future Bendix claims during the fourth quarter each year. For additional information see Note 22.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104"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w:t>
      </w:r>
    </w:p>
    <w:p>
      <w:pPr>
        <w:spacing w:after="0" w:line="67"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b w:val="1"/>
          <w:bCs w:val="1"/>
          <w:i w:val="1"/>
          <w:iCs w:val="1"/>
          <w:color w:val="auto"/>
        </w:rPr>
        <w:t>Aerospace Sales Incentives</w:t>
      </w:r>
      <w:r>
        <w:rPr>
          <w:rFonts w:ascii="Arial" w:cs="Arial" w:eastAsia="Arial" w:hAnsi="Arial"/>
          <w:sz w:val="19"/>
          <w:szCs w:val="19"/>
          <w:color w:val="auto"/>
        </w:rPr>
        <w:t>—We provide sales incentives to commercial aircraft manufacturers and airlines in connection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selection of our aircraft equipment, predominately wheel and braking system hardware and auxiliary power units, for installation on commercial aircraft. These incentives principally consist of free or deeply discounted products, but also include credits for future purchases of product and upfront cash payments. These costs are recognized in the period incurred as cost of products sold or as a reduction to sales, as appropriate. For aircraft manufacturers, incentives are recorded when the products are delivered; for airlines, incentives are recorded when the associated aircraft are delivered by the aircraft manufacturer to the airline.</w:t>
      </w:r>
    </w:p>
    <w:p>
      <w:pPr>
        <w:spacing w:after="0" w:line="66" w:lineRule="exact"/>
        <w:rPr>
          <w:sz w:val="20"/>
          <w:szCs w:val="20"/>
          <w:color w:val="auto"/>
        </w:rPr>
      </w:pPr>
    </w:p>
    <w:p>
      <w:pPr>
        <w:jc w:val="both"/>
        <w:ind w:right="140" w:firstLine="357"/>
        <w:spacing w:after="0" w:line="258" w:lineRule="auto"/>
        <w:rPr>
          <w:sz w:val="20"/>
          <w:szCs w:val="20"/>
          <w:color w:val="auto"/>
        </w:rPr>
      </w:pPr>
      <w:r>
        <w:rPr>
          <w:rFonts w:ascii="Arial" w:cs="Arial" w:eastAsia="Arial" w:hAnsi="Arial"/>
          <w:sz w:val="19"/>
          <w:szCs w:val="19"/>
          <w:b w:val="1"/>
          <w:bCs w:val="1"/>
          <w:i w:val="1"/>
          <w:iCs w:val="1"/>
          <w:color w:val="auto"/>
        </w:rPr>
        <w:t>Research and Development</w:t>
      </w:r>
      <w:r>
        <w:rPr>
          <w:rFonts w:ascii="Arial" w:cs="Arial" w:eastAsia="Arial" w:hAnsi="Arial"/>
          <w:sz w:val="19"/>
          <w:szCs w:val="19"/>
          <w:color w:val="auto"/>
        </w:rPr>
        <w:t>—Research and development costs for company-sponsored research and development projects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expensed as incurred. Such costs are principally included in Cost of Products Sold and were $1,847, $1,799 and $1,450 million in 2012, 2011 and 2010, respectively.</w:t>
      </w:r>
    </w:p>
    <w:p>
      <w:pPr>
        <w:spacing w:after="0" w:line="38" w:lineRule="exact"/>
        <w:rPr>
          <w:sz w:val="20"/>
          <w:szCs w:val="20"/>
          <w:color w:val="auto"/>
        </w:rPr>
      </w:pPr>
    </w:p>
    <w:p>
      <w:pPr>
        <w:ind w:right="580" w:firstLine="357"/>
        <w:spacing w:after="0" w:line="280" w:lineRule="auto"/>
        <w:rPr>
          <w:sz w:val="20"/>
          <w:szCs w:val="20"/>
          <w:color w:val="auto"/>
        </w:rPr>
      </w:pPr>
      <w:r>
        <w:rPr>
          <w:rFonts w:ascii="Arial" w:cs="Arial" w:eastAsia="Arial" w:hAnsi="Arial"/>
          <w:sz w:val="19"/>
          <w:szCs w:val="19"/>
          <w:b w:val="1"/>
          <w:bCs w:val="1"/>
          <w:i w:val="1"/>
          <w:iCs w:val="1"/>
          <w:color w:val="auto"/>
        </w:rPr>
        <w:t>Stock-Based Compensation Plans</w:t>
      </w:r>
      <w:r>
        <w:rPr>
          <w:rFonts w:ascii="Arial" w:cs="Arial" w:eastAsia="Arial" w:hAnsi="Arial"/>
          <w:sz w:val="19"/>
          <w:szCs w:val="19"/>
          <w:color w:val="auto"/>
        </w:rPr>
        <w:t>—The principal awards issued under our stock-based compensation plans,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described in Note 20 Stock-Based Compensation Plans of Notes to</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80"/>
        <w:spacing w:after="0"/>
        <w:rPr>
          <w:sz w:val="20"/>
          <w:szCs w:val="20"/>
          <w:color w:val="auto"/>
        </w:rPr>
      </w:pPr>
      <w:r>
        <w:rPr>
          <w:rFonts w:ascii="Arial" w:cs="Arial" w:eastAsia="Arial" w:hAnsi="Arial"/>
          <w:sz w:val="19"/>
          <w:szCs w:val="19"/>
          <w:color w:val="auto"/>
        </w:rPr>
        <w:t>the Financial Statements, include non -qualified stock options and restricted stock units (RSUs).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 in our Consolidated Statement of Operations. Forfeitures are required to be estimated at the time of grant in order to estimate the portion of the award that will ultimately vest. The estimate is based on our historical rates of forfeiture.</w:t>
      </w:r>
    </w:p>
    <w:p>
      <w:pPr>
        <w:spacing w:after="0" w:line="288"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Pension Benefits</w:t>
      </w:r>
      <w:r>
        <w:rPr>
          <w:rFonts w:ascii="Arial" w:cs="Arial" w:eastAsia="Arial" w:hAnsi="Arial"/>
          <w:sz w:val="19"/>
          <w:szCs w:val="19"/>
          <w:color w:val="auto"/>
        </w:rPr>
        <w:t>—We sponsor both funded and unfunded U.S. and non-U.S. defined benefit pension plans covering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majority of our employees and retirees. We recognize net actuarial gains or losses in excess of 10 percent of the greater of the market-related value of plan assets or the plans’ projected benefit obligation (the corridor) annually in the fourth quarter each year (MTM Adjustment), and, if applicable, in any quarter in which an interim remeasurement is triggered. The remaining components of pension expense, primarily service and interest costs and assumed return on plan assets, are recorded on a quarterly basis (Pension ongoing income/expense).</w:t>
      </w:r>
    </w:p>
    <w:p>
      <w:pPr>
        <w:spacing w:after="0" w:line="66" w:lineRule="exact"/>
        <w:rPr>
          <w:sz w:val="20"/>
          <w:szCs w:val="20"/>
          <w:color w:val="auto"/>
        </w:rPr>
      </w:pPr>
    </w:p>
    <w:p>
      <w:pPr>
        <w:ind w:right="20" w:firstLine="357"/>
        <w:spacing w:after="0" w:line="244" w:lineRule="auto"/>
        <w:rPr>
          <w:sz w:val="20"/>
          <w:szCs w:val="20"/>
          <w:color w:val="auto"/>
        </w:rPr>
      </w:pPr>
      <w:r>
        <w:rPr>
          <w:rFonts w:ascii="Arial" w:cs="Arial" w:eastAsia="Arial" w:hAnsi="Arial"/>
          <w:sz w:val="19"/>
          <w:szCs w:val="19"/>
          <w:b w:val="1"/>
          <w:bCs w:val="1"/>
          <w:i w:val="1"/>
          <w:iCs w:val="1"/>
          <w:color w:val="auto"/>
        </w:rPr>
        <w:t>Foreign Currency Translation</w:t>
      </w:r>
      <w:r>
        <w:rPr>
          <w:rFonts w:ascii="Arial" w:cs="Arial" w:eastAsia="Arial" w:hAnsi="Arial"/>
          <w:sz w:val="19"/>
          <w:szCs w:val="19"/>
          <w:color w:val="auto"/>
        </w:rPr>
        <w:t>—Assets and liabilities of subsidiaries operating outside the United States with a functional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66"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—As a result of our global operating and financing activities, we are exposed to market risks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used for hedging purposes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4"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275" w:lineRule="exact"/>
        <w:rPr>
          <w:sz w:val="20"/>
          <w:szCs w:val="20"/>
          <w:color w:val="auto"/>
        </w:rPr>
      </w:pPr>
    </w:p>
    <w:p>
      <w:pPr>
        <w:ind w:right="620" w:firstLine="357"/>
        <w:spacing w:after="0" w:line="280" w:lineRule="auto"/>
        <w:rPr>
          <w:sz w:val="20"/>
          <w:szCs w:val="20"/>
          <w:color w:val="auto"/>
        </w:rPr>
      </w:pPr>
      <w:r>
        <w:rPr>
          <w:rFonts w:ascii="Arial" w:cs="Arial" w:eastAsia="Arial" w:hAnsi="Arial"/>
          <w:sz w:val="19"/>
          <w:szCs w:val="19"/>
          <w:b w:val="1"/>
          <w:bCs w:val="1"/>
          <w:i w:val="1"/>
          <w:iCs w:val="1"/>
          <w:color w:val="auto"/>
        </w:rPr>
        <w:t>Transfers of Financial Instruments</w:t>
      </w:r>
      <w:r>
        <w:rPr>
          <w:rFonts w:ascii="Arial" w:cs="Arial" w:eastAsia="Arial" w:hAnsi="Arial"/>
          <w:sz w:val="19"/>
          <w:szCs w:val="19"/>
          <w:color w:val="auto"/>
        </w:rPr>
        <w:t>—Sales, transfers and securitization of financial instruments are accounted for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authoritative guidance for the transfers and servicing of financial assets and extinguishments of liabilities.</w:t>
      </w:r>
    </w:p>
    <w:p>
      <w:pPr>
        <w:spacing w:after="0" w:line="54" w:lineRule="exact"/>
        <w:rPr>
          <w:sz w:val="20"/>
          <w:szCs w:val="20"/>
          <w:color w:val="auto"/>
        </w:rPr>
      </w:pPr>
    </w:p>
    <w:p>
      <w:pPr>
        <w:ind w:right="160" w:firstLine="357"/>
        <w:spacing w:after="0" w:line="242" w:lineRule="auto"/>
        <w:rPr>
          <w:sz w:val="20"/>
          <w:szCs w:val="20"/>
          <w:color w:val="auto"/>
        </w:rPr>
      </w:pPr>
      <w:r>
        <w:rPr>
          <w:rFonts w:ascii="Arial" w:cs="Arial" w:eastAsia="Arial" w:hAnsi="Arial"/>
          <w:sz w:val="19"/>
          <w:szCs w:val="19"/>
          <w:color w:val="auto"/>
        </w:rPr>
        <w:t>We sell interests in designated pools of trade accounts receivables to third parties. The terms of the trade accounts receivable program permit the repurchase of receivables from the third parties at our discretion. As a result, these program receivables are not accounted for as a sale and remain on the Consolidated Balance Sheet with a corresponding amount recorded as Short-term borrowings.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40" w:firstLine="357"/>
        <w:spacing w:after="0" w:line="242" w:lineRule="auto"/>
        <w:rPr>
          <w:sz w:val="20"/>
          <w:szCs w:val="20"/>
          <w:color w:val="auto"/>
        </w:rPr>
      </w:pPr>
      <w:r>
        <w:rPr>
          <w:rFonts w:ascii="Arial" w:cs="Arial" w:eastAsia="Arial" w:hAnsi="Arial"/>
          <w:sz w:val="19"/>
          <w:szCs w:val="19"/>
          <w:color w:val="auto"/>
        </w:rPr>
        <w:t>At times we also transfer trade and other receivables that qualify as a sale and are thus are removed from the Consolidated Balance Sheet at the time they are sold. The value assigned to any subordinated interests and undivided interests retained in receivables sold is based on the relative fair values of the interests retained and sold. The carrying value of the retained interests approximates fair value due to the short-term nature of the collection period for the receivables.</w:t>
      </w:r>
    </w:p>
    <w:p>
      <w:pPr>
        <w:spacing w:after="0" w:line="67"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—Deferred tax liabilities or assets reflect temporary differences between amounts of assets and liabilities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and tax reporting. Such amounts are adjusted, as appropriate, to reflect changes in tax rates expected to be in effect when the temporary differences reverse. A valuation allowance is established to offset any deferred tax assets if, based upon the available evidence, it is more likely than not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and (3) the impact of tax planning strategies.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9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Significant judgment is required in determining income tax provisions and in evaluating tax positions. We establish additional reserves for income taxes when, despite the belief that tax positions are fully supportable, there remain certain positions that do not meet the minimum recognition threshold. The approach for evaluating certain and uncertain tax positions is defined by the authoritative guidance and this guidance determines when a tax position is more likely than not to be sustained upon examination by the applicable taxing authority. In the normal course of business, the tax filings of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w:t>
      </w:r>
    </w:p>
    <w:p>
      <w:pPr>
        <w:spacing w:after="0" w:line="71" w:lineRule="exact"/>
        <w:rPr>
          <w:sz w:val="20"/>
          <w:szCs w:val="20"/>
          <w:color w:val="auto"/>
        </w:rPr>
      </w:pPr>
    </w:p>
    <w:p>
      <w:pPr>
        <w:ind w:right="460" w:firstLine="357"/>
        <w:spacing w:after="0" w:line="258" w:lineRule="auto"/>
        <w:rPr>
          <w:sz w:val="20"/>
          <w:szCs w:val="20"/>
          <w:color w:val="auto"/>
        </w:rPr>
      </w:pPr>
      <w:r>
        <w:rPr>
          <w:rFonts w:ascii="Arial" w:cs="Arial" w:eastAsia="Arial" w:hAnsi="Arial"/>
          <w:sz w:val="19"/>
          <w:szCs w:val="19"/>
          <w:b w:val="1"/>
          <w:bCs w:val="1"/>
          <w:i w:val="1"/>
          <w:iCs w:val="1"/>
          <w:color w:val="auto"/>
        </w:rPr>
        <w:t>Earnings Per Share</w:t>
      </w:r>
      <w:r>
        <w:rPr>
          <w:rFonts w:ascii="Arial" w:cs="Arial" w:eastAsia="Arial" w:hAnsi="Arial"/>
          <w:sz w:val="19"/>
          <w:szCs w:val="19"/>
          <w:color w:val="auto"/>
        </w:rPr>
        <w:t>—Basic earnings per share is based on the weighted average number of common shares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Diluted earnings per share is based on the weighted average number of common shares outstanding and all dilutive potential common shares outstanding.</w:t>
      </w:r>
    </w:p>
    <w:p>
      <w:pPr>
        <w:spacing w:after="0" w:line="52" w:lineRule="exact"/>
        <w:rPr>
          <w:sz w:val="20"/>
          <w:szCs w:val="20"/>
          <w:color w:val="auto"/>
        </w:rPr>
      </w:pPr>
    </w:p>
    <w:p>
      <w:pPr>
        <w:ind w:firstLine="357"/>
        <w:spacing w:after="0" w:line="248" w:lineRule="auto"/>
        <w:rPr>
          <w:sz w:val="20"/>
          <w:szCs w:val="20"/>
          <w:color w:val="auto"/>
        </w:rPr>
      </w:pPr>
      <w:r>
        <w:rPr>
          <w:rFonts w:ascii="Arial" w:cs="Arial" w:eastAsia="Arial" w:hAnsi="Arial"/>
          <w:sz w:val="19"/>
          <w:szCs w:val="19"/>
          <w:b w:val="1"/>
          <w:bCs w:val="1"/>
          <w:i w:val="1"/>
          <w:iCs w:val="1"/>
          <w:color w:val="auto"/>
        </w:rPr>
        <w:t>Use of Estimates</w:t>
      </w:r>
      <w:r>
        <w:rPr>
          <w:rFonts w:ascii="Arial" w:cs="Arial" w:eastAsia="Arial" w:hAnsi="Arial"/>
          <w:sz w:val="19"/>
          <w:szCs w:val="19"/>
          <w:color w:val="auto"/>
        </w:rPr>
        <w:t>—The preparation of consolidated financial statements in conformity with generally accepted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requires management to make estimates and assumptions that affect the reported amounts in the financial statements and related disclosures in the accompanying notes. Actual results could differ from those estimates. Estimates and assumptions are periodically reviewed and the effects of revisions are reflected in the consolidated financial statements in the period they are determined to be necessary.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Reclassifications</w:t>
      </w:r>
      <w:r>
        <w:rPr>
          <w:rFonts w:ascii="Arial" w:cs="Arial" w:eastAsia="Arial" w:hAnsi="Arial"/>
          <w:sz w:val="19"/>
          <w:szCs w:val="19"/>
          <w:color w:val="auto"/>
        </w:rPr>
        <w:t>—Certain prior year amounts have been reclassified to conform to the current year presentation.</w:t>
      </w:r>
    </w:p>
    <w:p>
      <w:pPr>
        <w:spacing w:after="0" w:line="106" w:lineRule="exact"/>
        <w:rPr>
          <w:sz w:val="20"/>
          <w:szCs w:val="20"/>
          <w:color w:val="auto"/>
        </w:rPr>
      </w:pPr>
    </w:p>
    <w:p>
      <w:pPr>
        <w:ind w:right="160" w:firstLine="357"/>
        <w:spacing w:after="0" w:line="258" w:lineRule="auto"/>
        <w:rPr>
          <w:sz w:val="20"/>
          <w:szCs w:val="20"/>
          <w:color w:val="auto"/>
        </w:rPr>
      </w:pPr>
      <w:r>
        <w:rPr>
          <w:rFonts w:ascii="Arial" w:cs="Arial" w:eastAsia="Arial" w:hAnsi="Arial"/>
          <w:sz w:val="19"/>
          <w:szCs w:val="19"/>
          <w:b w:val="1"/>
          <w:bCs w:val="1"/>
          <w:i w:val="1"/>
          <w:iCs w:val="1"/>
          <w:color w:val="auto"/>
        </w:rPr>
        <w:t>Recent Accounting Pronouncements</w:t>
      </w:r>
      <w:r>
        <w:rPr>
          <w:rFonts w:ascii="Arial" w:cs="Arial" w:eastAsia="Arial" w:hAnsi="Arial"/>
          <w:sz w:val="19"/>
          <w:szCs w:val="19"/>
          <w:color w:val="auto"/>
        </w:rPr>
        <w:t>—Changes to accounting principles generally accepted in the United States of America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 GAAP) are established by the Financial Accounting Standards Board (FASB) in the form of accounting standards updates (ASU’s) to the FASB’s Accounting Standards Codification.</w:t>
      </w:r>
    </w:p>
    <w:p>
      <w:pPr>
        <w:spacing w:after="0" w:line="76" w:lineRule="exact"/>
        <w:rPr>
          <w:sz w:val="20"/>
          <w:szCs w:val="20"/>
          <w:color w:val="auto"/>
        </w:rPr>
      </w:pPr>
    </w:p>
    <w:p>
      <w:pPr>
        <w:ind w:right="220" w:firstLine="357"/>
        <w:spacing w:after="0" w:line="253" w:lineRule="auto"/>
        <w:rPr>
          <w:sz w:val="20"/>
          <w:szCs w:val="20"/>
          <w:color w:val="auto"/>
        </w:rPr>
      </w:pPr>
      <w:r>
        <w:rPr>
          <w:rFonts w:ascii="Arial" w:cs="Arial" w:eastAsia="Arial" w:hAnsi="Arial"/>
          <w:sz w:val="19"/>
          <w:szCs w:val="19"/>
          <w:color w:val="auto"/>
        </w:rPr>
        <w:t>The Company considers the applicability and impact of all ASU’s. ASU’s not listed below were assessed and determined to be either not applicable or are expected to have minimal impact on our consolidated financial position and results of operations.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In May 2011, the FASB issued amendments to disclosure requirements for common fair value measurement. These amendments, effective for the interim and annual periods beginning on or after December 15, 2011 (early adoption is prohibited), result in a common definition of fair value and common requirements for measurement of and disclosure requirements between U.S. GAAP and International Financial Reporting Standards. Consequently, the amendments change some fair value measurement principles and disclosure requirements. The implementation of the amended accounting guidance has not had a material impact on our consolidated financial position or results of operations.</w:t>
      </w:r>
    </w:p>
    <w:p>
      <w:pPr>
        <w:spacing w:after="0" w:line="94" w:lineRule="exact"/>
        <w:rPr>
          <w:sz w:val="20"/>
          <w:szCs w:val="20"/>
          <w:color w:val="auto"/>
        </w:rPr>
      </w:pPr>
    </w:p>
    <w:p>
      <w:pPr>
        <w:ind w:right="40" w:firstLine="357"/>
        <w:spacing w:after="0" w:line="238" w:lineRule="auto"/>
        <w:rPr>
          <w:sz w:val="20"/>
          <w:szCs w:val="20"/>
          <w:color w:val="auto"/>
        </w:rPr>
      </w:pPr>
      <w:r>
        <w:rPr>
          <w:rFonts w:ascii="Arial" w:cs="Arial" w:eastAsia="Arial" w:hAnsi="Arial"/>
          <w:sz w:val="19"/>
          <w:szCs w:val="19"/>
          <w:color w:val="auto"/>
        </w:rPr>
        <w:t>In June 2011, the FASB issued amendments to disclosure requirements for presentation of comprehensive income. This guidance, effective retrospectively for the interim and annual periods beginning on or after December 15, 2011 (early adoption is permitted), requires presentation of total comprehensive income, the components of net income, and the components of other comprehensive income either in a single continuous statement of comprehensive income or in two separate but consecutive statements. In December 2011, the FASB issued an amendment to defer the presentation on the face of the financial statements the effects of reclassifications out of accumulated other comprehensive income on the components of net income and other comprehensive income for annual and interim financial statements. The implementation of the amended accounting guidance has not had a material impact on our consolidated financial position or results of operations. In February 2013, the FASB issued amendments to disclosure requirements for presentation of comprehensive income. The standard requires presentation (either in a single note or parenthetically on the face of the financial statements) of the effect of significant amounts reclassified from each component of accumulated other comprehensive income based on its source and the income statement line items affected by the reclassification. If a component is not required to be reclassified to net income in its entirety, a cross reference to the related footnote for additional information will be required. The amendments are effective prospectively for reporting periods beginning after December 15, 2012 (early adoption is permitted). The implementation of the amended accounting guidance is not expected to have a material impact on our consolidated financial position or results of operations.</w:t>
      </w:r>
    </w:p>
    <w:p>
      <w:pPr>
        <w:spacing w:after="0" w:line="99"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In September 2011, the FASB issued amendments to the goodwill impairment guidance which provides an option for companies to use a qualitative approach to test goodwill for impairment if certain conditions are met. The amendments are effective for annual and interim goodwill impairment tests performed for fiscal years beginning after December 15, 2011 (early adoption is permitted). The implementation of the amended accounting guidance has not had a material impact on our consolidated financial position or results of operations.</w:t>
      </w:r>
    </w:p>
    <w:p>
      <w:pPr>
        <w:spacing w:after="0" w:line="91"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In July 2012, the FASB issued amendments to the indefinite-lived intangible asset impairment guidance which provides an option for companies to use a qualitative approach to test indefinite-lived intangible assets for impairment if certain conditions are met. The amendments are effective for annual and interim indefinite-lived intangible asset impairment tests performed for fiscal years beginning after September 15, 2012 (early adoption is permitted). The implementation of the amended accounting guidance is not expected to have a material impact on our consolidated financial position or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2—Acquisitions and Divestitures</w:t>
      </w:r>
    </w:p>
    <w:p>
      <w:pPr>
        <w:spacing w:after="0" w:line="10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b w:val="1"/>
          <w:bCs w:val="1"/>
          <w:i w:val="1"/>
          <w:iCs w:val="1"/>
          <w:color w:val="auto"/>
        </w:rPr>
        <w:t>Acquisitions—</w:t>
      </w:r>
      <w:r>
        <w:rPr>
          <w:rFonts w:ascii="Arial" w:cs="Arial" w:eastAsia="Arial" w:hAnsi="Arial"/>
          <w:sz w:val="19"/>
          <w:szCs w:val="19"/>
          <w:color w:val="auto"/>
        </w:rPr>
        <w:t>We acquired businesses for an aggregate cost (net of cash acquired) of $438, $973, and $1,303 million in 2012,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2011 and 2010, respectively. For all of our acquisitions the acquired businesses were recorded at their estimated fair values at the dates of acquisition. Significant acquisitions made in these years are discussed below.</w:t>
      </w:r>
    </w:p>
    <w:p>
      <w:pPr>
        <w:spacing w:after="0" w:line="76"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color w:val="auto"/>
        </w:rPr>
        <w:t>In December 2012, the Company entered into a definitive agreement to acquire Intermec, Inc. (Intermec) a leading provider of mobile computing, radio frequency identification solutions (RFID) and bar code, label and receipt printers for use in warehousing, supply chain, field service and manufacturing environments for $10 per share in cash, or an aggregate purchase price 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approximately $600 million, net of cash acquired. Intermec is a U.S. public company which operates globally and had reported 2011 revenues of approximately $850 million. The transaction is expected to close by the end of the second quarter of 2013, pending Intermec shareholder approval and following customary regulatory reviews. The acquisition is expected to be funded with available cash and the issuance of commercial paper. Intermec will be integrated into our Automation and Control Solutions segment.</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 October 22, 2012, the Company acquired a 70 percent controlling interest in Thomas Russell Co., a privately-held leading provider of technology and equipment for natural gas processing and treating, for approximately $525 million ($368 million, net of cash acquired). Thomas Russell Co.’s results of operations have been consolidated into the Performance Materials and Technologies segment, with the noncontrolling interest portion reflected in net income attributable to the noncontrolling interest in the Consolidated Statement of Operations. During the calendar year 2016, Honeywell has the right to acquire and the noncontrolling shareholder has the right to sell to Honeywell the remaining 30 percent interest at a price based on a multiple of Thomas Russell Co.’s average annual operating income from 2013 to 2015, subject to a predetermined cap and floor. Additionally, Honeywell has the right to acquire the remaining 30 percent interest for a fixed price equivalent to the cap at any time on or before December 31, 2015. See Note 21 Redeemable Noncontrolling Interest.</w:t>
      </w:r>
    </w:p>
    <w:p>
      <w:pPr>
        <w:spacing w:after="0" w:line="95" w:lineRule="exact"/>
        <w:rPr>
          <w:sz w:val="20"/>
          <w:szCs w:val="20"/>
          <w:color w:val="auto"/>
        </w:rPr>
      </w:pPr>
    </w:p>
    <w:p>
      <w:pPr>
        <w:ind w:right="120" w:firstLine="357"/>
        <w:spacing w:after="0" w:line="239" w:lineRule="auto"/>
        <w:rPr>
          <w:sz w:val="20"/>
          <w:szCs w:val="20"/>
          <w:color w:val="auto"/>
        </w:rPr>
      </w:pPr>
      <w:r>
        <w:rPr>
          <w:rFonts w:ascii="Arial" w:cs="Arial" w:eastAsia="Arial" w:hAnsi="Arial"/>
          <w:sz w:val="19"/>
          <w:szCs w:val="19"/>
          <w:color w:val="auto"/>
        </w:rPr>
        <w:t>The aggregate value of Thomas Russell Co. was allocated to tangible and identifiable intangible assets acquired and liabilities assumed based on their consolidated estimated fair values at the acquisition date. On a preliminary basis, the Company has assigned approximately $215 million to identifiable intangible assets. The intangible assets are predominantly backlog, technology, and trademarks. These intangible assets are being amortized over their estimated lives, which range from 2 to 10 years, using both straight-line and accelerated amortization methods. The excess of the purchase price over the estimated fair values of net assets acquired (approximating $440 million), was recorded as goodwill. This goodwill arises primarily from the avoidance of the time and costs which would be required (and the associated risks that would be encountered) to enhance our product offerings to key target markets and serve as entry into new and profitable businesses within the Performance Materials and Technologies segment. Our interest in the acquired goodwill is deductible for tax purposes.</w:t>
      </w:r>
    </w:p>
    <w:p>
      <w:pPr>
        <w:spacing w:after="0" w:line="95"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The following amounts represent the preliminary determination of the fair value of the identifiable assets acquired and liabilities assumed.</w:t>
      </w:r>
    </w:p>
    <w:p>
      <w:pPr>
        <w:spacing w:after="0" w:line="25"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8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Cash</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157</w:t>
            </w:r>
          </w:p>
        </w:tc>
      </w:tr>
      <w:tr>
        <w:trPr>
          <w:trHeight w:val="270"/>
        </w:trPr>
        <w:tc>
          <w:tcPr>
            <w:tcW w:w="8540" w:type="dxa"/>
            <w:vAlign w:val="bottom"/>
          </w:tcPr>
          <w:p>
            <w:pPr>
              <w:ind w:left="20"/>
              <w:spacing w:after="0"/>
              <w:rPr>
                <w:sz w:val="20"/>
                <w:szCs w:val="20"/>
                <w:color w:val="auto"/>
              </w:rPr>
            </w:pPr>
            <w:r>
              <w:rPr>
                <w:rFonts w:ascii="Arial" w:cs="Arial" w:eastAsia="Arial" w:hAnsi="Arial"/>
                <w:sz w:val="19"/>
                <w:szCs w:val="19"/>
                <w:color w:val="auto"/>
              </w:rPr>
              <w:t>Accounts and other receivables</w:t>
            </w:r>
          </w:p>
        </w:tc>
        <w:tc>
          <w:tcPr>
            <w:tcW w:w="240" w:type="dxa"/>
            <w:vAlign w:val="bottom"/>
          </w:tcPr>
          <w:p>
            <w:pPr>
              <w:spacing w:after="0"/>
              <w:rPr>
                <w:sz w:val="23"/>
                <w:szCs w:val="23"/>
                <w:color w:val="auto"/>
              </w:rPr>
            </w:pPr>
          </w:p>
        </w:tc>
        <w:tc>
          <w:tcPr>
            <w:tcW w:w="620" w:type="dxa"/>
            <w:vAlign w:val="bottom"/>
          </w:tcPr>
          <w:p>
            <w:pPr>
              <w:jc w:val="right"/>
              <w:ind w:right="63"/>
              <w:spacing w:after="0"/>
              <w:rPr>
                <w:sz w:val="20"/>
                <w:szCs w:val="20"/>
                <w:color w:val="auto"/>
              </w:rPr>
            </w:pPr>
            <w:r>
              <w:rPr>
                <w:rFonts w:ascii="Arial" w:cs="Arial" w:eastAsia="Arial" w:hAnsi="Arial"/>
                <w:sz w:val="19"/>
                <w:szCs w:val="19"/>
                <w:color w:val="auto"/>
              </w:rPr>
              <w:t>85</w:t>
            </w:r>
          </w:p>
        </w:tc>
      </w:tr>
      <w:tr>
        <w:trPr>
          <w:trHeight w:val="270"/>
        </w:trPr>
        <w:tc>
          <w:tcPr>
            <w:tcW w:w="8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assets</w:t>
            </w:r>
          </w:p>
        </w:tc>
        <w:tc>
          <w:tcPr>
            <w:tcW w:w="24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16</w:t>
            </w:r>
          </w:p>
        </w:tc>
      </w:tr>
      <w:tr>
        <w:trPr>
          <w:trHeight w:val="270"/>
        </w:trPr>
        <w:tc>
          <w:tcPr>
            <w:tcW w:w="8540" w:type="dxa"/>
            <w:vAlign w:val="bottom"/>
          </w:tcPr>
          <w:p>
            <w:pPr>
              <w:ind w:left="20"/>
              <w:spacing w:after="0"/>
              <w:rPr>
                <w:sz w:val="20"/>
                <w:szCs w:val="20"/>
                <w:color w:val="auto"/>
              </w:rPr>
            </w:pPr>
            <w:r>
              <w:rPr>
                <w:rFonts w:ascii="Arial" w:cs="Arial" w:eastAsia="Arial" w:hAnsi="Arial"/>
                <w:sz w:val="19"/>
                <w:szCs w:val="19"/>
                <w:color w:val="auto"/>
              </w:rPr>
              <w:t>Intangible assets</w:t>
            </w:r>
          </w:p>
        </w:tc>
        <w:tc>
          <w:tcPr>
            <w:tcW w:w="240" w:type="dxa"/>
            <w:vAlign w:val="bottom"/>
          </w:tcPr>
          <w:p>
            <w:pPr>
              <w:spacing w:after="0"/>
              <w:rPr>
                <w:sz w:val="23"/>
                <w:szCs w:val="23"/>
                <w:color w:val="auto"/>
              </w:rPr>
            </w:pPr>
          </w:p>
        </w:tc>
        <w:tc>
          <w:tcPr>
            <w:tcW w:w="620" w:type="dxa"/>
            <w:vAlign w:val="bottom"/>
          </w:tcPr>
          <w:p>
            <w:pPr>
              <w:jc w:val="right"/>
              <w:ind w:right="63"/>
              <w:spacing w:after="0"/>
              <w:rPr>
                <w:sz w:val="20"/>
                <w:szCs w:val="20"/>
                <w:color w:val="auto"/>
              </w:rPr>
            </w:pPr>
            <w:r>
              <w:rPr>
                <w:rFonts w:ascii="Arial" w:cs="Arial" w:eastAsia="Arial" w:hAnsi="Arial"/>
                <w:sz w:val="19"/>
                <w:szCs w:val="19"/>
                <w:color w:val="auto"/>
              </w:rPr>
              <w:t>215</w:t>
            </w:r>
          </w:p>
        </w:tc>
      </w:tr>
      <w:tr>
        <w:trPr>
          <w:trHeight w:val="270"/>
        </w:trPr>
        <w:tc>
          <w:tcPr>
            <w:tcW w:w="8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revenue</w:t>
            </w:r>
          </w:p>
        </w:tc>
        <w:tc>
          <w:tcPr>
            <w:tcW w:w="24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(221 )</w:t>
            </w:r>
          </w:p>
        </w:tc>
      </w:tr>
      <w:tr>
        <w:trPr>
          <w:trHeight w:val="270"/>
        </w:trPr>
        <w:tc>
          <w:tcPr>
            <w:tcW w:w="8540" w:type="dxa"/>
            <w:vAlign w:val="bottom"/>
          </w:tcPr>
          <w:p>
            <w:pPr>
              <w:ind w:left="20"/>
              <w:spacing w:after="0"/>
              <w:rPr>
                <w:sz w:val="20"/>
                <w:szCs w:val="20"/>
                <w:color w:val="auto"/>
              </w:rPr>
            </w:pPr>
            <w:r>
              <w:rPr>
                <w:rFonts w:ascii="Arial" w:cs="Arial" w:eastAsia="Arial" w:hAnsi="Arial"/>
                <w:sz w:val="19"/>
                <w:szCs w:val="19"/>
                <w:color w:val="auto"/>
              </w:rPr>
              <w:t>Other current liabilities</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r>
      <w:tr>
        <w:trPr>
          <w:trHeight w:val="34"/>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5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Net assets acquired</w:t>
            </w:r>
          </w:p>
        </w:tc>
        <w:tc>
          <w:tcPr>
            <w:tcW w:w="24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234</w:t>
            </w:r>
          </w:p>
        </w:tc>
      </w:tr>
      <w:tr>
        <w:trPr>
          <w:trHeight w:val="270"/>
        </w:trPr>
        <w:tc>
          <w:tcPr>
            <w:tcW w:w="8540" w:type="dxa"/>
            <w:vAlign w:val="bottom"/>
          </w:tcPr>
          <w:p>
            <w:pPr>
              <w:ind w:left="20"/>
              <w:spacing w:after="0"/>
              <w:rPr>
                <w:sz w:val="20"/>
                <w:szCs w:val="20"/>
                <w:color w:val="auto"/>
              </w:rPr>
            </w:pPr>
            <w:r>
              <w:rPr>
                <w:rFonts w:ascii="Arial" w:cs="Arial" w:eastAsia="Arial" w:hAnsi="Arial"/>
                <w:sz w:val="19"/>
                <w:szCs w:val="19"/>
                <w:color w:val="auto"/>
              </w:rPr>
              <w:t>Goodwill</w:t>
            </w:r>
          </w:p>
        </w:tc>
        <w:tc>
          <w:tcPr>
            <w:tcW w:w="240" w:type="dxa"/>
            <w:vAlign w:val="bottom"/>
          </w:tcPr>
          <w:p>
            <w:pPr>
              <w:spacing w:after="0"/>
              <w:rPr>
                <w:sz w:val="23"/>
                <w:szCs w:val="23"/>
                <w:color w:val="auto"/>
              </w:rPr>
            </w:pPr>
          </w:p>
        </w:tc>
        <w:tc>
          <w:tcPr>
            <w:tcW w:w="620" w:type="dxa"/>
            <w:vAlign w:val="bottom"/>
          </w:tcPr>
          <w:p>
            <w:pPr>
              <w:jc w:val="right"/>
              <w:ind w:right="63"/>
              <w:spacing w:after="0"/>
              <w:rPr>
                <w:sz w:val="20"/>
                <w:szCs w:val="20"/>
                <w:color w:val="auto"/>
              </w:rPr>
            </w:pPr>
            <w:r>
              <w:rPr>
                <w:rFonts w:ascii="Arial" w:cs="Arial" w:eastAsia="Arial" w:hAnsi="Arial"/>
                <w:sz w:val="19"/>
                <w:szCs w:val="19"/>
                <w:color w:val="auto"/>
              </w:rPr>
              <w:t>440</w:t>
            </w:r>
          </w:p>
        </w:tc>
      </w:tr>
      <w:tr>
        <w:trPr>
          <w:trHeight w:val="270"/>
        </w:trPr>
        <w:tc>
          <w:tcPr>
            <w:tcW w:w="85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Redeemable noncontrolling interest</w:t>
            </w:r>
          </w:p>
        </w:tc>
        <w:tc>
          <w:tcPr>
            <w:tcW w:w="24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(149 )</w:t>
            </w:r>
          </w:p>
        </w:tc>
      </w:tr>
      <w:tr>
        <w:trPr>
          <w:trHeight w:val="304"/>
        </w:trPr>
        <w:tc>
          <w:tcPr>
            <w:tcW w:w="8540" w:type="dxa"/>
            <w:vAlign w:val="bottom"/>
          </w:tcPr>
          <w:p>
            <w:pPr>
              <w:ind w:left="380"/>
              <w:spacing w:after="0"/>
              <w:rPr>
                <w:sz w:val="20"/>
                <w:szCs w:val="20"/>
                <w:color w:val="auto"/>
              </w:rPr>
            </w:pPr>
            <w:r>
              <w:rPr>
                <w:rFonts w:ascii="Arial" w:cs="Arial" w:eastAsia="Arial" w:hAnsi="Arial"/>
                <w:sz w:val="19"/>
                <w:szCs w:val="19"/>
                <w:color w:val="auto"/>
              </w:rPr>
              <w:t>Purchase price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525</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0" w:firstLine="357"/>
        <w:spacing w:after="0" w:line="242" w:lineRule="auto"/>
        <w:rPr>
          <w:sz w:val="20"/>
          <w:szCs w:val="20"/>
          <w:color w:val="auto"/>
        </w:rPr>
      </w:pPr>
      <w:r>
        <w:rPr>
          <w:rFonts w:ascii="Arial" w:cs="Arial" w:eastAsia="Arial" w:hAnsi="Arial"/>
          <w:sz w:val="19"/>
          <w:szCs w:val="19"/>
          <w:color w:val="auto"/>
        </w:rPr>
        <w:t>The results from the acquisition date through December 31, 2012 are included in the Performance Materials and Technologies segment and were not material to the consolidated financial statements. As of December 31, 2012, the purchase accounting for Thomas Russell Co. is subject to final adjustment primarily for the determination of useful lives of intangible assets, amounts allocated to intangible assets and goodwill, and tax balances.</w:t>
      </w:r>
    </w:p>
    <w:p>
      <w:pPr>
        <w:spacing w:after="0" w:line="78"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In December 2011, the Company acquired King’s Safetywear Limited (KSW), a leading international provider of branded safety footwear. The aggregate value, net of cash acquired, was</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approximately $ 331 million (including the assumption of debt of $ 33 million) and was allocated to tangible and identifiable intangible assets acquired and liabilities assumed based on their estimated fair values at the acquisition date. The Company has assigned approximately $167 million to identifiable intangible assets, predominantly trademarks, technology, and customer relationships. The definite lived intangible assets are being amortized over their estimated lives, using straight-line and accelerated amortization methods. The value assigned to trademarks of approximately $84 million is classified as indefinite lived intangibles. The excess of the purchase price over the estimated fair values of net assets acquired (approximately $157 million), was recorded as goodwill. This goodwill arises primarily from the avoidance of the time and costs which would be required (and the associated risks that would be encountered) to enhance our product offerings to key target markets and serve as entry into new and profitable segments, and the expected cost synergies that will be realized through the consolidation of the acquired business into our Automation and Control Solutions segment. Their cost synergies are expected to be realized principally in the areas of selling, general and administrative expenses, material sourcing and manufacturing. This goodwill is non—deductible for tax purposes.</w:t>
      </w:r>
    </w:p>
    <w:p>
      <w:pPr>
        <w:spacing w:after="0" w:line="92"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The results from the acquisition date through December 31, 2011 are included in the Automation and Control Solutions segment and were not material to the consolidated financial statements.</w:t>
      </w:r>
    </w:p>
    <w:p>
      <w:pPr>
        <w:spacing w:after="0" w:line="80" w:lineRule="exact"/>
        <w:rPr>
          <w:sz w:val="20"/>
          <w:szCs w:val="20"/>
          <w:color w:val="auto"/>
        </w:rPr>
      </w:pPr>
    </w:p>
    <w:p>
      <w:pPr>
        <w:jc w:val="both"/>
        <w:ind w:right="260" w:firstLine="357"/>
        <w:spacing w:after="0" w:line="245" w:lineRule="auto"/>
        <w:rPr>
          <w:sz w:val="20"/>
          <w:szCs w:val="20"/>
          <w:color w:val="auto"/>
        </w:rPr>
      </w:pPr>
      <w:r>
        <w:rPr>
          <w:rFonts w:ascii="Arial" w:cs="Arial" w:eastAsia="Arial" w:hAnsi="Arial"/>
          <w:sz w:val="19"/>
          <w:szCs w:val="19"/>
          <w:color w:val="auto"/>
        </w:rPr>
        <w:t>In August 2011, the Company acquired 100 percent of the issued and outstanding shares of EMS Technologies, Inc. (EMS), a leading provider of connectivity solutions for mobile networking, rugged mobile computers and satellite communications. EMS had reported 2010 revenues of approximately $355 million.</w:t>
      </w:r>
    </w:p>
    <w:p>
      <w:pPr>
        <w:spacing w:after="0" w:line="87" w:lineRule="exact"/>
        <w:rPr>
          <w:sz w:val="20"/>
          <w:szCs w:val="20"/>
          <w:color w:val="auto"/>
        </w:rPr>
      </w:pPr>
    </w:p>
    <w:p>
      <w:pPr>
        <w:ind w:right="100" w:firstLine="357"/>
        <w:spacing w:after="0" w:line="238" w:lineRule="auto"/>
        <w:rPr>
          <w:sz w:val="20"/>
          <w:szCs w:val="20"/>
          <w:color w:val="auto"/>
        </w:rPr>
      </w:pPr>
      <w:r>
        <w:rPr>
          <w:rFonts w:ascii="Arial" w:cs="Arial" w:eastAsia="Arial" w:hAnsi="Arial"/>
          <w:sz w:val="19"/>
          <w:szCs w:val="19"/>
          <w:color w:val="auto"/>
        </w:rPr>
        <w:t>The aggregate value, net of cash acquired, was approximately $513 million and was allocated to tangible and identifiable intangible assets acquired and liabilities assumed based on their estimated fair values at the acquisition date. The Company has assigned approximately $119 million to identifiable intangible assets, of which approximately $89 million and approximately $30 million were recorded within the Aerospace and Automation and Control segments, respectively. The intangible assets are predominantly customer relationships, existing technology and trademarks. These intangible assets are being amortized over their estimated lives, using straight-line and accelerated amortization methods. The excess of the purchase price over the estimated fair values of net assets acquired (approximating $314 million), was recorded as goodwill. This goodwill arises primarily from the avoidance of the time and costs which would be required (and the associated risks that would be encountered) to enhance our product offerings to key target markets and serve as entry into new and profitable segments, and the expected cost synergies that will be realized through the consolidation of the acquired business into our Aerospace and Automation and Control Solutions segments. These cost synergies are expected to be realized principally in the areas of selling, general and administrative expenses, material sourcing and manufacturing. This goodwill is non-deductible for tax purposes.</w:t>
      </w:r>
    </w:p>
    <w:p>
      <w:pPr>
        <w:spacing w:after="0" w:line="101" w:lineRule="exact"/>
        <w:rPr>
          <w:sz w:val="20"/>
          <w:szCs w:val="20"/>
          <w:color w:val="auto"/>
        </w:rPr>
      </w:pPr>
    </w:p>
    <w:p>
      <w:pPr>
        <w:ind w:right="360" w:firstLine="357"/>
        <w:spacing w:after="0" w:line="253" w:lineRule="auto"/>
        <w:rPr>
          <w:sz w:val="20"/>
          <w:szCs w:val="20"/>
          <w:color w:val="auto"/>
        </w:rPr>
      </w:pPr>
      <w:r>
        <w:rPr>
          <w:rFonts w:ascii="Arial" w:cs="Arial" w:eastAsia="Arial" w:hAnsi="Arial"/>
          <w:sz w:val="19"/>
          <w:szCs w:val="19"/>
          <w:color w:val="auto"/>
        </w:rPr>
        <w:t>The results from the acquisition date through December 31, 2011 are included in the Aerospace and Automation and Control Solutions segments and were not material to the consolidated financial statements.</w:t>
      </w:r>
    </w:p>
    <w:p>
      <w:pPr>
        <w:spacing w:after="0" w:line="66"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In October 2010, we completed the acquisition of the issued and outstanding shares of Sperian Protection (Sperian), a French company that operates globally in the personal protection equipment design and manufacturing industry. Sperian had reported 2009 revenues of approximately $900 million.</w:t>
      </w:r>
    </w:p>
    <w:p>
      <w:pPr>
        <w:spacing w:after="0" w:line="87"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The aggregate value, net of cash acquired, was approximately $1,475 million (including the assumption of approximately $326 million of outstanding debt) and was allocated to tangible and identifiable intangible assets acquired and liabilities assumed based on their estimated fair values at the acquisition date.</w:t>
      </w:r>
    </w:p>
    <w:p>
      <w:pPr>
        <w:spacing w:after="0" w:line="87" w:lineRule="exact"/>
        <w:rPr>
          <w:sz w:val="20"/>
          <w:szCs w:val="20"/>
          <w:color w:val="auto"/>
        </w:rPr>
      </w:pPr>
    </w:p>
    <w:p>
      <w:pPr>
        <w:ind w:right="780" w:firstLine="357"/>
        <w:spacing w:after="0" w:line="253" w:lineRule="auto"/>
        <w:rPr>
          <w:sz w:val="20"/>
          <w:szCs w:val="20"/>
          <w:color w:val="auto"/>
        </w:rPr>
      </w:pPr>
      <w:r>
        <w:rPr>
          <w:rFonts w:ascii="Arial" w:cs="Arial" w:eastAsia="Arial" w:hAnsi="Arial"/>
          <w:sz w:val="19"/>
          <w:szCs w:val="19"/>
          <w:color w:val="auto"/>
        </w:rPr>
        <w:t>The following amounts represent the final determination of the fair value of the identifiable assets acquired and liabilities assumed.</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40"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and other receivables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117</w:t>
            </w:r>
          </w:p>
        </w:tc>
        <w:tc>
          <w:tcPr>
            <w:tcW w:w="580" w:type="dxa"/>
            <w:vAlign w:val="bottom"/>
            <w:shd w:val="clear" w:color="auto" w:fill="E5FFFF"/>
          </w:tcPr>
          <w:p>
            <w:pPr>
              <w:spacing w:after="0"/>
              <w:rPr>
                <w:sz w:val="23"/>
                <w:szCs w:val="23"/>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9"/>
                <w:szCs w:val="19"/>
                <w:color w:val="auto"/>
              </w:rPr>
              <w:t>Inventories</w:t>
            </w: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166</w:t>
            </w:r>
          </w:p>
        </w:tc>
        <w:tc>
          <w:tcPr>
            <w:tcW w:w="580" w:type="dxa"/>
            <w:vAlign w:val="bottom"/>
          </w:tcPr>
          <w:p>
            <w:pPr>
              <w:spacing w:after="0"/>
              <w:rPr>
                <w:sz w:val="23"/>
                <w:szCs w:val="23"/>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current assets</w:t>
            </w: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8</w:t>
            </w:r>
          </w:p>
        </w:tc>
        <w:tc>
          <w:tcPr>
            <w:tcW w:w="580" w:type="dxa"/>
            <w:vAlign w:val="bottom"/>
            <w:shd w:val="clear" w:color="auto" w:fill="E5FFFF"/>
          </w:tcPr>
          <w:p>
            <w:pPr>
              <w:spacing w:after="0"/>
              <w:rPr>
                <w:sz w:val="23"/>
                <w:szCs w:val="23"/>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9"/>
                <w:szCs w:val="19"/>
                <w:color w:val="auto"/>
              </w:rPr>
              <w:t>Property, plant and equipment</w:t>
            </w: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108</w:t>
            </w:r>
          </w:p>
        </w:tc>
        <w:tc>
          <w:tcPr>
            <w:tcW w:w="580" w:type="dxa"/>
            <w:vAlign w:val="bottom"/>
          </w:tcPr>
          <w:p>
            <w:pPr>
              <w:spacing w:after="0"/>
              <w:rPr>
                <w:sz w:val="23"/>
                <w:szCs w:val="23"/>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Intangible assets</w:t>
            </w: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539</w:t>
            </w:r>
          </w:p>
        </w:tc>
        <w:tc>
          <w:tcPr>
            <w:tcW w:w="580" w:type="dxa"/>
            <w:vAlign w:val="bottom"/>
            <w:shd w:val="clear" w:color="auto" w:fill="E5FFFF"/>
          </w:tcPr>
          <w:p>
            <w:pPr>
              <w:spacing w:after="0"/>
              <w:rPr>
                <w:sz w:val="23"/>
                <w:szCs w:val="23"/>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9"/>
                <w:szCs w:val="19"/>
                <w:color w:val="auto"/>
              </w:rPr>
              <w:t>Other assets and deferred charges</w:t>
            </w:r>
          </w:p>
        </w:tc>
        <w:tc>
          <w:tcPr>
            <w:tcW w:w="240" w:type="dxa"/>
            <w:vAlign w:val="bottom"/>
          </w:tcPr>
          <w:p>
            <w:pPr>
              <w:spacing w:after="0"/>
              <w:rPr>
                <w:sz w:val="23"/>
                <w:szCs w:val="23"/>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4</w:t>
            </w:r>
          </w:p>
        </w:tc>
        <w:tc>
          <w:tcPr>
            <w:tcW w:w="580" w:type="dxa"/>
            <w:vAlign w:val="bottom"/>
          </w:tcPr>
          <w:p>
            <w:pPr>
              <w:spacing w:after="0"/>
              <w:rPr>
                <w:sz w:val="23"/>
                <w:szCs w:val="23"/>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Accounts payable</w:t>
            </w: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(63 )</w:t>
            </w:r>
          </w:p>
        </w:tc>
        <w:tc>
          <w:tcPr>
            <w:tcW w:w="580" w:type="dxa"/>
            <w:vAlign w:val="bottom"/>
            <w:shd w:val="clear" w:color="auto" w:fill="E5FFFF"/>
          </w:tcPr>
          <w:p>
            <w:pPr>
              <w:spacing w:after="0"/>
              <w:rPr>
                <w:sz w:val="23"/>
                <w:szCs w:val="23"/>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9"/>
                <w:szCs w:val="19"/>
                <w:color w:val="auto"/>
              </w:rPr>
              <w:t>Accrued liabilities</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(114 )</w:t>
            </w:r>
          </w:p>
        </w:tc>
        <w:tc>
          <w:tcPr>
            <w:tcW w:w="580" w:type="dxa"/>
            <w:vAlign w:val="bottom"/>
          </w:tcPr>
          <w:p>
            <w:pPr>
              <w:spacing w:after="0"/>
              <w:rPr>
                <w:sz w:val="23"/>
                <w:szCs w:val="23"/>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 income taxes</w:t>
            </w:r>
          </w:p>
        </w:tc>
        <w:tc>
          <w:tcPr>
            <w:tcW w:w="24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(156 )</w:t>
            </w:r>
          </w:p>
        </w:tc>
        <w:tc>
          <w:tcPr>
            <w:tcW w:w="580" w:type="dxa"/>
            <w:vAlign w:val="bottom"/>
            <w:shd w:val="clear" w:color="auto" w:fill="E5FFFF"/>
          </w:tcPr>
          <w:p>
            <w:pPr>
              <w:spacing w:after="0"/>
              <w:rPr>
                <w:sz w:val="23"/>
                <w:szCs w:val="23"/>
                <w:color w:val="auto"/>
              </w:rPr>
            </w:pPr>
          </w:p>
        </w:tc>
      </w:tr>
      <w:tr>
        <w:trPr>
          <w:trHeight w:val="270"/>
        </w:trPr>
        <w:tc>
          <w:tcPr>
            <w:tcW w:w="7860" w:type="dxa"/>
            <w:vAlign w:val="bottom"/>
          </w:tcPr>
          <w:p>
            <w:pPr>
              <w:ind w:left="20"/>
              <w:spacing w:after="0"/>
              <w:rPr>
                <w:sz w:val="20"/>
                <w:szCs w:val="20"/>
                <w:color w:val="auto"/>
              </w:rPr>
            </w:pPr>
            <w:r>
              <w:rPr>
                <w:rFonts w:ascii="Arial" w:cs="Arial" w:eastAsia="Arial" w:hAnsi="Arial"/>
                <w:sz w:val="19"/>
                <w:szCs w:val="19"/>
                <w:color w:val="auto"/>
              </w:rPr>
              <w:t>Long-term debt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(326 )</w:t>
            </w:r>
          </w:p>
        </w:tc>
        <w:tc>
          <w:tcPr>
            <w:tcW w:w="580" w:type="dxa"/>
            <w:vAlign w:val="bottom"/>
          </w:tcPr>
          <w:p>
            <w:pPr>
              <w:spacing w:after="0"/>
              <w:rPr>
                <w:sz w:val="23"/>
                <w:szCs w:val="23"/>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long-term liabilities</w:t>
            </w:r>
          </w:p>
        </w:tc>
        <w:tc>
          <w:tcPr>
            <w:tcW w:w="24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(64 )</w:t>
            </w:r>
          </w:p>
        </w:tc>
        <w:tc>
          <w:tcPr>
            <w:tcW w:w="580" w:type="dxa"/>
            <w:vAlign w:val="bottom"/>
            <w:shd w:val="clear" w:color="auto" w:fill="E5FFFF"/>
          </w:tcPr>
          <w:p>
            <w:pPr>
              <w:spacing w:after="0"/>
              <w:rPr>
                <w:sz w:val="23"/>
                <w:szCs w:val="23"/>
                <w:color w:val="auto"/>
              </w:rPr>
            </w:pPr>
          </w:p>
        </w:tc>
      </w:tr>
      <w:tr>
        <w:trPr>
          <w:trHeight w:val="304"/>
        </w:trPr>
        <w:tc>
          <w:tcPr>
            <w:tcW w:w="7860" w:type="dxa"/>
            <w:vAlign w:val="bottom"/>
          </w:tcPr>
          <w:p>
            <w:pPr>
              <w:ind w:left="380"/>
              <w:spacing w:after="0"/>
              <w:rPr>
                <w:sz w:val="20"/>
                <w:szCs w:val="20"/>
                <w:color w:val="auto"/>
              </w:rPr>
            </w:pPr>
            <w:r>
              <w:rPr>
                <w:rFonts w:ascii="Arial" w:cs="Arial" w:eastAsia="Arial" w:hAnsi="Arial"/>
                <w:sz w:val="19"/>
                <w:szCs w:val="19"/>
                <w:color w:val="auto"/>
              </w:rPr>
              <w:t>Net assets acquired</w:t>
            </w:r>
          </w:p>
        </w:tc>
        <w:tc>
          <w:tcPr>
            <w:tcW w:w="240" w:type="dxa"/>
            <w:vAlign w:val="bottom"/>
          </w:tcPr>
          <w:p>
            <w:pPr>
              <w:spacing w:after="0"/>
              <w:rPr>
                <w:sz w:val="24"/>
                <w:szCs w:val="24"/>
                <w:color w:val="auto"/>
              </w:rPr>
            </w:pPr>
          </w:p>
        </w:tc>
        <w:tc>
          <w:tcPr>
            <w:tcW w:w="720" w:type="dxa"/>
            <w:vAlign w:val="bottom"/>
          </w:tcPr>
          <w:p>
            <w:pPr>
              <w:jc w:val="right"/>
              <w:ind w:right="63"/>
              <w:spacing w:after="0"/>
              <w:rPr>
                <w:sz w:val="20"/>
                <w:szCs w:val="20"/>
                <w:color w:val="auto"/>
              </w:rPr>
            </w:pPr>
            <w:r>
              <w:rPr>
                <w:rFonts w:ascii="Arial" w:cs="Arial" w:eastAsia="Arial" w:hAnsi="Arial"/>
                <w:sz w:val="19"/>
                <w:szCs w:val="19"/>
                <w:color w:val="auto"/>
              </w:rPr>
              <w:t>219</w:t>
            </w:r>
          </w:p>
        </w:tc>
        <w:tc>
          <w:tcPr>
            <w:tcW w:w="580" w:type="dxa"/>
            <w:vAlign w:val="bottom"/>
          </w:tcPr>
          <w:p>
            <w:pPr>
              <w:spacing w:after="0"/>
              <w:rPr>
                <w:sz w:val="24"/>
                <w:szCs w:val="24"/>
                <w:color w:val="auto"/>
              </w:rPr>
            </w:pPr>
          </w:p>
        </w:tc>
      </w:tr>
      <w:tr>
        <w:trPr>
          <w:trHeight w:val="270"/>
        </w:trPr>
        <w:tc>
          <w:tcPr>
            <w:tcW w:w="7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Goodwill</w:t>
            </w:r>
          </w:p>
        </w:tc>
        <w:tc>
          <w:tcPr>
            <w:tcW w:w="24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930</w:t>
            </w:r>
          </w:p>
        </w:tc>
        <w:tc>
          <w:tcPr>
            <w:tcW w:w="580" w:type="dxa"/>
            <w:vAlign w:val="bottom"/>
            <w:shd w:val="clear" w:color="auto" w:fill="E5FFFF"/>
          </w:tcPr>
          <w:p>
            <w:pPr>
              <w:spacing w:after="0"/>
              <w:rPr>
                <w:sz w:val="23"/>
                <w:szCs w:val="23"/>
                <w:color w:val="auto"/>
              </w:rPr>
            </w:pPr>
          </w:p>
        </w:tc>
      </w:tr>
      <w:tr>
        <w:trPr>
          <w:trHeight w:val="304"/>
        </w:trPr>
        <w:tc>
          <w:tcPr>
            <w:tcW w:w="7860" w:type="dxa"/>
            <w:vAlign w:val="bottom"/>
          </w:tcPr>
          <w:p>
            <w:pPr>
              <w:ind w:left="380"/>
              <w:spacing w:after="0"/>
              <w:rPr>
                <w:sz w:val="20"/>
                <w:szCs w:val="20"/>
                <w:color w:val="auto"/>
              </w:rPr>
            </w:pPr>
            <w:r>
              <w:rPr>
                <w:rFonts w:ascii="Arial" w:cs="Arial" w:eastAsia="Arial" w:hAnsi="Arial"/>
                <w:sz w:val="19"/>
                <w:szCs w:val="19"/>
                <w:color w:val="auto"/>
              </w:rPr>
              <w:t>Purchase price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1,149</w:t>
            </w:r>
          </w:p>
        </w:tc>
        <w:tc>
          <w:tcPr>
            <w:tcW w:w="580" w:type="dxa"/>
            <w:vAlign w:val="bottom"/>
          </w:tcPr>
          <w:p>
            <w:pPr>
              <w:spacing w:after="0"/>
              <w:rPr>
                <w:sz w:val="24"/>
                <w:szCs w:val="24"/>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49"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have assigned $539 million to intangible assets, predominantly customer relationships, trade names, and technology. These intangible assets are being amortized over their estimated lives which range from 3 to 20 years using straight line and accelerated amortization methods. Included in this amount, a value of approximately $246 million has been assigned to trade names intangibles determined to have indefinite lives. The excess of the purchase price over the estimated fair values of net assets acquired is approximately $ 930 million and was recorded as goodwill. This goodwill arises primarily from the avoidance of the time and costs which would be required (and the associated risks that would be encountered) to develop a business with a product offering and customer base comparable to Sperian and the expected cost synergies that will be realized through the consolidation of the acquired business into our Automations and Controls Solutions segment. These cost synergies are expected to be realized principally in the areas of selling, general and administrative expenses, material sourcing and manufacturing. This goodwill is non-deductible for tax purposes. The results from the acquisition date through December 31, 2010 are included in the Automation and Control Solutions segment and were not material to the consolidated financial statements.</w:t>
      </w:r>
    </w:p>
    <w:p>
      <w:pPr>
        <w:spacing w:after="0" w:line="92" w:lineRule="exact"/>
        <w:rPr>
          <w:sz w:val="20"/>
          <w:szCs w:val="20"/>
          <w:color w:val="auto"/>
        </w:rPr>
      </w:pPr>
    </w:p>
    <w:p>
      <w:pPr>
        <w:ind w:right="840" w:firstLine="357"/>
        <w:spacing w:after="0" w:line="253" w:lineRule="auto"/>
        <w:rPr>
          <w:sz w:val="20"/>
          <w:szCs w:val="20"/>
          <w:color w:val="auto"/>
        </w:rPr>
      </w:pPr>
      <w:r>
        <w:rPr>
          <w:rFonts w:ascii="Arial" w:cs="Arial" w:eastAsia="Arial" w:hAnsi="Arial"/>
          <w:sz w:val="19"/>
          <w:szCs w:val="19"/>
          <w:color w:val="auto"/>
        </w:rPr>
        <w:t>In connection with all acquisitions in 2012, 2011 and 2010, the amounts recorded for transaction costs and the costs of integrating the acquired businesses into Honeywell were not material.</w:t>
      </w:r>
    </w:p>
    <w:p>
      <w:pPr>
        <w:spacing w:after="0" w:line="80"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The pro forma results for 2012, 2011 and 2010, assuming these acquisitions had been made at the beginning of the comparable prior year, would not be materially different from consolidated reported results.</w:t>
      </w:r>
    </w:p>
    <w:p>
      <w:pPr>
        <w:spacing w:after="0" w:line="56" w:lineRule="exact"/>
        <w:rPr>
          <w:sz w:val="20"/>
          <w:szCs w:val="20"/>
          <w:color w:val="auto"/>
        </w:rPr>
      </w:pPr>
    </w:p>
    <w:p>
      <w:pPr>
        <w:ind w:right="120" w:firstLine="357"/>
        <w:spacing w:after="0" w:line="245" w:lineRule="auto"/>
        <w:rPr>
          <w:sz w:val="20"/>
          <w:szCs w:val="20"/>
          <w:color w:val="auto"/>
        </w:rPr>
      </w:pPr>
      <w:r>
        <w:rPr>
          <w:rFonts w:ascii="Arial" w:cs="Arial" w:eastAsia="Arial" w:hAnsi="Arial"/>
          <w:sz w:val="19"/>
          <w:szCs w:val="19"/>
          <w:b w:val="1"/>
          <w:bCs w:val="1"/>
          <w:i w:val="1"/>
          <w:iCs w:val="1"/>
          <w:color w:val="auto"/>
        </w:rPr>
        <w:t>Divestitures</w:t>
      </w:r>
      <w:r>
        <w:rPr>
          <w:rFonts w:ascii="Arial" w:cs="Arial" w:eastAsia="Arial" w:hAnsi="Arial"/>
          <w:sz w:val="19"/>
          <w:szCs w:val="19"/>
          <w:color w:val="auto"/>
        </w:rPr>
        <w:t>—In July 2011, the Company sold its Consumer Products Group business (CPG) to Rank Group Limited. The sale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completed for approximately $955 million in cash proceeds, resulting in a pre-tax gain of approximately $301 million and approximately $178 million, net of tax. The gain was recorded in net income from discontinued operations after taxes in the Company’s Consolidated Statement of Operations for the year ended December 31, 2011. The net income attributable to the noncontrolling interest for the discontinued operations is insignificant. The sale of CPG, which had been part of the Transportation Systems segment, is consistent with the Company’s strategic focus on its portfolio of differentiated global technologies.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6" w:right="27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key components of income from discontinued operations related to CPG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80" w:type="dxa"/>
            <w:vAlign w:val="bottom"/>
            <w:gridSpan w:val="11"/>
          </w:tcPr>
          <w:p>
            <w:pPr>
              <w:ind w:left="40"/>
              <w:spacing w:after="0"/>
              <w:rPr>
                <w:sz w:val="20"/>
                <w:szCs w:val="20"/>
                <w:color w:val="auto"/>
              </w:rPr>
            </w:pPr>
            <w:r>
              <w:rPr>
                <w:rFonts w:ascii="Arial" w:cs="Arial" w:eastAsia="Arial" w:hAnsi="Arial"/>
                <w:sz w:val="16"/>
                <w:szCs w:val="16"/>
                <w:b w:val="1"/>
                <w:bCs w:val="1"/>
                <w:color w:val="auto"/>
              </w:rPr>
              <w:t>Years Ended December 31,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760" w:type="dxa"/>
            <w:vAlign w:val="bottom"/>
            <w:tcBorders>
              <w:top w:val="single" w:sz="8" w:color="auto"/>
              <w:bottom w:val="single" w:sz="8" w:color="auto"/>
            </w:tcBorders>
            <w:gridSpan w:val="3"/>
          </w:tcPr>
          <w:p>
            <w:pPr>
              <w:jc w:val="right"/>
              <w:ind w:right="105"/>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20" w:type="dxa"/>
            <w:vAlign w:val="bottom"/>
            <w:gridSpan w:val="2"/>
            <w:shd w:val="clear" w:color="auto" w:fill="E5FFFF"/>
          </w:tcPr>
          <w:p>
            <w:pPr>
              <w:ind w:lef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530</w:t>
            </w:r>
          </w:p>
        </w:tc>
        <w:tc>
          <w:tcPr>
            <w:tcW w:w="20" w:type="dxa"/>
            <w:vAlign w:val="bottom"/>
            <w:shd w:val="clear" w:color="auto" w:fill="E5FFFF"/>
          </w:tcPr>
          <w:p>
            <w:pPr>
              <w:spacing w:after="0"/>
              <w:rPr>
                <w:sz w:val="22"/>
                <w:szCs w:val="22"/>
                <w:color w:val="auto"/>
              </w:rPr>
            </w:pPr>
          </w:p>
        </w:tc>
        <w:tc>
          <w:tcPr>
            <w:tcW w:w="4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40" w:type="dxa"/>
            <w:vAlign w:val="bottom"/>
            <w:gridSpan w:val="3"/>
            <w:shd w:val="clear" w:color="auto" w:fill="E5FFFF"/>
          </w:tcPr>
          <w:p>
            <w:pPr>
              <w:jc w:val="right"/>
              <w:ind w:right="120"/>
              <w:spacing w:after="0"/>
              <w:rPr>
                <w:sz w:val="20"/>
                <w:szCs w:val="20"/>
                <w:color w:val="auto"/>
              </w:rPr>
            </w:pPr>
            <w:r>
              <w:rPr>
                <w:rFonts w:ascii="Arial" w:cs="Arial" w:eastAsia="Arial" w:hAnsi="Arial"/>
                <w:sz w:val="19"/>
                <w:szCs w:val="19"/>
                <w:color w:val="auto"/>
              </w:rPr>
              <w:t>1,020</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tcPr>
          <w:p>
            <w:pPr>
              <w:ind w:left="20"/>
              <w:spacing w:after="0"/>
              <w:rPr>
                <w:sz w:val="20"/>
                <w:szCs w:val="20"/>
                <w:color w:val="auto"/>
              </w:rPr>
            </w:pPr>
            <w:r>
              <w:rPr>
                <w:rFonts w:ascii="Arial" w:cs="Arial" w:eastAsia="Arial" w:hAnsi="Arial"/>
                <w:sz w:val="19"/>
                <w:szCs w:val="19"/>
                <w:color w:val="auto"/>
              </w:rPr>
              <w:t>Costs, expenses and other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5"/>
              <w:spacing w:after="0"/>
              <w:rPr>
                <w:sz w:val="20"/>
                <w:szCs w:val="20"/>
                <w:color w:val="auto"/>
              </w:rPr>
            </w:pPr>
            <w:r>
              <w:rPr>
                <w:rFonts w:ascii="Arial" w:cs="Arial" w:eastAsia="Arial" w:hAnsi="Arial"/>
                <w:sz w:val="19"/>
                <w:szCs w:val="19"/>
                <w:color w:val="auto"/>
              </w:rPr>
              <w:t>421</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9"/>
                <w:szCs w:val="19"/>
                <w:color w:val="auto"/>
              </w:rPr>
              <w:t>798</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Selling, general and administrative expense</w:t>
            </w: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63</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99</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tcPr>
          <w:p>
            <w:pPr>
              <w:ind w:left="20"/>
              <w:spacing w:after="0"/>
              <w:rPr>
                <w:sz w:val="20"/>
                <w:szCs w:val="20"/>
                <w:color w:val="auto"/>
              </w:rPr>
            </w:pPr>
            <w:r>
              <w:rPr>
                <w:rFonts w:ascii="Arial" w:cs="Arial" w:eastAsia="Arial" w:hAnsi="Arial"/>
                <w:sz w:val="19"/>
                <w:szCs w:val="19"/>
                <w:color w:val="auto"/>
              </w:rPr>
              <w:t>Other (income) expense</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(2 )</w:t>
            </w:r>
          </w:p>
        </w:tc>
        <w:tc>
          <w:tcPr>
            <w:tcW w:w="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color w:val="auto"/>
              </w:rPr>
              <w:t>2</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before taxes</w:t>
            </w:r>
          </w:p>
        </w:tc>
        <w:tc>
          <w:tcPr>
            <w:tcW w:w="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48</w:t>
            </w:r>
          </w:p>
        </w:tc>
        <w:tc>
          <w:tcPr>
            <w:tcW w:w="2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gridSpan w:val="3"/>
            <w:shd w:val="clear" w:color="auto" w:fill="E5FFFF"/>
          </w:tcPr>
          <w:p>
            <w:pPr>
              <w:jc w:val="right"/>
              <w:ind w:right="120"/>
              <w:spacing w:after="0"/>
              <w:rPr>
                <w:sz w:val="20"/>
                <w:szCs w:val="20"/>
                <w:color w:val="auto"/>
              </w:rPr>
            </w:pPr>
            <w:r>
              <w:rPr>
                <w:rFonts w:ascii="Arial" w:cs="Arial" w:eastAsia="Arial" w:hAnsi="Arial"/>
                <w:sz w:val="19"/>
                <w:szCs w:val="19"/>
                <w:color w:val="auto"/>
              </w:rPr>
              <w:t>121</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800" w:type="dxa"/>
            <w:vAlign w:val="bottom"/>
          </w:tcPr>
          <w:p>
            <w:pPr>
              <w:ind w:left="20"/>
              <w:spacing w:after="0"/>
              <w:rPr>
                <w:sz w:val="20"/>
                <w:szCs w:val="20"/>
                <w:color w:val="auto"/>
              </w:rPr>
            </w:pPr>
            <w:r>
              <w:rPr>
                <w:rFonts w:ascii="Arial" w:cs="Arial" w:eastAsia="Arial" w:hAnsi="Arial"/>
                <w:sz w:val="19"/>
                <w:szCs w:val="19"/>
                <w:color w:val="auto"/>
              </w:rPr>
              <w:t>Gain on disposal of discontinued operations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5"/>
              <w:spacing w:after="0"/>
              <w:rPr>
                <w:sz w:val="20"/>
                <w:szCs w:val="20"/>
                <w:color w:val="auto"/>
              </w:rPr>
            </w:pPr>
            <w:r>
              <w:rPr>
                <w:rFonts w:ascii="Arial" w:cs="Arial" w:eastAsia="Arial" w:hAnsi="Arial"/>
                <w:sz w:val="19"/>
                <w:szCs w:val="19"/>
                <w:color w:val="auto"/>
              </w:rPr>
              <w:t>301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9"/>
                <w:szCs w:val="19"/>
                <w:color w:val="auto"/>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income from discontinued operations before taxes</w:t>
            </w:r>
          </w:p>
        </w:tc>
        <w:tc>
          <w:tcPr>
            <w:tcW w:w="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349</w:t>
            </w:r>
          </w:p>
        </w:tc>
        <w:tc>
          <w:tcPr>
            <w:tcW w:w="2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gridSpan w:val="3"/>
            <w:shd w:val="clear" w:color="auto" w:fill="E5FFFF"/>
          </w:tcPr>
          <w:p>
            <w:pPr>
              <w:jc w:val="right"/>
              <w:ind w:right="120"/>
              <w:spacing w:after="0"/>
              <w:rPr>
                <w:sz w:val="20"/>
                <w:szCs w:val="20"/>
                <w:color w:val="auto"/>
              </w:rPr>
            </w:pPr>
            <w:r>
              <w:rPr>
                <w:rFonts w:ascii="Arial" w:cs="Arial" w:eastAsia="Arial" w:hAnsi="Arial"/>
                <w:sz w:val="19"/>
                <w:szCs w:val="19"/>
                <w:color w:val="auto"/>
              </w:rPr>
              <w:t>121</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7800" w:type="dxa"/>
            <w:vAlign w:val="bottom"/>
          </w:tcPr>
          <w:p>
            <w:pPr>
              <w:ind w:left="20"/>
              <w:spacing w:after="0"/>
              <w:rPr>
                <w:sz w:val="20"/>
                <w:szCs w:val="20"/>
                <w:color w:val="auto"/>
              </w:rPr>
            </w:pPr>
            <w:r>
              <w:rPr>
                <w:rFonts w:ascii="Arial" w:cs="Arial" w:eastAsia="Arial" w:hAnsi="Arial"/>
                <w:sz w:val="19"/>
                <w:szCs w:val="19"/>
                <w:color w:val="auto"/>
              </w:rPr>
              <w:t>Tax expense</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140</w:t>
            </w:r>
          </w:p>
        </w:tc>
        <w:tc>
          <w:tcPr>
            <w:tcW w:w="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9"/>
                <w:szCs w:val="19"/>
                <w:color w:val="auto"/>
              </w:rPr>
              <w:t>43</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78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Net income from discontinued operations after taxes</w:t>
            </w:r>
          </w:p>
        </w:tc>
        <w:tc>
          <w:tcPr>
            <w:tcW w:w="220" w:type="dxa"/>
            <w:vAlign w:val="bottom"/>
            <w:gridSpan w:val="2"/>
            <w:shd w:val="clear" w:color="auto" w:fill="E5FFFF"/>
          </w:tcPr>
          <w:p>
            <w:pPr>
              <w:ind w:lef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209</w:t>
            </w:r>
          </w:p>
        </w:tc>
        <w:tc>
          <w:tcPr>
            <w:tcW w:w="2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spacing w:after="0"/>
              <w:rPr>
                <w:sz w:val="23"/>
                <w:szCs w:val="23"/>
                <w:color w:val="auto"/>
              </w:rPr>
            </w:pPr>
          </w:p>
        </w:tc>
        <w:tc>
          <w:tcPr>
            <w:tcW w:w="36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78</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Note 3—Repositioning and Other Charges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85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60" w:type="dxa"/>
            <w:vAlign w:val="bottom"/>
            <w:gridSpan w:val="2"/>
          </w:tcPr>
          <w:p>
            <w:pPr>
              <w:ind w:left="360"/>
              <w:spacing w:after="0"/>
              <w:rPr>
                <w:sz w:val="20"/>
                <w:szCs w:val="20"/>
                <w:color w:val="auto"/>
              </w:rPr>
            </w:pPr>
            <w:r>
              <w:rPr>
                <w:rFonts w:ascii="Arial" w:cs="Arial" w:eastAsia="Arial" w:hAnsi="Arial"/>
                <w:sz w:val="19"/>
                <w:szCs w:val="19"/>
                <w:color w:val="auto"/>
              </w:rPr>
              <w:t>A summary of repositioning and other charges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10"/>
          </w:tcPr>
          <w:p>
            <w:pPr>
              <w:jc w:val="right"/>
              <w:ind w:right="305"/>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95"/>
              </w:rPr>
              <w:t>2012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w w:val="95"/>
              </w:rPr>
              <w:t>2011</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64"/>
        </w:trPr>
        <w:tc>
          <w:tcPr>
            <w:tcW w:w="85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Severance</w:t>
            </w:r>
          </w:p>
        </w:tc>
        <w:tc>
          <w:tcPr>
            <w:tcW w:w="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91</w:t>
            </w:r>
          </w:p>
        </w:tc>
        <w:tc>
          <w:tcPr>
            <w:tcW w:w="20" w:type="dxa"/>
            <w:vAlign w:val="bottom"/>
            <w:shd w:val="clear" w:color="auto" w:fill="E5FFFF"/>
          </w:tcPr>
          <w:p>
            <w:pPr>
              <w:spacing w:after="0"/>
              <w:rPr>
                <w:sz w:val="22"/>
                <w:szCs w:val="22"/>
                <w:color w:val="auto"/>
              </w:rPr>
            </w:pPr>
          </w:p>
        </w:tc>
        <w:tc>
          <w:tcPr>
            <w:tcW w:w="4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246</w:t>
            </w:r>
          </w:p>
        </w:tc>
        <w:tc>
          <w:tcPr>
            <w:tcW w:w="54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144</w:t>
            </w:r>
          </w:p>
        </w:tc>
        <w:tc>
          <w:tcPr>
            <w:tcW w:w="0" w:type="dxa"/>
            <w:vAlign w:val="bottom"/>
          </w:tcPr>
          <w:p>
            <w:pPr>
              <w:spacing w:after="0"/>
              <w:rPr>
                <w:sz w:val="1"/>
                <w:szCs w:val="1"/>
                <w:color w:val="auto"/>
              </w:rPr>
            </w:pP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9"/>
                <w:szCs w:val="19"/>
                <w:color w:val="auto"/>
              </w:rPr>
              <w:t>Asset impairments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5"/>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5"/>
              <w:spacing w:after="0"/>
              <w:rPr>
                <w:sz w:val="20"/>
                <w:szCs w:val="20"/>
                <w:color w:val="auto"/>
              </w:rPr>
            </w:pPr>
            <w:r>
              <w:rPr>
                <w:rFonts w:ascii="Arial" w:cs="Arial" w:eastAsia="Arial" w:hAnsi="Arial"/>
                <w:sz w:val="19"/>
                <w:szCs w:val="19"/>
                <w:color w:val="auto"/>
              </w:rPr>
              <w:t>86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70"/>
        </w:trPr>
        <w:tc>
          <w:tcPr>
            <w:tcW w:w="85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Exit costs</w:t>
            </w: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16</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48</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9"/>
                <w:szCs w:val="19"/>
                <w:color w:val="auto"/>
              </w:rPr>
              <w:t>Reserve adjustments</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(66 )</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(26 )</w:t>
            </w:r>
          </w:p>
        </w:tc>
        <w:tc>
          <w:tcPr>
            <w:tcW w:w="6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(30 )</w:t>
            </w: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Total net repositioning charge</w:t>
            </w:r>
          </w:p>
        </w:tc>
        <w:tc>
          <w:tcPr>
            <w:tcW w:w="6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53</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48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354</w:t>
            </w:r>
          </w:p>
        </w:tc>
        <w:tc>
          <w:tcPr>
            <w:tcW w:w="6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85"/>
              <w:spacing w:after="0"/>
              <w:rPr>
                <w:sz w:val="20"/>
                <w:szCs w:val="20"/>
                <w:color w:val="auto"/>
              </w:rPr>
            </w:pPr>
            <w:r>
              <w:rPr>
                <w:rFonts w:ascii="Arial" w:cs="Arial" w:eastAsia="Arial" w:hAnsi="Arial"/>
                <w:sz w:val="19"/>
                <w:szCs w:val="19"/>
                <w:color w:val="auto"/>
              </w:rPr>
              <w:t>149</w:t>
            </w:r>
          </w:p>
        </w:tc>
        <w:tc>
          <w:tcPr>
            <w:tcW w:w="0" w:type="dxa"/>
            <w:vAlign w:val="bottom"/>
          </w:tcPr>
          <w:p>
            <w:pPr>
              <w:spacing w:after="0"/>
              <w:rPr>
                <w:sz w:val="1"/>
                <w:szCs w:val="1"/>
                <w:color w:val="auto"/>
              </w:rPr>
            </w:pPr>
          </w:p>
        </w:tc>
      </w:tr>
      <w:tr>
        <w:trPr>
          <w:trHeight w:val="304"/>
        </w:trPr>
        <w:tc>
          <w:tcPr>
            <w:tcW w:w="8560" w:type="dxa"/>
            <w:vAlign w:val="bottom"/>
            <w:gridSpan w:val="2"/>
          </w:tcPr>
          <w:p>
            <w:pPr>
              <w:ind w:left="20"/>
              <w:spacing w:after="0"/>
              <w:rPr>
                <w:sz w:val="20"/>
                <w:szCs w:val="20"/>
                <w:color w:val="auto"/>
              </w:rPr>
            </w:pPr>
            <w:r>
              <w:rPr>
                <w:rFonts w:ascii="Arial" w:cs="Arial" w:eastAsia="Arial" w:hAnsi="Arial"/>
                <w:sz w:val="19"/>
                <w:szCs w:val="19"/>
                <w:color w:val="auto"/>
              </w:rPr>
              <w:t>Asbestos related litigation charges, net of insurance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45"/>
              <w:spacing w:after="0"/>
              <w:rPr>
                <w:sz w:val="20"/>
                <w:szCs w:val="20"/>
                <w:color w:val="auto"/>
              </w:rPr>
            </w:pPr>
            <w:r>
              <w:rPr>
                <w:rFonts w:ascii="Arial" w:cs="Arial" w:eastAsia="Arial" w:hAnsi="Arial"/>
                <w:sz w:val="19"/>
                <w:szCs w:val="19"/>
                <w:color w:val="auto"/>
              </w:rPr>
              <w:t>156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ind w:right="5"/>
              <w:spacing w:after="0"/>
              <w:rPr>
                <w:sz w:val="20"/>
                <w:szCs w:val="20"/>
                <w:color w:val="auto"/>
              </w:rPr>
            </w:pPr>
            <w:r>
              <w:rPr>
                <w:rFonts w:ascii="Arial" w:cs="Arial" w:eastAsia="Arial" w:hAnsi="Arial"/>
                <w:sz w:val="19"/>
                <w:szCs w:val="19"/>
                <w:color w:val="auto"/>
              </w:rPr>
              <w:t>149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70"/>
        </w:trPr>
        <w:tc>
          <w:tcPr>
            <w:tcW w:w="85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Probable and reasonably estimable environmental liabilities</w:t>
            </w:r>
          </w:p>
        </w:tc>
        <w:tc>
          <w:tcPr>
            <w:tcW w:w="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234</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240</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212</w:t>
            </w:r>
          </w:p>
        </w:tc>
        <w:tc>
          <w:tcPr>
            <w:tcW w:w="0" w:type="dxa"/>
            <w:vAlign w:val="bottom"/>
          </w:tcPr>
          <w:p>
            <w:pPr>
              <w:spacing w:after="0"/>
              <w:rPr>
                <w:sz w:val="1"/>
                <w:szCs w:val="1"/>
                <w:color w:val="auto"/>
              </w:rPr>
            </w:pPr>
          </w:p>
        </w:tc>
      </w:tr>
      <w:tr>
        <w:trPr>
          <w:trHeight w:val="270"/>
        </w:trPr>
        <w:tc>
          <w:tcPr>
            <w:tcW w:w="8560" w:type="dxa"/>
            <w:vAlign w:val="bottom"/>
            <w:gridSpan w:val="2"/>
          </w:tcPr>
          <w:p>
            <w:pPr>
              <w:ind w:left="20"/>
              <w:spacing w:after="0"/>
              <w:rPr>
                <w:sz w:val="20"/>
                <w:szCs w:val="20"/>
                <w:color w:val="auto"/>
              </w:rPr>
            </w:pPr>
            <w:r>
              <w:rPr>
                <w:rFonts w:ascii="Arial" w:cs="Arial" w:eastAsia="Arial" w:hAnsi="Arial"/>
                <w:sz w:val="19"/>
                <w:szCs w:val="19"/>
                <w:color w:val="auto"/>
              </w:rPr>
              <w:t>Other</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85"/>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Total net repositioning and other charges</w:t>
            </w:r>
          </w:p>
        </w:tc>
        <w:tc>
          <w:tcPr>
            <w:tcW w:w="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443</w:t>
            </w:r>
          </w:p>
        </w:tc>
        <w:tc>
          <w:tcPr>
            <w:tcW w:w="20" w:type="dxa"/>
            <w:vAlign w:val="bottom"/>
            <w:shd w:val="clear" w:color="auto" w:fill="E5FFFF"/>
          </w:tcPr>
          <w:p>
            <w:pPr>
              <w:spacing w:after="0"/>
              <w:rPr>
                <w:sz w:val="23"/>
                <w:szCs w:val="23"/>
                <w:color w:val="auto"/>
              </w:rPr>
            </w:pPr>
          </w:p>
        </w:tc>
        <w:tc>
          <w:tcPr>
            <w:tcW w:w="4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743</w:t>
            </w:r>
          </w:p>
        </w:tc>
        <w:tc>
          <w:tcPr>
            <w:tcW w:w="54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85"/>
              <w:spacing w:after="0"/>
              <w:rPr>
                <w:sz w:val="20"/>
                <w:szCs w:val="20"/>
                <w:color w:val="auto"/>
              </w:rPr>
            </w:pPr>
            <w:r>
              <w:rPr>
                <w:rFonts w:ascii="Arial" w:cs="Arial" w:eastAsia="Arial" w:hAnsi="Arial"/>
                <w:sz w:val="19"/>
                <w:szCs w:val="19"/>
                <w:color w:val="auto"/>
              </w:rPr>
              <w:t>598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The following table summarizes the pretax distribution of total net repositioning and other charges by income statement classification: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268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8740" w:type="dxa"/>
            <w:vAlign w:val="bottom"/>
          </w:tcPr>
          <w:p>
            <w:pPr>
              <w:spacing w:after="0"/>
              <w:rPr>
                <w:sz w:val="17"/>
                <w:szCs w:val="17"/>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5"/>
              </w:rPr>
              <w:t>2010</w:t>
            </w:r>
          </w:p>
        </w:tc>
      </w:tr>
      <w:tr>
        <w:trPr>
          <w:trHeight w:val="264"/>
        </w:trPr>
        <w:tc>
          <w:tcPr>
            <w:tcW w:w="8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Cost of products and services sold</w:t>
            </w:r>
          </w:p>
        </w:tc>
        <w:tc>
          <w:tcPr>
            <w:tcW w:w="66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$ 428</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$ 646</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558</w:t>
            </w:r>
          </w:p>
        </w:tc>
      </w:tr>
      <w:tr>
        <w:trPr>
          <w:trHeight w:val="270"/>
        </w:trPr>
        <w:tc>
          <w:tcPr>
            <w:tcW w:w="8740" w:type="dxa"/>
            <w:vAlign w:val="bottom"/>
          </w:tcPr>
          <w:p>
            <w:pPr>
              <w:ind w:left="20"/>
              <w:spacing w:after="0"/>
              <w:rPr>
                <w:sz w:val="20"/>
                <w:szCs w:val="20"/>
                <w:color w:val="auto"/>
              </w:rPr>
            </w:pPr>
            <w:r>
              <w:rPr>
                <w:rFonts w:ascii="Arial" w:cs="Arial" w:eastAsia="Arial" w:hAnsi="Arial"/>
                <w:sz w:val="19"/>
                <w:szCs w:val="19"/>
                <w:color w:val="auto"/>
              </w:rPr>
              <w:t>Selling, general and administrative expenses</w:t>
            </w:r>
          </w:p>
        </w:tc>
        <w:tc>
          <w:tcPr>
            <w:tcW w:w="660" w:type="dxa"/>
            <w:vAlign w:val="bottom"/>
          </w:tcPr>
          <w:p>
            <w:pPr>
              <w:jc w:val="right"/>
              <w:ind w:right="10"/>
              <w:spacing w:after="0"/>
              <w:rPr>
                <w:sz w:val="20"/>
                <w:szCs w:val="20"/>
                <w:color w:val="auto"/>
              </w:rPr>
            </w:pPr>
            <w:r>
              <w:rPr>
                <w:rFonts w:ascii="Arial" w:cs="Arial" w:eastAsia="Arial" w:hAnsi="Arial"/>
                <w:sz w:val="19"/>
                <w:szCs w:val="19"/>
                <w:color w:val="auto"/>
              </w:rPr>
              <w:t>15</w:t>
            </w:r>
          </w:p>
        </w:tc>
        <w:tc>
          <w:tcPr>
            <w:tcW w:w="980" w:type="dxa"/>
            <w:vAlign w:val="bottom"/>
            <w:gridSpan w:val="2"/>
          </w:tcPr>
          <w:p>
            <w:pPr>
              <w:jc w:val="right"/>
              <w:ind w:right="21"/>
              <w:spacing w:after="0"/>
              <w:rPr>
                <w:sz w:val="20"/>
                <w:szCs w:val="20"/>
                <w:color w:val="auto"/>
              </w:rPr>
            </w:pPr>
            <w:r>
              <w:rPr>
                <w:rFonts w:ascii="Arial" w:cs="Arial" w:eastAsia="Arial" w:hAnsi="Arial"/>
                <w:sz w:val="19"/>
                <w:szCs w:val="19"/>
                <w:color w:val="auto"/>
              </w:rPr>
              <w:t>97</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9"/>
                <w:szCs w:val="19"/>
                <w:color w:val="auto"/>
              </w:rPr>
              <w:t>40</w:t>
            </w:r>
          </w:p>
        </w:tc>
      </w:tr>
      <w:tr>
        <w:trPr>
          <w:trHeight w:val="34"/>
        </w:trPr>
        <w:tc>
          <w:tcPr>
            <w:tcW w:w="87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270"/>
        </w:trPr>
        <w:tc>
          <w:tcPr>
            <w:tcW w:w="874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$ 443</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$ 743</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598</w:t>
            </w:r>
          </w:p>
        </w:tc>
      </w:tr>
      <w:tr>
        <w:trPr>
          <w:trHeight w:val="20"/>
        </w:trPr>
        <w:tc>
          <w:tcPr>
            <w:tcW w:w="8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impact of total net repositioning and other charges by segment: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jc w:val="right"/>
              <w:ind w:right="266"/>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5"/>
              </w:rPr>
              <w:t>2012</w:t>
            </w:r>
          </w:p>
        </w:tc>
        <w:tc>
          <w:tcPr>
            <w:tcW w:w="32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264"/>
        </w:trPr>
        <w:tc>
          <w:tcPr>
            <w:tcW w:w="4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4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29</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9"/>
                <w:szCs w:val="19"/>
                <w:color w:val="auto"/>
              </w:rPr>
              <w:t>18</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3"/>
              <w:spacing w:after="0"/>
              <w:rPr>
                <w:sz w:val="20"/>
                <w:szCs w:val="20"/>
                <w:color w:val="auto"/>
              </w:rPr>
            </w:pPr>
            <w:r>
              <w:rPr>
                <w:rFonts w:ascii="Arial" w:cs="Arial" w:eastAsia="Arial" w:hAnsi="Arial"/>
                <w:sz w:val="19"/>
                <w:szCs w:val="19"/>
                <w:color w:val="auto"/>
              </w:rPr>
              <w:t>191</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79</w:t>
            </w:r>
          </w:p>
        </w:tc>
        <w:tc>
          <w:tcPr>
            <w:tcW w:w="0" w:type="dxa"/>
            <w:vAlign w:val="bottom"/>
          </w:tcPr>
          <w:p>
            <w:pPr>
              <w:spacing w:after="0"/>
              <w:rPr>
                <w:sz w:val="1"/>
                <w:szCs w:val="1"/>
                <w:color w:val="auto"/>
              </w:rPr>
            </w:pPr>
          </w:p>
        </w:tc>
      </w:tr>
      <w:tr>
        <w:trPr>
          <w:trHeight w:val="270"/>
        </w:trPr>
        <w:tc>
          <w:tcPr>
            <w:tcW w:w="4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Performance Materials and Technologies</w:t>
            </w:r>
          </w:p>
        </w:tc>
        <w:tc>
          <w:tcPr>
            <w:tcW w:w="41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12</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41</w:t>
            </w:r>
          </w:p>
        </w:tc>
        <w:tc>
          <w:tcPr>
            <w:tcW w:w="3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9"/>
                <w:szCs w:val="19"/>
                <w:color w:val="auto"/>
              </w:rPr>
              <w:t>197</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3"/>
              <w:spacing w:after="0"/>
              <w:rPr>
                <w:sz w:val="20"/>
                <w:szCs w:val="20"/>
                <w:color w:val="auto"/>
              </w:rPr>
            </w:pPr>
            <w:r>
              <w:rPr>
                <w:rFonts w:ascii="Arial" w:cs="Arial" w:eastAsia="Arial" w:hAnsi="Arial"/>
                <w:sz w:val="19"/>
                <w:szCs w:val="19"/>
                <w:color w:val="auto"/>
              </w:rPr>
              <w:t>228</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178</w:t>
            </w:r>
          </w:p>
        </w:tc>
        <w:tc>
          <w:tcPr>
            <w:tcW w:w="0" w:type="dxa"/>
            <w:vAlign w:val="bottom"/>
          </w:tcPr>
          <w:p>
            <w:pPr>
              <w:spacing w:after="0"/>
              <w:rPr>
                <w:sz w:val="1"/>
                <w:szCs w:val="1"/>
                <w:color w:val="auto"/>
              </w:rPr>
            </w:pPr>
          </w:p>
        </w:tc>
      </w:tr>
      <w:tr>
        <w:trPr>
          <w:trHeight w:val="270"/>
        </w:trPr>
        <w:tc>
          <w:tcPr>
            <w:tcW w:w="4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Corporate</w:t>
            </w:r>
          </w:p>
        </w:tc>
        <w:tc>
          <w:tcPr>
            <w:tcW w:w="41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221</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254</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291</w:t>
            </w: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8"/>
              <w:spacing w:after="0"/>
              <w:rPr>
                <w:sz w:val="20"/>
                <w:szCs w:val="20"/>
                <w:color w:val="auto"/>
              </w:rPr>
            </w:pPr>
            <w:r>
              <w:rPr>
                <w:rFonts w:ascii="Arial" w:cs="Arial" w:eastAsia="Arial" w:hAnsi="Arial"/>
                <w:sz w:val="19"/>
                <w:szCs w:val="19"/>
                <w:color w:val="auto"/>
              </w:rPr>
              <w:t>443</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ind w:right="3"/>
              <w:spacing w:after="0"/>
              <w:rPr>
                <w:sz w:val="20"/>
                <w:szCs w:val="20"/>
                <w:color w:val="auto"/>
              </w:rPr>
            </w:pPr>
            <w:r>
              <w:rPr>
                <w:rFonts w:ascii="Arial" w:cs="Arial" w:eastAsia="Arial" w:hAnsi="Arial"/>
                <w:sz w:val="19"/>
                <w:szCs w:val="19"/>
                <w:color w:val="auto"/>
              </w:rPr>
              <w:t>743</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598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20" w:type="dxa"/>
            <w:vAlign w:val="bottom"/>
            <w:vMerge w:val="restart"/>
          </w:tcPr>
          <w:p>
            <w:pPr>
              <w:jc w:val="right"/>
              <w:ind w:right="2783"/>
              <w:spacing w:after="0"/>
              <w:rPr>
                <w:sz w:val="20"/>
                <w:szCs w:val="20"/>
                <w:color w:val="auto"/>
              </w:rPr>
            </w:pPr>
            <w:r>
              <w:rPr>
                <w:rFonts w:ascii="Arial" w:cs="Arial" w:eastAsia="Arial" w:hAnsi="Arial"/>
                <w:sz w:val="19"/>
                <w:szCs w:val="19"/>
                <w:color w:val="auto"/>
              </w:rPr>
              <w:t>71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8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40" w:firstLine="357"/>
        <w:spacing w:after="0" w:line="238" w:lineRule="auto"/>
        <w:rPr>
          <w:sz w:val="20"/>
          <w:szCs w:val="20"/>
          <w:color w:val="auto"/>
        </w:rPr>
      </w:pPr>
      <w:r>
        <w:rPr>
          <w:rFonts w:ascii="Arial" w:cs="Arial" w:eastAsia="Arial" w:hAnsi="Arial"/>
          <w:sz w:val="19"/>
          <w:szCs w:val="19"/>
          <w:color w:val="auto"/>
        </w:rPr>
        <w:t>In 2012, we recognized repositioning charges totaling $119 million including severance costs of $91 million related to workforce reductions of 2,204 manufacturing and administrative positions across all of our segments. The workforce reductions were primarily related to the planned shutdown of a manufacturing facility in our Transportation Systems segment, the exit from a product line in our Performance Materials and Technologies segment, and cost savings actions taken in connection with our productivity and ongoing functional transformation initiatives. The repositioning charge also included asset impairments of $12 million principally related to manufacturing plant and equipment associated with the exit of a product line in our Performance Materials and Technologies segment. The repositioning charge also included exit costs of $16 million principally related to closure obligations associated with the planned shutdown of a manufacturing facility in our Transportation Systems segment and exit from a product line in our Performance Materials and Technologies segment. Also, $66 million of previously established accruals primarily for severance at our Automation and Control Solutions, Aerospace and Performance Materials and Technologies segments were returned to income in 2012 due primarily to fewer employee severance actions caused by higher attrition than originally planned associated with prior severance programs and changes in the scope of previously announced repositioning actions.</w:t>
      </w:r>
    </w:p>
    <w:p>
      <w:pPr>
        <w:spacing w:after="0" w:line="101"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In 2011, we recognized repositioning charges totaling $380 million including severance costs of $246 million related to workforce reductions of 3,188 manufacturing and administrative positions across all of our segments. The workforce reductions were primarily related to the planned shutdown of a manufacturing facility in our Transportation Systems segment, cost savings actions taken in connection with our ongoing functional transformation and productivity initiatives, factory transitions in connection with acquisition-related synergies in our Automation and Control Solutions and Aerospace segments, the exit from and/or rationalization of certain product lines and markets in our Performance Materials and Technologies and Automation and Control Solutions segments, the consolidation of repair facilities in our Aerospace segment, and factory consolidations and/or rationalizations and organizational realignments of businesses in our Automation and Control Solutions segment. The repositioning charges included asset impairments of $86 million principally related to the write-off of certain intangible assets in our Automation and Control Solutions segment due to a change in branding strategy and manufacturing plant and equipment associated with the planned shutdown of a manufacturing facility and the exit of a product line and a factory transition as discussed above. The repositioning charges also included exit costs of $48 million principally for costs to terminate contracts related to the exit of a market and product line and a factory transition as discussed above. Exit costs also included closure obligations associated with the planned shutdown of a manufacturing facility and exit of a product line also as discussed above. Also, $26 million of previously established accruals, primarily for severance at our Aerospace and Automation and Control Solutions segments, were returned to income in 2011 due principally to fewer employee separations than originally planned associated with prior severance programs.</w:t>
      </w:r>
    </w:p>
    <w:p>
      <w:pPr>
        <w:spacing w:after="0" w:line="99"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2010, we recognized repositioning charges totaling $179 million including severance costs of $144 million related to workforce reductions of 2,781 manufacturing and administrative positions primarily in our Automation and Control Solutions, Aerospace and Transportation Systems segments. The workforce reductions were primarily related to the planned shutdown of certain manufacturing facilities in our Automation and Control Solutions and Transportation Systems segments, cost savings actions taken in connection with our ongoing functional transformation and productivity initiatives, factory transitions in our Aerospace, Automation and Control Solutions and Performance Materials and Technologies segments to more cost-effective locations, achieving acquisition-related synergies in our Automation and Control Solutions segment, and the exit and/or rationalization of certain product lines in our Performance Materials and Technologies segment. The repositioning charge also included asset impairments of $21 million principally related to manufacturing plant and equipment associated with the exit and/or rationalization of certain product lines and in facilities scheduled to close. Also, $30 million of previously established accruals, primarily for severance at our Automation and Control Solutions,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720"/>
        <w:spacing w:after="0" w:line="253" w:lineRule="auto"/>
        <w:rPr>
          <w:sz w:val="20"/>
          <w:szCs w:val="20"/>
          <w:color w:val="auto"/>
        </w:rPr>
      </w:pPr>
      <w:r>
        <w:rPr>
          <w:rFonts w:ascii="Arial" w:cs="Arial" w:eastAsia="Arial" w:hAnsi="Arial"/>
          <w:sz w:val="19"/>
          <w:szCs w:val="19"/>
          <w:color w:val="auto"/>
        </w:rPr>
        <w:t>Transportation Systems and Aerospace segments, were returned to income in 2010 due to fewer employee separations than originally planned associated with prior severance programs.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status of our total repositioning reserves:</w:t>
      </w:r>
    </w:p>
    <w:p>
      <w:pPr>
        <w:spacing w:after="0" w:line="4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Severance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44"/>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104"/>
              <w:spacing w:after="0"/>
              <w:rPr>
                <w:sz w:val="20"/>
                <w:szCs w:val="20"/>
                <w:color w:val="auto"/>
              </w:rPr>
            </w:pPr>
            <w:r>
              <w:rPr>
                <w:rFonts w:ascii="Arial" w:cs="Arial" w:eastAsia="Arial" w:hAnsi="Arial"/>
                <w:sz w:val="16"/>
                <w:szCs w:val="16"/>
                <w:b w:val="1"/>
                <w:bCs w:val="1"/>
                <w:color w:val="auto"/>
                <w:w w:val="95"/>
              </w:rPr>
              <w:t>Exit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4"/>
        </w:trPr>
        <w:tc>
          <w:tcPr>
            <w:tcW w:w="5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Costs</w:t>
            </w:r>
          </w:p>
        </w:tc>
        <w:tc>
          <w:tcPr>
            <w:tcW w:w="280" w:type="dxa"/>
            <w:vAlign w:val="bottom"/>
          </w:tcPr>
          <w:p>
            <w:pPr>
              <w:spacing w:after="0"/>
              <w:rPr>
                <w:sz w:val="17"/>
                <w:szCs w:val="17"/>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Impairments</w:t>
            </w:r>
          </w:p>
        </w:tc>
        <w:tc>
          <w:tcPr>
            <w:tcW w:w="300" w:type="dxa"/>
            <w:vAlign w:val="bottom"/>
          </w:tcPr>
          <w:p>
            <w:pPr>
              <w:spacing w:after="0"/>
              <w:rPr>
                <w:sz w:val="17"/>
                <w:szCs w:val="17"/>
                <w:color w:val="auto"/>
              </w:rPr>
            </w:pPr>
          </w:p>
        </w:tc>
        <w:tc>
          <w:tcPr>
            <w:tcW w:w="6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99"/>
              </w:rPr>
              <w:t>Total</w:t>
            </w:r>
          </w:p>
        </w:tc>
      </w:tr>
      <w:tr>
        <w:trPr>
          <w:trHeight w:val="264"/>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2009</w:t>
            </w:r>
          </w:p>
        </w:tc>
        <w:tc>
          <w:tcPr>
            <w:tcW w:w="200" w:type="dxa"/>
            <w:vAlign w:val="bottom"/>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294</w:t>
            </w:r>
          </w:p>
        </w:tc>
        <w:tc>
          <w:tcPr>
            <w:tcW w:w="54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331</w:t>
            </w:r>
          </w:p>
        </w:tc>
      </w:tr>
      <w:tr>
        <w:trPr>
          <w:trHeight w:val="304"/>
        </w:trPr>
        <w:tc>
          <w:tcPr>
            <w:tcW w:w="5980" w:type="dxa"/>
            <w:vAlign w:val="bottom"/>
          </w:tcPr>
          <w:p>
            <w:pPr>
              <w:ind w:left="200"/>
              <w:spacing w:after="0"/>
              <w:rPr>
                <w:sz w:val="20"/>
                <w:szCs w:val="20"/>
                <w:color w:val="auto"/>
              </w:rPr>
            </w:pPr>
            <w:r>
              <w:rPr>
                <w:rFonts w:ascii="Arial" w:cs="Arial" w:eastAsia="Arial" w:hAnsi="Arial"/>
                <w:sz w:val="19"/>
                <w:szCs w:val="19"/>
                <w:color w:val="auto"/>
              </w:rPr>
              <w:t>2010 charges</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64"/>
              <w:spacing w:after="0"/>
              <w:rPr>
                <w:sz w:val="20"/>
                <w:szCs w:val="20"/>
                <w:color w:val="auto"/>
              </w:rPr>
            </w:pPr>
            <w:r>
              <w:rPr>
                <w:rFonts w:ascii="Arial" w:cs="Arial" w:eastAsia="Arial" w:hAnsi="Arial"/>
                <w:sz w:val="19"/>
                <w:szCs w:val="19"/>
                <w:color w:val="auto"/>
              </w:rPr>
              <w:t>144</w:t>
            </w: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64"/>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44"/>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64"/>
              <w:spacing w:after="0"/>
              <w:rPr>
                <w:sz w:val="20"/>
                <w:szCs w:val="20"/>
                <w:color w:val="auto"/>
              </w:rPr>
            </w:pPr>
            <w:r>
              <w:rPr>
                <w:rFonts w:ascii="Arial" w:cs="Arial" w:eastAsia="Arial" w:hAnsi="Arial"/>
                <w:sz w:val="19"/>
                <w:szCs w:val="19"/>
                <w:color w:val="auto"/>
              </w:rPr>
              <w:t>179</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2010 usage—cash</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(130 )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2010 usage—noncash</w:t>
            </w:r>
          </w:p>
        </w:tc>
        <w:tc>
          <w:tcPr>
            <w:tcW w:w="20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4"/>
              <w:spacing w:after="0"/>
              <w:rPr>
                <w:sz w:val="20"/>
                <w:szCs w:val="20"/>
                <w:color w:val="auto"/>
              </w:rPr>
            </w:pPr>
            <w:r>
              <w:rPr>
                <w:rFonts w:ascii="Arial" w:cs="Arial" w:eastAsia="Arial" w:hAnsi="Arial"/>
                <w:sz w:val="19"/>
                <w:szCs w:val="19"/>
                <w:color w:val="auto"/>
              </w:rPr>
              <w:t>(21 )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(21 )</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Adjustments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Foreign currency translation</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(8 )</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(8 )</w:t>
            </w:r>
          </w:p>
        </w:tc>
      </w:tr>
      <w:tr>
        <w:trPr>
          <w:trHeight w:val="34"/>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2010</w:t>
            </w: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270</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304</w:t>
            </w:r>
          </w:p>
        </w:tc>
      </w:tr>
      <w:tr>
        <w:trPr>
          <w:trHeight w:val="304"/>
        </w:trPr>
        <w:tc>
          <w:tcPr>
            <w:tcW w:w="5980" w:type="dxa"/>
            <w:vAlign w:val="bottom"/>
          </w:tcPr>
          <w:p>
            <w:pPr>
              <w:ind w:left="200"/>
              <w:spacing w:after="0"/>
              <w:rPr>
                <w:sz w:val="20"/>
                <w:szCs w:val="20"/>
                <w:color w:val="auto"/>
              </w:rPr>
            </w:pPr>
            <w:r>
              <w:rPr>
                <w:rFonts w:ascii="Arial" w:cs="Arial" w:eastAsia="Arial" w:hAnsi="Arial"/>
                <w:sz w:val="19"/>
                <w:szCs w:val="19"/>
                <w:color w:val="auto"/>
              </w:rPr>
              <w:t>2011 charges</w:t>
            </w:r>
          </w:p>
        </w:tc>
        <w:tc>
          <w:tcPr>
            <w:tcW w:w="20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246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86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44"/>
              <w:spacing w:after="0"/>
              <w:rPr>
                <w:sz w:val="20"/>
                <w:szCs w:val="20"/>
                <w:color w:val="auto"/>
              </w:rPr>
            </w:pPr>
            <w:r>
              <w:rPr>
                <w:rFonts w:ascii="Arial" w:cs="Arial" w:eastAsia="Arial" w:hAnsi="Arial"/>
                <w:sz w:val="19"/>
                <w:szCs w:val="19"/>
                <w:color w:val="auto"/>
              </w:rPr>
              <w:t>48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9"/>
                <w:szCs w:val="19"/>
                <w:color w:val="auto"/>
              </w:rPr>
              <w:t>380</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2011 usage—cash</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2011 usage—noncash</w:t>
            </w:r>
          </w:p>
        </w:tc>
        <w:tc>
          <w:tcPr>
            <w:tcW w:w="20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4"/>
              <w:spacing w:after="0"/>
              <w:rPr>
                <w:sz w:val="20"/>
                <w:szCs w:val="20"/>
                <w:color w:val="auto"/>
              </w:rPr>
            </w:pPr>
            <w:r>
              <w:rPr>
                <w:rFonts w:ascii="Arial" w:cs="Arial" w:eastAsia="Arial" w:hAnsi="Arial"/>
                <w:sz w:val="19"/>
                <w:szCs w:val="19"/>
                <w:color w:val="auto"/>
              </w:rPr>
              <w:t>(86 )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(86 )</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Adjustments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Foreign currency translation</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(1 )</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(1 )</w:t>
            </w:r>
          </w:p>
        </w:tc>
      </w:tr>
      <w:tr>
        <w:trPr>
          <w:trHeight w:val="34"/>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2011</w:t>
            </w:r>
          </w:p>
        </w:tc>
        <w:tc>
          <w:tcPr>
            <w:tcW w:w="20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353</w:t>
            </w:r>
          </w:p>
        </w:tc>
        <w:tc>
          <w:tcPr>
            <w:tcW w:w="280" w:type="dxa"/>
            <w:vAlign w:val="bottom"/>
            <w:shd w:val="clear" w:color="auto" w:fill="E5FFFF"/>
          </w:tcPr>
          <w:p>
            <w:pPr>
              <w:spacing w:after="0"/>
              <w:rPr>
                <w:sz w:val="23"/>
                <w:szCs w:val="23"/>
                <w:color w:val="auto"/>
              </w:rPr>
            </w:pPr>
          </w:p>
        </w:tc>
        <w:tc>
          <w:tcPr>
            <w:tcW w:w="26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59</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412</w:t>
            </w:r>
          </w:p>
        </w:tc>
      </w:tr>
      <w:tr>
        <w:trPr>
          <w:trHeight w:val="304"/>
        </w:trPr>
        <w:tc>
          <w:tcPr>
            <w:tcW w:w="5980" w:type="dxa"/>
            <w:vAlign w:val="bottom"/>
          </w:tcPr>
          <w:p>
            <w:pPr>
              <w:ind w:left="200"/>
              <w:spacing w:after="0"/>
              <w:rPr>
                <w:sz w:val="20"/>
                <w:szCs w:val="20"/>
                <w:color w:val="auto"/>
              </w:rPr>
            </w:pPr>
            <w:r>
              <w:rPr>
                <w:rFonts w:ascii="Arial" w:cs="Arial" w:eastAsia="Arial" w:hAnsi="Arial"/>
                <w:sz w:val="19"/>
                <w:szCs w:val="19"/>
                <w:color w:val="auto"/>
              </w:rPr>
              <w:t>2012 charges</w:t>
            </w:r>
          </w:p>
        </w:tc>
        <w:tc>
          <w:tcPr>
            <w:tcW w:w="20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91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64"/>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44"/>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9"/>
                <w:szCs w:val="19"/>
                <w:color w:val="auto"/>
              </w:rPr>
              <w:t>119</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2012 usage—cash</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2012 usage—noncash</w:t>
            </w:r>
          </w:p>
        </w:tc>
        <w:tc>
          <w:tcPr>
            <w:tcW w:w="200" w:type="dxa"/>
            <w:vAlign w:val="bottom"/>
          </w:tcPr>
          <w:p>
            <w:pPr>
              <w:spacing w:after="0"/>
              <w:rPr>
                <w:sz w:val="23"/>
                <w:szCs w:val="23"/>
                <w:color w:val="auto"/>
              </w:rPr>
            </w:pPr>
          </w:p>
        </w:tc>
        <w:tc>
          <w:tcPr>
            <w:tcW w:w="70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84"/>
              <w:spacing w:after="0"/>
              <w:rPr>
                <w:sz w:val="20"/>
                <w:szCs w:val="20"/>
                <w:color w:val="auto"/>
              </w:rPr>
            </w:pPr>
            <w:r>
              <w:rPr>
                <w:rFonts w:ascii="Arial" w:cs="Arial" w:eastAsia="Arial" w:hAnsi="Arial"/>
                <w:sz w:val="19"/>
                <w:szCs w:val="19"/>
                <w:color w:val="auto"/>
              </w:rPr>
              <w:t>(12 )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(12 )</w:t>
            </w:r>
          </w:p>
        </w:tc>
      </w:tr>
      <w:tr>
        <w:trPr>
          <w:trHeight w:val="270"/>
        </w:trPr>
        <w:tc>
          <w:tcPr>
            <w:tcW w:w="59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Adjustments</w:t>
            </w:r>
          </w:p>
        </w:tc>
        <w:tc>
          <w:tcPr>
            <w:tcW w:w="200" w:type="dxa"/>
            <w:vAlign w:val="bottom"/>
            <w:shd w:val="clear" w:color="auto" w:fill="E5FFFF"/>
          </w:tcPr>
          <w:p>
            <w:pPr>
              <w:spacing w:after="0"/>
              <w:rPr>
                <w:sz w:val="23"/>
                <w:szCs w:val="23"/>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(61 )</w:t>
            </w:r>
          </w:p>
        </w:tc>
        <w:tc>
          <w:tcPr>
            <w:tcW w:w="28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(66 )</w:t>
            </w:r>
          </w:p>
        </w:tc>
      </w:tr>
      <w:tr>
        <w:trPr>
          <w:trHeight w:val="270"/>
        </w:trPr>
        <w:tc>
          <w:tcPr>
            <w:tcW w:w="5980" w:type="dxa"/>
            <w:vAlign w:val="bottom"/>
          </w:tcPr>
          <w:p>
            <w:pPr>
              <w:ind w:left="200"/>
              <w:spacing w:after="0"/>
              <w:rPr>
                <w:sz w:val="20"/>
                <w:szCs w:val="20"/>
                <w:color w:val="auto"/>
              </w:rPr>
            </w:pPr>
            <w:r>
              <w:rPr>
                <w:rFonts w:ascii="Arial" w:cs="Arial" w:eastAsia="Arial" w:hAnsi="Arial"/>
                <w:sz w:val="19"/>
                <w:szCs w:val="19"/>
                <w:color w:val="auto"/>
              </w:rPr>
              <w:t>Foreign currency translation</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6</w:t>
            </w:r>
          </w:p>
        </w:tc>
      </w:tr>
      <w:tr>
        <w:trPr>
          <w:trHeight w:val="34"/>
        </w:trPr>
        <w:tc>
          <w:tcPr>
            <w:tcW w:w="5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9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2012</w:t>
            </w:r>
          </w:p>
        </w:tc>
        <w:tc>
          <w:tcPr>
            <w:tcW w:w="200" w:type="dxa"/>
            <w:vAlign w:val="bottom"/>
            <w:shd w:val="clear" w:color="auto" w:fill="E5FFFF"/>
          </w:tcPr>
          <w:p>
            <w:pPr>
              <w:ind w:lef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276</w:t>
            </w:r>
          </w:p>
        </w:tc>
        <w:tc>
          <w:tcPr>
            <w:tcW w:w="54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164"/>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323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Certain repositioning projects in our Aerospace, Automation and Control Solutions and Transportation Systems segments included exit or disposal activities, the costs related to which will be recognized in future periods when the actual liability is incurred. The nature of these exit or disposal costs includes asset set-up and moving, product recertification and requalification, and employee retention, training and travel. The following tables summarize by segment, expected, incurred and remaining exit and disposal costs related to 2011 and 2010 repositioning actions which we were not able to recognize at the time the actions were initiated. The exit and disposal costs related to the repositioning actions in 2012 which we were not able to recognize at the time the actions were initiated were not significant.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Automation</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00"/>
              <w:spacing w:after="0" w:line="176" w:lineRule="exact"/>
              <w:rPr>
                <w:sz w:val="20"/>
                <w:szCs w:val="20"/>
                <w:color w:val="auto"/>
              </w:rPr>
            </w:pPr>
            <w:r>
              <w:rPr>
                <w:rFonts w:ascii="Arial" w:cs="Arial" w:eastAsia="Arial" w:hAnsi="Arial"/>
                <w:sz w:val="16"/>
                <w:szCs w:val="16"/>
                <w:b w:val="1"/>
                <w:bCs w:val="1"/>
                <w:color w:val="auto"/>
              </w:rPr>
              <w:t>and Control</w:t>
            </w:r>
          </w:p>
        </w:tc>
        <w:tc>
          <w:tcPr>
            <w:tcW w:w="300" w:type="dxa"/>
            <w:vAlign w:val="bottom"/>
          </w:tcPr>
          <w:p>
            <w:pPr>
              <w:spacing w:after="0"/>
              <w:rPr>
                <w:sz w:val="15"/>
                <w:szCs w:val="15"/>
                <w:color w:val="auto"/>
              </w:rPr>
            </w:pPr>
          </w:p>
        </w:tc>
        <w:tc>
          <w:tcPr>
            <w:tcW w:w="1400" w:type="dxa"/>
            <w:vAlign w:val="bottom"/>
            <w:gridSpan w:val="2"/>
          </w:tcPr>
          <w:p>
            <w:pPr>
              <w:jc w:val="right"/>
              <w:ind w:right="47"/>
              <w:spacing w:after="0" w:line="176" w:lineRule="exact"/>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2011 Repositioning Actions</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w w:val="95"/>
              </w:rPr>
              <w:t>Solutions</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Systems</w:t>
            </w:r>
          </w:p>
        </w:tc>
        <w:tc>
          <w:tcPr>
            <w:tcW w:w="30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5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Expected exit and disposal costs</w:t>
            </w:r>
          </w:p>
        </w:tc>
        <w:tc>
          <w:tcPr>
            <w:tcW w:w="740" w:type="dxa"/>
            <w:vAlign w:val="bottom"/>
            <w:gridSpan w:val="3"/>
            <w:shd w:val="clear" w:color="auto" w:fill="E5FFFF"/>
          </w:tcPr>
          <w:p>
            <w:pPr>
              <w:ind w:left="48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15</w:t>
            </w:r>
          </w:p>
        </w:tc>
        <w:tc>
          <w:tcPr>
            <w:tcW w:w="4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ind w:right="167"/>
              <w:spacing w:after="0"/>
              <w:rPr>
                <w:sz w:val="20"/>
                <w:szCs w:val="20"/>
                <w:color w:val="auto"/>
              </w:rPr>
            </w:pPr>
            <w:r>
              <w:rPr>
                <w:rFonts w:ascii="Arial" w:cs="Arial" w:eastAsia="Arial" w:hAnsi="Arial"/>
                <w:sz w:val="19"/>
                <w:szCs w:val="19"/>
                <w:color w:val="auto"/>
              </w:rPr>
              <w:t>15</w:t>
            </w:r>
          </w:p>
        </w:tc>
        <w:tc>
          <w:tcPr>
            <w:tcW w:w="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7</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37</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9"/>
                <w:szCs w:val="19"/>
                <w:color w:val="auto"/>
              </w:rPr>
              <w:t>Costs incurred during:</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50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Year ended December 31, 2011</w:t>
            </w:r>
          </w:p>
        </w:tc>
        <w:tc>
          <w:tcPr>
            <w:tcW w:w="1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16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5020" w:type="dxa"/>
            <w:vAlign w:val="bottom"/>
          </w:tcPr>
          <w:p>
            <w:pPr>
              <w:ind w:left="200"/>
              <w:spacing w:after="0"/>
              <w:rPr>
                <w:sz w:val="20"/>
                <w:szCs w:val="20"/>
                <w:color w:val="auto"/>
              </w:rPr>
            </w:pPr>
            <w:r>
              <w:rPr>
                <w:rFonts w:ascii="Arial" w:cs="Arial" w:eastAsia="Arial" w:hAnsi="Arial"/>
                <w:sz w:val="19"/>
                <w:szCs w:val="19"/>
                <w:color w:val="auto"/>
              </w:rPr>
              <w:t>Year ended December 31, 2012</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(2 )</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7"/>
              <w:spacing w:after="0"/>
              <w:rPr>
                <w:sz w:val="20"/>
                <w:szCs w:val="20"/>
                <w:color w:val="auto"/>
              </w:rPr>
            </w:pPr>
            <w:r>
              <w:rPr>
                <w:rFonts w:ascii="Arial" w:cs="Arial" w:eastAsia="Arial" w:hAnsi="Arial"/>
                <w:sz w:val="19"/>
                <w:szCs w:val="19"/>
                <w:color w:val="auto"/>
              </w:rPr>
              <w:t>(3 )</w:t>
            </w:r>
          </w:p>
        </w:tc>
        <w:tc>
          <w:tcPr>
            <w:tcW w:w="3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7"/>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(6 )</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50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Remaining exit and disposal costs at December 31, 2012</w:t>
            </w:r>
          </w:p>
        </w:tc>
        <w:tc>
          <w:tcPr>
            <w:tcW w:w="740" w:type="dxa"/>
            <w:vAlign w:val="bottom"/>
            <w:gridSpan w:val="3"/>
            <w:shd w:val="clear" w:color="auto" w:fill="E5FFFF"/>
          </w:tcPr>
          <w:p>
            <w:pPr>
              <w:ind w:left="48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12</w:t>
            </w:r>
          </w:p>
        </w:tc>
        <w:tc>
          <w:tcPr>
            <w:tcW w:w="4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ind w:right="167"/>
              <w:spacing w:after="0"/>
              <w:rPr>
                <w:sz w:val="20"/>
                <w:szCs w:val="20"/>
                <w:color w:val="auto"/>
              </w:rPr>
            </w:pPr>
            <w:r>
              <w:rPr>
                <w:rFonts w:ascii="Arial" w:cs="Arial" w:eastAsia="Arial" w:hAnsi="Arial"/>
                <w:sz w:val="19"/>
                <w:szCs w:val="19"/>
                <w:color w:val="auto"/>
              </w:rPr>
              <w:t>12</w:t>
            </w:r>
          </w:p>
        </w:tc>
        <w:tc>
          <w:tcPr>
            <w:tcW w:w="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ind w:right="247"/>
              <w:spacing w:after="0"/>
              <w:rPr>
                <w:sz w:val="20"/>
                <w:szCs w:val="20"/>
                <w:color w:val="auto"/>
              </w:rPr>
            </w:pPr>
            <w:r>
              <w:rPr>
                <w:rFonts w:ascii="Arial" w:cs="Arial" w:eastAsia="Arial" w:hAnsi="Arial"/>
                <w:sz w:val="19"/>
                <w:szCs w:val="19"/>
                <w:color w:val="auto"/>
              </w:rPr>
              <w:t>6</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30</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9"/>
                <w:szCs w:val="19"/>
                <w:color w:val="auto"/>
              </w:rPr>
              <w:t>73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Automation</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6"/>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00"/>
              <w:spacing w:after="0" w:line="176" w:lineRule="exact"/>
              <w:rPr>
                <w:sz w:val="20"/>
                <w:szCs w:val="20"/>
                <w:color w:val="auto"/>
              </w:rPr>
            </w:pPr>
            <w:r>
              <w:rPr>
                <w:rFonts w:ascii="Arial" w:cs="Arial" w:eastAsia="Arial" w:hAnsi="Arial"/>
                <w:sz w:val="16"/>
                <w:szCs w:val="16"/>
                <w:b w:val="1"/>
                <w:bCs w:val="1"/>
                <w:color w:val="auto"/>
              </w:rPr>
              <w:t>and Control</w:t>
            </w:r>
          </w:p>
        </w:tc>
        <w:tc>
          <w:tcPr>
            <w:tcW w:w="300" w:type="dxa"/>
            <w:vAlign w:val="bottom"/>
          </w:tcPr>
          <w:p>
            <w:pPr>
              <w:spacing w:after="0"/>
              <w:rPr>
                <w:sz w:val="15"/>
                <w:szCs w:val="15"/>
                <w:color w:val="auto"/>
              </w:rPr>
            </w:pPr>
          </w:p>
        </w:tc>
        <w:tc>
          <w:tcPr>
            <w:tcW w:w="1400" w:type="dxa"/>
            <w:vAlign w:val="bottom"/>
            <w:gridSpan w:val="2"/>
          </w:tcPr>
          <w:p>
            <w:pPr>
              <w:jc w:val="right"/>
              <w:ind w:right="46"/>
              <w:spacing w:after="0" w:line="176" w:lineRule="exact"/>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2010 Repositioning Actions</w:t>
            </w:r>
          </w:p>
        </w:tc>
        <w:tc>
          <w:tcPr>
            <w:tcW w:w="280" w:type="dxa"/>
            <w:vAlign w:val="bottom"/>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5"/>
              </w:rPr>
              <w:t>Solutions</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Systems</w:t>
            </w:r>
          </w:p>
        </w:tc>
        <w:tc>
          <w:tcPr>
            <w:tcW w:w="30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Total</w:t>
            </w:r>
          </w:p>
        </w:tc>
      </w:tr>
      <w:tr>
        <w:trPr>
          <w:trHeight w:val="264"/>
        </w:trPr>
        <w:tc>
          <w:tcPr>
            <w:tcW w:w="5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Expected exit and disposal costs</w:t>
            </w:r>
          </w:p>
        </w:tc>
        <w:tc>
          <w:tcPr>
            <w:tcW w:w="600" w:type="dxa"/>
            <w:vAlign w:val="bottom"/>
            <w:gridSpan w:val="2"/>
            <w:shd w:val="clear" w:color="auto" w:fill="E5FFFF"/>
          </w:tcPr>
          <w:p>
            <w:pPr>
              <w:ind w:left="3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11</w:t>
            </w:r>
          </w:p>
        </w:tc>
        <w:tc>
          <w:tcPr>
            <w:tcW w:w="4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w w:val="94"/>
              </w:rPr>
              <w:t>$</w:t>
            </w:r>
          </w:p>
        </w:tc>
        <w:tc>
          <w:tcPr>
            <w:tcW w:w="88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rPr>
              <w:t>10</w:t>
            </w:r>
          </w:p>
        </w:tc>
        <w:tc>
          <w:tcPr>
            <w:tcW w:w="5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1120" w:type="dxa"/>
            <w:vAlign w:val="bottom"/>
            <w:shd w:val="clear" w:color="auto" w:fill="E5FFFF"/>
          </w:tcPr>
          <w:p>
            <w:pPr>
              <w:jc w:val="right"/>
              <w:ind w:right="246"/>
              <w:spacing w:after="0"/>
              <w:rPr>
                <w:sz w:val="20"/>
                <w:szCs w:val="20"/>
                <w:color w:val="auto"/>
              </w:rPr>
            </w:pPr>
            <w:r>
              <w:rPr>
                <w:rFonts w:ascii="Arial" w:cs="Arial" w:eastAsia="Arial" w:hAnsi="Arial"/>
                <w:sz w:val="19"/>
                <w:szCs w:val="19"/>
                <w:color w:val="auto"/>
              </w:rPr>
              <w:t>2</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23</w:t>
            </w:r>
          </w:p>
        </w:tc>
      </w:tr>
      <w:tr>
        <w:trPr>
          <w:trHeight w:val="243"/>
        </w:trPr>
        <w:tc>
          <w:tcPr>
            <w:tcW w:w="5160" w:type="dxa"/>
            <w:vAlign w:val="bottom"/>
          </w:tcPr>
          <w:p>
            <w:pPr>
              <w:ind w:left="20"/>
              <w:spacing w:after="0"/>
              <w:rPr>
                <w:sz w:val="20"/>
                <w:szCs w:val="20"/>
                <w:color w:val="auto"/>
              </w:rPr>
            </w:pPr>
            <w:r>
              <w:rPr>
                <w:rFonts w:ascii="Arial" w:cs="Arial" w:eastAsia="Arial" w:hAnsi="Arial"/>
                <w:sz w:val="19"/>
                <w:szCs w:val="19"/>
                <w:color w:val="auto"/>
              </w:rPr>
              <w:t>Costs incurred during:</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0"/>
        </w:trPr>
        <w:tc>
          <w:tcPr>
            <w:tcW w:w="51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Year ended December 31, 2010</w:t>
            </w:r>
          </w:p>
        </w:tc>
        <w:tc>
          <w:tcPr>
            <w:tcW w:w="28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14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16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246"/>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44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w:t>
            </w:r>
          </w:p>
        </w:tc>
      </w:tr>
      <w:tr>
        <w:trPr>
          <w:trHeight w:val="270"/>
        </w:trPr>
        <w:tc>
          <w:tcPr>
            <w:tcW w:w="5160" w:type="dxa"/>
            <w:vAlign w:val="bottom"/>
          </w:tcPr>
          <w:p>
            <w:pPr>
              <w:ind w:left="200"/>
              <w:spacing w:after="0"/>
              <w:rPr>
                <w:sz w:val="20"/>
                <w:szCs w:val="20"/>
                <w:color w:val="auto"/>
              </w:rPr>
            </w:pPr>
            <w:r>
              <w:rPr>
                <w:rFonts w:ascii="Arial" w:cs="Arial" w:eastAsia="Arial" w:hAnsi="Arial"/>
                <w:sz w:val="19"/>
                <w:szCs w:val="19"/>
                <w:color w:val="auto"/>
              </w:rPr>
              <w:t>Year ended December 31, 2011</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9"/>
                <w:szCs w:val="19"/>
                <w:color w:val="auto"/>
              </w:rPr>
              <w:t>(2 )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6"/>
              <w:spacing w:after="0"/>
              <w:rPr>
                <w:sz w:val="20"/>
                <w:szCs w:val="20"/>
                <w:color w:val="auto"/>
              </w:rPr>
            </w:pPr>
            <w:r>
              <w:rPr>
                <w:rFonts w:ascii="Arial" w:cs="Arial" w:eastAsia="Arial" w:hAnsi="Arial"/>
                <w:sz w:val="19"/>
                <w:szCs w:val="19"/>
                <w:color w:val="auto"/>
              </w:rPr>
              <w:t>(3 )</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166"/>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(6 )</w:t>
            </w:r>
          </w:p>
        </w:tc>
      </w:tr>
      <w:tr>
        <w:trPr>
          <w:trHeight w:val="270"/>
        </w:trPr>
        <w:tc>
          <w:tcPr>
            <w:tcW w:w="51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Year ended December 31, 2012</w:t>
            </w:r>
          </w:p>
        </w:tc>
        <w:tc>
          <w:tcPr>
            <w:tcW w:w="280" w:type="dxa"/>
            <w:vAlign w:val="bottom"/>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(1 )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86"/>
              <w:spacing w:after="0"/>
              <w:rPr>
                <w:sz w:val="20"/>
                <w:szCs w:val="20"/>
                <w:color w:val="auto"/>
              </w:rPr>
            </w:pPr>
            <w:r>
              <w:rPr>
                <w:rFonts w:ascii="Arial" w:cs="Arial" w:eastAsia="Arial" w:hAnsi="Arial"/>
                <w:sz w:val="19"/>
                <w:szCs w:val="19"/>
                <w:color w:val="auto"/>
              </w:rPr>
              <w:t>(1 )</w:t>
            </w:r>
          </w:p>
        </w:tc>
        <w:tc>
          <w:tcPr>
            <w:tcW w:w="300" w:type="dxa"/>
            <w:vAlign w:val="bottom"/>
            <w:shd w:val="clear" w:color="auto" w:fill="E5FFFF"/>
          </w:tcPr>
          <w:p>
            <w:pPr>
              <w:spacing w:after="0"/>
              <w:rPr>
                <w:sz w:val="23"/>
                <w:szCs w:val="23"/>
                <w:color w:val="auto"/>
              </w:rPr>
            </w:pPr>
          </w:p>
        </w:tc>
        <w:tc>
          <w:tcPr>
            <w:tcW w:w="280" w:type="dxa"/>
            <w:vAlign w:val="bottom"/>
            <w:tcBorders>
              <w:bottom w:val="single" w:sz="8" w:color="auto"/>
            </w:tcBorders>
            <w:shd w:val="clear" w:color="auto" w:fill="E5FFFF"/>
          </w:tcPr>
          <w:p>
            <w:pPr>
              <w:spacing w:after="0"/>
              <w:rPr>
                <w:sz w:val="23"/>
                <w:szCs w:val="23"/>
                <w:color w:val="auto"/>
              </w:rPr>
            </w:pPr>
          </w:p>
        </w:tc>
        <w:tc>
          <w:tcPr>
            <w:tcW w:w="1120" w:type="dxa"/>
            <w:vAlign w:val="bottom"/>
            <w:tcBorders>
              <w:bottom w:val="single" w:sz="8" w:color="auto"/>
            </w:tcBorders>
            <w:shd w:val="clear" w:color="auto" w:fill="E5FFFF"/>
          </w:tcPr>
          <w:p>
            <w:pPr>
              <w:jc w:val="right"/>
              <w:ind w:right="166"/>
              <w:spacing w:after="0"/>
              <w:rPr>
                <w:sz w:val="20"/>
                <w:szCs w:val="20"/>
                <w:color w:val="auto"/>
              </w:rPr>
            </w:pPr>
            <w:r>
              <w:rPr>
                <w:rFonts w:ascii="Arial" w:cs="Arial" w:eastAsia="Arial" w:hAnsi="Arial"/>
                <w:sz w:val="19"/>
                <w:szCs w:val="19"/>
                <w:color w:val="auto"/>
              </w:rPr>
              <w:t>(1 )</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(3 )</w:t>
            </w:r>
          </w:p>
        </w:tc>
      </w:tr>
      <w:tr>
        <w:trPr>
          <w:trHeight w:val="304"/>
        </w:trPr>
        <w:tc>
          <w:tcPr>
            <w:tcW w:w="5160" w:type="dxa"/>
            <w:vAlign w:val="bottom"/>
          </w:tcPr>
          <w:p>
            <w:pPr>
              <w:ind w:left="20"/>
              <w:spacing w:after="0"/>
              <w:rPr>
                <w:sz w:val="20"/>
                <w:szCs w:val="20"/>
                <w:color w:val="auto"/>
              </w:rPr>
            </w:pPr>
            <w:r>
              <w:rPr>
                <w:rFonts w:ascii="Arial" w:cs="Arial" w:eastAsia="Arial" w:hAnsi="Arial"/>
                <w:sz w:val="19"/>
                <w:szCs w:val="19"/>
                <w:color w:val="auto"/>
              </w:rPr>
              <w:t>Remaining exit and disposal costs at December 31, 2012</w:t>
            </w:r>
          </w:p>
        </w:tc>
        <w:tc>
          <w:tcPr>
            <w:tcW w:w="600" w:type="dxa"/>
            <w:vAlign w:val="bottom"/>
            <w:gridSpan w:val="2"/>
          </w:tcPr>
          <w:p>
            <w:pPr>
              <w:ind w:left="34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143"/>
              <w:spacing w:after="0"/>
              <w:rPr>
                <w:sz w:val="20"/>
                <w:szCs w:val="20"/>
                <w:color w:val="auto"/>
              </w:rPr>
            </w:pPr>
            <w:r>
              <w:rPr>
                <w:rFonts w:ascii="Arial" w:cs="Arial" w:eastAsia="Arial" w:hAnsi="Arial"/>
                <w:sz w:val="19"/>
                <w:szCs w:val="19"/>
                <w:color w:val="auto"/>
              </w:rPr>
              <w:t>8</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880" w:type="dxa"/>
            <w:vAlign w:val="bottom"/>
          </w:tcPr>
          <w:p>
            <w:pPr>
              <w:jc w:val="right"/>
              <w:ind w:right="166"/>
              <w:spacing w:after="0"/>
              <w:rPr>
                <w:sz w:val="20"/>
                <w:szCs w:val="20"/>
                <w:color w:val="auto"/>
              </w:rPr>
            </w:pPr>
            <w:r>
              <w:rPr>
                <w:rFonts w:ascii="Arial" w:cs="Arial" w:eastAsia="Arial" w:hAnsi="Arial"/>
                <w:sz w:val="19"/>
                <w:szCs w:val="19"/>
                <w:color w:val="auto"/>
              </w:rPr>
              <w:t>6</w:t>
            </w:r>
          </w:p>
        </w:tc>
        <w:tc>
          <w:tcPr>
            <w:tcW w:w="58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112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ind w:right="63"/>
              <w:spacing w:after="0"/>
              <w:rPr>
                <w:sz w:val="20"/>
                <w:szCs w:val="20"/>
                <w:color w:val="auto"/>
              </w:rPr>
            </w:pPr>
            <w:r>
              <w:rPr>
                <w:rFonts w:ascii="Arial" w:cs="Arial" w:eastAsia="Arial" w:hAnsi="Arial"/>
                <w:sz w:val="19"/>
                <w:szCs w:val="19"/>
                <w:color w:val="auto"/>
              </w:rPr>
              <w:t>14</w:t>
            </w: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180" w:firstLine="357"/>
        <w:spacing w:after="0" w:line="245" w:lineRule="auto"/>
        <w:rPr>
          <w:sz w:val="20"/>
          <w:szCs w:val="20"/>
          <w:color w:val="auto"/>
        </w:rPr>
      </w:pPr>
      <w:r>
        <w:rPr>
          <w:rFonts w:ascii="Arial" w:cs="Arial" w:eastAsia="Arial" w:hAnsi="Arial"/>
          <w:sz w:val="19"/>
          <w:szCs w:val="19"/>
          <w:color w:val="auto"/>
        </w:rPr>
        <w:t>In 2012, we recognized a charge of $234 million for environmental liabilities deemed probable and reasonably estimable during the year. We recognized asbestos related litigation charges, net of insurance, of $156 million. Environmental and Asbestos matters are discussed in detail in Note 22 Commitments and Contingencies of Notes to the Financial Statements.</w:t>
      </w:r>
    </w:p>
    <w:p>
      <w:pPr>
        <w:spacing w:after="0" w:line="87" w:lineRule="exact"/>
        <w:rPr>
          <w:sz w:val="20"/>
          <w:szCs w:val="20"/>
          <w:color w:val="auto"/>
        </w:rPr>
      </w:pPr>
    </w:p>
    <w:p>
      <w:pPr>
        <w:jc w:val="both"/>
        <w:ind w:right="180" w:firstLine="357"/>
        <w:spacing w:after="0" w:line="253" w:lineRule="auto"/>
        <w:rPr>
          <w:sz w:val="20"/>
          <w:szCs w:val="20"/>
          <w:color w:val="auto"/>
        </w:rPr>
      </w:pPr>
      <w:r>
        <w:rPr>
          <w:rFonts w:ascii="Arial" w:cs="Arial" w:eastAsia="Arial" w:hAnsi="Arial"/>
          <w:sz w:val="19"/>
          <w:szCs w:val="19"/>
          <w:color w:val="auto"/>
        </w:rPr>
        <w:t>In 2011, we recognized a charge of $240 million for environmental liabilities deemed probable and reasonably estimable during the year. We recognized asbestos related litigation charges, net of insurance, of $149 million.</w:t>
      </w:r>
    </w:p>
    <w:p>
      <w:pPr>
        <w:spacing w:after="0" w:line="80" w:lineRule="exact"/>
        <w:rPr>
          <w:sz w:val="20"/>
          <w:szCs w:val="20"/>
          <w:color w:val="auto"/>
        </w:rPr>
      </w:pPr>
    </w:p>
    <w:p>
      <w:pPr>
        <w:jc w:val="both"/>
        <w:ind w:right="180" w:firstLine="357"/>
        <w:spacing w:after="0" w:line="245" w:lineRule="auto"/>
        <w:rPr>
          <w:sz w:val="20"/>
          <w:szCs w:val="20"/>
          <w:color w:val="auto"/>
        </w:rPr>
      </w:pPr>
      <w:r>
        <w:rPr>
          <w:rFonts w:ascii="Arial" w:cs="Arial" w:eastAsia="Arial" w:hAnsi="Arial"/>
          <w:sz w:val="19"/>
          <w:szCs w:val="19"/>
          <w:color w:val="auto"/>
        </w:rPr>
        <w:t>In 2010, we recognized a charge of $212 million for environmental liabilities deemed probable and reasonably estimable during the year. We recognized asbestos related litigation charges, net of insurance, of $175 million. We also recognized other charges of $62 million in connection with the evaluation of potential resolution of certain legal matters.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4—Other (income) expense</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jc w:val="right"/>
              <w:ind w:right="266"/>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7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5"/>
              </w:rPr>
              <w:t>2012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2011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95"/>
              </w:rPr>
              <w:t>2010</w:t>
            </w:r>
          </w:p>
        </w:tc>
      </w:tr>
      <w:tr>
        <w:trPr>
          <w:trHeight w:val="237"/>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(income)/loss of affiliated companies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(45 )</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(51 )</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(28 )</w:t>
            </w:r>
          </w:p>
        </w:tc>
      </w:tr>
      <w:tr>
        <w:trPr>
          <w:trHeight w:val="270"/>
        </w:trPr>
        <w:tc>
          <w:tcPr>
            <w:tcW w:w="7740" w:type="dxa"/>
            <w:vAlign w:val="bottom"/>
          </w:tcPr>
          <w:p>
            <w:pPr>
              <w:ind w:left="20"/>
              <w:spacing w:after="0"/>
              <w:rPr>
                <w:sz w:val="20"/>
                <w:szCs w:val="20"/>
                <w:color w:val="auto"/>
              </w:rPr>
            </w:pPr>
            <w:r>
              <w:rPr>
                <w:rFonts w:ascii="Arial" w:cs="Arial" w:eastAsia="Arial" w:hAnsi="Arial"/>
                <w:sz w:val="19"/>
                <w:szCs w:val="19"/>
                <w:color w:val="auto"/>
              </w:rPr>
              <w:t>Gain on sale of non-strategic businesses and assets</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(5 )</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(61 )</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9"/>
                <w:szCs w:val="19"/>
                <w:color w:val="auto"/>
              </w:rPr>
              <w:t>—</w:t>
            </w:r>
          </w:p>
        </w:tc>
      </w:tr>
      <w:tr>
        <w:trPr>
          <w:trHeight w:val="270"/>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income</w:t>
            </w: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(58 )</w:t>
            </w:r>
          </w:p>
        </w:tc>
        <w:tc>
          <w:tcPr>
            <w:tcW w:w="3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(58 )</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(39 )</w:t>
            </w:r>
          </w:p>
        </w:tc>
      </w:tr>
      <w:tr>
        <w:trPr>
          <w:trHeight w:val="270"/>
        </w:trPr>
        <w:tc>
          <w:tcPr>
            <w:tcW w:w="7740" w:type="dxa"/>
            <w:vAlign w:val="bottom"/>
          </w:tcPr>
          <w:p>
            <w:pPr>
              <w:ind w:left="20"/>
              <w:spacing w:after="0"/>
              <w:rPr>
                <w:sz w:val="20"/>
                <w:szCs w:val="20"/>
                <w:color w:val="auto"/>
              </w:rPr>
            </w:pPr>
            <w:r>
              <w:rPr>
                <w:rFonts w:ascii="Arial" w:cs="Arial" w:eastAsia="Arial" w:hAnsi="Arial"/>
                <w:sz w:val="19"/>
                <w:szCs w:val="19"/>
                <w:color w:val="auto"/>
              </w:rPr>
              <w:t>Foreign exchange</w:t>
            </w:r>
          </w:p>
        </w:tc>
        <w:tc>
          <w:tcPr>
            <w:tcW w:w="1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9"/>
                <w:szCs w:val="19"/>
                <w:color w:val="auto"/>
              </w:rPr>
              <w:t>36</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9"/>
                <w:szCs w:val="19"/>
                <w:color w:val="auto"/>
              </w:rPr>
              <w:t>50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9"/>
                <w:szCs w:val="19"/>
                <w:color w:val="auto"/>
              </w:rPr>
              <w:t>12</w:t>
            </w:r>
          </w:p>
        </w:tc>
      </w:tr>
      <w:tr>
        <w:trPr>
          <w:trHeight w:val="270"/>
        </w:trPr>
        <w:tc>
          <w:tcPr>
            <w:tcW w:w="7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net</w:t>
            </w:r>
          </w:p>
        </w:tc>
        <w:tc>
          <w:tcPr>
            <w:tcW w:w="16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2</w:t>
            </w:r>
          </w:p>
        </w:tc>
        <w:tc>
          <w:tcPr>
            <w:tcW w:w="3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36</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(42 )</w:t>
            </w:r>
          </w:p>
        </w:tc>
      </w:tr>
      <w:tr>
        <w:trPr>
          <w:trHeight w:val="277"/>
        </w:trPr>
        <w:tc>
          <w:tcPr>
            <w:tcW w:w="77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(70 )</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(84 )</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(97 )</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Gain on sale of non-strategic businesses and assets for 2011 includes a $50 million pre-tax gain, $ 31 million net of tax, related to the divestiture of the automotive on-board sensor products business within our Automation and Control Solutions segment.</w:t>
      </w:r>
    </w:p>
    <w:p>
      <w:pPr>
        <w:spacing w:after="0" w:line="80"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Other, net in 2011 includes a loss of $29 million resulting from early redemption of debt in the first quarter of 2011. See Note 14 Long-term Debt and Credit Agreements for further details.</w:t>
      </w:r>
    </w:p>
    <w:p>
      <w:pPr>
        <w:spacing w:after="0" w:line="8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Other, net for 2010 includes a $62 million pre-tax gain, $39 million net of tax, related to the consolidation of a joint venture within our Performance Materials and Technologies segment. The Company obtained control and the ability to direct those activities most significant to the joint venture’s economic performance in the third quarter, resulting in consolidation. Accordingly, we have i) recognized the assets and liabilities at fair value, ii) included the results of operations in the consolidated financial statements from the date of consolidation and iii) recognized the above noted gain representing the difference between the carrying amount and fair value of our previously held equity method investment. The Company has assigned $24 million to intangibles, predominantly the joint venture’s customer contracts. These intangible assets are being amortized over their estimated lives using the straight line method. The excess of the book value over the estimated fair values of the net assets consolidated approximating $132 million, was recorded as goodwill. This goodwill is non-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60"/>
        <w:spacing w:after="0" w:line="253" w:lineRule="auto"/>
        <w:rPr>
          <w:sz w:val="20"/>
          <w:szCs w:val="20"/>
          <w:color w:val="auto"/>
        </w:rPr>
      </w:pPr>
      <w:r>
        <w:rPr>
          <w:rFonts w:ascii="Arial" w:cs="Arial" w:eastAsia="Arial" w:hAnsi="Arial"/>
          <w:sz w:val="19"/>
          <w:szCs w:val="19"/>
          <w:color w:val="auto"/>
        </w:rPr>
        <w:t>deductible for tax purposes. The results from the consolidation date through December 31, 2010 are included in the Performance Materials and Technologies segment and were not material to the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5—Interest and Other Financial Charges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7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95"/>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w w:val="95"/>
              </w:rPr>
              <w:t>2011</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2010</w:t>
            </w:r>
          </w:p>
        </w:tc>
      </w:tr>
      <w:tr>
        <w:trPr>
          <w:trHeight w:val="264"/>
        </w:trPr>
        <w:tc>
          <w:tcPr>
            <w:tcW w:w="7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 interest and other financial charges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369</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389</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402</w:t>
            </w:r>
          </w:p>
        </w:tc>
      </w:tr>
      <w:tr>
        <w:trPr>
          <w:trHeight w:val="270"/>
        </w:trPr>
        <w:tc>
          <w:tcPr>
            <w:tcW w:w="7580" w:type="dxa"/>
            <w:vAlign w:val="bottom"/>
          </w:tcPr>
          <w:p>
            <w:pPr>
              <w:ind w:left="20"/>
              <w:spacing w:after="0"/>
              <w:rPr>
                <w:sz w:val="20"/>
                <w:szCs w:val="20"/>
                <w:color w:val="auto"/>
              </w:rPr>
            </w:pPr>
            <w:r>
              <w:rPr>
                <w:rFonts w:ascii="Arial" w:cs="Arial" w:eastAsia="Arial" w:hAnsi="Arial"/>
                <w:sz w:val="19"/>
                <w:szCs w:val="19"/>
                <w:color w:val="auto"/>
              </w:rPr>
              <w:t>Less—capitalized interest</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(13 )</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(16 )</w:t>
            </w:r>
          </w:p>
        </w:tc>
      </w:tr>
      <w:tr>
        <w:trPr>
          <w:trHeight w:val="34"/>
        </w:trPr>
        <w:tc>
          <w:tcPr>
            <w:tcW w:w="7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58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351</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376</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386</w:t>
            </w:r>
          </w:p>
        </w:tc>
      </w:tr>
      <w:tr>
        <w:trPr>
          <w:trHeight w:val="20"/>
        </w:trPr>
        <w:tc>
          <w:tcPr>
            <w:tcW w:w="7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460" w:firstLine="357"/>
        <w:spacing w:after="0" w:line="253" w:lineRule="auto"/>
        <w:rPr>
          <w:sz w:val="20"/>
          <w:szCs w:val="20"/>
          <w:color w:val="auto"/>
        </w:rPr>
      </w:pPr>
      <w:r>
        <w:rPr>
          <w:rFonts w:ascii="Arial" w:cs="Arial" w:eastAsia="Arial" w:hAnsi="Arial"/>
          <w:sz w:val="19"/>
          <w:szCs w:val="19"/>
          <w:color w:val="auto"/>
        </w:rPr>
        <w:t>The weighted average interest rate on short-term borrowings and commercial paper outstanding at December 31, 2012 and 2011 was 1.43 percent and 0.84 percent,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from continuing operations before taxes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16"/>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6"/>
                <w:szCs w:val="16"/>
                <w:b w:val="1"/>
                <w:bCs w:val="1"/>
                <w:color w:val="auto"/>
              </w:rPr>
              <w:t>2012</w:t>
            </w: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5"/>
              </w:rPr>
              <w:t>2011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6"/>
                <w:szCs w:val="16"/>
                <w:b w:val="1"/>
                <w:bCs w:val="1"/>
                <w:color w:val="auto"/>
              </w:rPr>
              <w:t>2010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362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37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1,761</w:t>
            </w:r>
          </w:p>
        </w:tc>
        <w:tc>
          <w:tcPr>
            <w:tcW w:w="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3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ind w:right="6"/>
              <w:spacing w:after="0"/>
              <w:rPr>
                <w:sz w:val="20"/>
                <w:szCs w:val="20"/>
                <w:color w:val="auto"/>
              </w:rPr>
            </w:pPr>
            <w:r>
              <w:rPr>
                <w:rFonts w:ascii="Arial" w:cs="Arial" w:eastAsia="Arial" w:hAnsi="Arial"/>
                <w:sz w:val="19"/>
                <w:szCs w:val="19"/>
                <w:color w:val="auto"/>
              </w:rPr>
              <w:t>318</w:t>
            </w:r>
          </w:p>
        </w:tc>
        <w:tc>
          <w:tcPr>
            <w:tcW w:w="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6"/>
              </w:rPr>
              <w:t>1,157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9"/>
                <w:szCs w:val="19"/>
                <w:color w:val="auto"/>
              </w:rPr>
              <w:t>Foreign</w:t>
            </w:r>
          </w:p>
        </w:tc>
        <w:tc>
          <w:tcPr>
            <w:tcW w:w="35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2,114</w:t>
            </w:r>
          </w:p>
        </w:tc>
        <w:tc>
          <w:tcPr>
            <w:tcW w:w="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9"/>
                <w:szCs w:val="19"/>
                <w:color w:val="auto"/>
              </w:rPr>
              <w:t>1,964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96"/>
              </w:rPr>
              <w:t>1,565</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spacing w:after="0"/>
              <w:rPr>
                <w:sz w:val="23"/>
                <w:szCs w:val="23"/>
                <w:color w:val="auto"/>
              </w:rPr>
            </w:pPr>
          </w:p>
        </w:tc>
        <w:tc>
          <w:tcPr>
            <w:tcW w:w="37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3,875</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ind w:right="6"/>
              <w:spacing w:after="0"/>
              <w:rPr>
                <w:sz w:val="20"/>
                <w:szCs w:val="20"/>
                <w:color w:val="auto"/>
              </w:rPr>
            </w:pPr>
            <w:r>
              <w:rPr>
                <w:rFonts w:ascii="Arial" w:cs="Arial" w:eastAsia="Arial" w:hAnsi="Arial"/>
                <w:sz w:val="19"/>
                <w:szCs w:val="19"/>
                <w:color w:val="auto"/>
              </w:rPr>
              <w:t>2,282</w:t>
            </w:r>
          </w:p>
        </w:tc>
        <w:tc>
          <w:tcPr>
            <w:tcW w:w="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6"/>
              </w:rPr>
              <w:t>2,722</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Tax expense (benefit)</w:t>
            </w:r>
          </w:p>
        </w:tc>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08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15"/>
          </w:tcPr>
          <w:p>
            <w:pPr>
              <w:jc w:val="right"/>
              <w:ind w:right="284"/>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2010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362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35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00" w:type="dxa"/>
            <w:vAlign w:val="bottom"/>
            <w:gridSpan w:val="3"/>
            <w:shd w:val="clear" w:color="auto" w:fill="E5FFFF"/>
          </w:tcPr>
          <w:p>
            <w:pPr>
              <w:jc w:val="center"/>
              <w:ind w:left="265"/>
              <w:spacing w:after="0"/>
              <w:rPr>
                <w:sz w:val="20"/>
                <w:szCs w:val="20"/>
                <w:color w:val="auto"/>
              </w:rPr>
            </w:pPr>
            <w:r>
              <w:rPr>
                <w:rFonts w:ascii="Arial" w:cs="Arial" w:eastAsia="Arial" w:hAnsi="Arial"/>
                <w:sz w:val="19"/>
                <w:szCs w:val="19"/>
                <w:color w:val="auto"/>
              </w:rPr>
              <w:t>$</w:t>
            </w:r>
          </w:p>
        </w:tc>
        <w:tc>
          <w:tcPr>
            <w:tcW w:w="3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584</w:t>
            </w:r>
          </w:p>
        </w:tc>
        <w:tc>
          <w:tcPr>
            <w:tcW w:w="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60" w:type="dxa"/>
            <w:vAlign w:val="bottom"/>
            <w:gridSpan w:val="2"/>
            <w:shd w:val="clear" w:color="auto" w:fill="E5FFFF"/>
          </w:tcPr>
          <w:p>
            <w:pPr>
              <w:jc w:val="center"/>
              <w:ind w:left="25"/>
              <w:spacing w:after="0"/>
              <w:rPr>
                <w:sz w:val="20"/>
                <w:szCs w:val="20"/>
                <w:color w:val="auto"/>
              </w:rPr>
            </w:pPr>
            <w:r>
              <w:rPr>
                <w:rFonts w:ascii="Arial" w:cs="Arial" w:eastAsia="Arial" w:hAnsi="Arial"/>
                <w:sz w:val="19"/>
                <w:szCs w:val="19"/>
                <w:color w:val="auto"/>
                <w:w w:val="94"/>
              </w:rPr>
              <w:t>$</w:t>
            </w:r>
          </w:p>
        </w:tc>
        <w:tc>
          <w:tcPr>
            <w:tcW w:w="52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3</w:t>
            </w:r>
          </w:p>
        </w:tc>
        <w:tc>
          <w:tcPr>
            <w:tcW w:w="140" w:type="dxa"/>
            <w:vAlign w:val="bottom"/>
            <w:shd w:val="clear" w:color="auto" w:fill="E5FFFF"/>
          </w:tcPr>
          <w:p>
            <w:pPr>
              <w:spacing w:after="0"/>
              <w:rPr>
                <w:sz w:val="22"/>
                <w:szCs w:val="22"/>
                <w:color w:val="auto"/>
              </w:rPr>
            </w:pPr>
          </w:p>
        </w:tc>
        <w:tc>
          <w:tcPr>
            <w:tcW w:w="3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358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tcPr>
          <w:p>
            <w:pPr>
              <w:ind w:left="20"/>
              <w:spacing w:after="0"/>
              <w:rPr>
                <w:sz w:val="20"/>
                <w:szCs w:val="20"/>
                <w:color w:val="auto"/>
              </w:rPr>
            </w:pPr>
            <w:r>
              <w:rPr>
                <w:rFonts w:ascii="Arial" w:cs="Arial" w:eastAsia="Arial" w:hAnsi="Arial"/>
                <w:sz w:val="19"/>
                <w:szCs w:val="19"/>
                <w:color w:val="auto"/>
              </w:rPr>
              <w:t>Foreign</w:t>
            </w: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360</w:t>
            </w:r>
          </w:p>
        </w:tc>
        <w:tc>
          <w:tcPr>
            <w:tcW w:w="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9"/>
                <w:szCs w:val="19"/>
                <w:color w:val="auto"/>
              </w:rPr>
              <w:t>414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407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spacing w:after="0"/>
              <w:rPr>
                <w:sz w:val="23"/>
                <w:szCs w:val="23"/>
                <w:color w:val="auto"/>
              </w:rPr>
            </w:pPr>
          </w:p>
        </w:tc>
        <w:tc>
          <w:tcPr>
            <w:tcW w:w="35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360" w:type="dxa"/>
            <w:vAlign w:val="bottom"/>
            <w:gridSpan w:val="2"/>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944</w:t>
            </w:r>
          </w:p>
        </w:tc>
        <w:tc>
          <w:tcPr>
            <w:tcW w:w="80" w:type="dxa"/>
            <w:vAlign w:val="bottom"/>
            <w:tcBorders>
              <w:bottom w:val="single" w:sz="8" w:color="auto"/>
            </w:tcBorders>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417</w:t>
            </w:r>
          </w:p>
        </w:tc>
        <w:tc>
          <w:tcPr>
            <w:tcW w:w="140" w:type="dxa"/>
            <w:vAlign w:val="bottom"/>
            <w:shd w:val="clear" w:color="auto" w:fill="E5FFFF"/>
          </w:tcPr>
          <w:p>
            <w:pPr>
              <w:spacing w:after="0"/>
              <w:rPr>
                <w:sz w:val="23"/>
                <w:szCs w:val="23"/>
                <w:color w:val="auto"/>
              </w:rPr>
            </w:pPr>
          </w:p>
        </w:tc>
        <w:tc>
          <w:tcPr>
            <w:tcW w:w="180" w:type="dxa"/>
            <w:vAlign w:val="bottom"/>
            <w:gridSpan w:val="2"/>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765</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6"/>
          </w:tcPr>
          <w:p>
            <w:pPr>
              <w:jc w:val="right"/>
              <w:ind w:right="424"/>
              <w:spacing w:after="0"/>
              <w:rPr>
                <w:sz w:val="20"/>
                <w:szCs w:val="20"/>
                <w:color w:val="auto"/>
              </w:rPr>
            </w:pPr>
            <w:r>
              <w:rPr>
                <w:rFonts w:ascii="Arial" w:cs="Arial" w:eastAsia="Arial" w:hAnsi="Arial"/>
                <w:sz w:val="16"/>
                <w:szCs w:val="16"/>
                <w:b w:val="1"/>
                <w:bCs w:val="1"/>
                <w:color w:val="auto"/>
                <w:w w:val="98"/>
              </w:rPr>
              <w:t>Years Ended December 31,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left="49"/>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jc w:val="right"/>
              <w:ind w:right="86"/>
              <w:spacing w:after="0"/>
              <w:rPr>
                <w:sz w:val="20"/>
                <w:szCs w:val="20"/>
                <w:color w:val="auto"/>
              </w:rPr>
            </w:pPr>
            <w:r>
              <w:rPr>
                <w:rFonts w:ascii="Arial" w:cs="Arial" w:eastAsia="Arial" w:hAnsi="Arial"/>
                <w:sz w:val="16"/>
                <w:szCs w:val="16"/>
                <w:b w:val="1"/>
                <w:bCs w:val="1"/>
                <w:color w:val="auto"/>
              </w:rPr>
              <w:t>2011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4"/>
          </w:tcPr>
          <w:p>
            <w:pPr>
              <w:jc w:val="right"/>
              <w:ind w:right="164"/>
              <w:spacing w:after="0"/>
              <w:rPr>
                <w:sz w:val="20"/>
                <w:szCs w:val="20"/>
                <w:color w:val="auto"/>
              </w:rPr>
            </w:pPr>
            <w:r>
              <w:rPr>
                <w:rFonts w:ascii="Arial" w:cs="Arial" w:eastAsia="Arial" w:hAnsi="Arial"/>
                <w:sz w:val="16"/>
                <w:szCs w:val="16"/>
                <w:b w:val="1"/>
                <w:bCs w:val="1"/>
                <w:color w:val="auto"/>
              </w:rPr>
              <w:t>2010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6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Expense consists of</w:t>
            </w:r>
          </w:p>
        </w:tc>
        <w:tc>
          <w:tcPr>
            <w:tcW w:w="35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60" w:type="dxa"/>
            <w:vAlign w:val="bottom"/>
            <w:tcBorders>
              <w:top w:val="single" w:sz="8" w:color="auto"/>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580" w:type="dxa"/>
            <w:vAlign w:val="bottom"/>
            <w:tcBorders>
              <w:top w:val="single" w:sz="8" w:color="auto"/>
            </w:tcBorders>
            <w:shd w:val="clear" w:color="auto" w:fill="E5FF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9"/>
                <w:szCs w:val="19"/>
                <w:color w:val="auto"/>
              </w:rPr>
              <w:t>Current:</w:t>
            </w:r>
          </w:p>
        </w:tc>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United States</w:t>
            </w:r>
          </w:p>
        </w:tc>
        <w:tc>
          <w:tcPr>
            <w:tcW w:w="35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gridSpan w:val="5"/>
            <w:shd w:val="clear" w:color="auto" w:fill="E5FFFF"/>
          </w:tcPr>
          <w:p>
            <w:pPr>
              <w:jc w:val="right"/>
              <w:ind w:right="61"/>
              <w:spacing w:after="0"/>
              <w:rPr>
                <w:sz w:val="20"/>
                <w:szCs w:val="20"/>
                <w:color w:val="auto"/>
              </w:rPr>
            </w:pPr>
            <w:r>
              <w:rPr>
                <w:rFonts w:ascii="Arial" w:cs="Arial" w:eastAsia="Arial" w:hAnsi="Arial"/>
                <w:sz w:val="19"/>
                <w:szCs w:val="19"/>
                <w:color w:val="auto"/>
              </w:rPr>
              <w:t>$ 470</w:t>
            </w:r>
          </w:p>
        </w:tc>
        <w:tc>
          <w:tcPr>
            <w:tcW w:w="160" w:type="dxa"/>
            <w:vAlign w:val="bottom"/>
            <w:shd w:val="clear" w:color="auto" w:fill="E5FFFF"/>
          </w:tcPr>
          <w:p>
            <w:pPr>
              <w:spacing w:after="0"/>
              <w:rPr>
                <w:sz w:val="23"/>
                <w:szCs w:val="23"/>
                <w:color w:val="auto"/>
              </w:rPr>
            </w:pPr>
          </w:p>
        </w:tc>
        <w:tc>
          <w:tcPr>
            <w:tcW w:w="3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171</w:t>
            </w:r>
          </w:p>
        </w:tc>
        <w:tc>
          <w:tcPr>
            <w:tcW w:w="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360" w:type="dxa"/>
            <w:vAlign w:val="bottom"/>
            <w:gridSpan w:val="3"/>
            <w:shd w:val="clear" w:color="auto" w:fill="E5FFFF"/>
          </w:tcPr>
          <w:p>
            <w:pPr>
              <w:jc w:val="right"/>
              <w:ind w:right="43"/>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(501 )</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tcPr>
          <w:p>
            <w:pPr>
              <w:ind w:left="200"/>
              <w:spacing w:after="0"/>
              <w:rPr>
                <w:sz w:val="20"/>
                <w:szCs w:val="20"/>
                <w:color w:val="auto"/>
              </w:rPr>
            </w:pPr>
            <w:r>
              <w:rPr>
                <w:rFonts w:ascii="Arial" w:cs="Arial" w:eastAsia="Arial" w:hAnsi="Arial"/>
                <w:sz w:val="19"/>
                <w:szCs w:val="19"/>
                <w:color w:val="auto"/>
              </w:rPr>
              <w:t>State</w:t>
            </w: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5"/>
          </w:tcPr>
          <w:p>
            <w:pPr>
              <w:jc w:val="right"/>
              <w:ind w:right="61"/>
              <w:spacing w:after="0"/>
              <w:rPr>
                <w:sz w:val="20"/>
                <w:szCs w:val="20"/>
                <w:color w:val="auto"/>
              </w:rPr>
            </w:pPr>
            <w:r>
              <w:rPr>
                <w:rFonts w:ascii="Arial" w:cs="Arial" w:eastAsia="Arial" w:hAnsi="Arial"/>
                <w:sz w:val="19"/>
                <w:szCs w:val="19"/>
                <w:color w:val="auto"/>
              </w:rPr>
              <w:t>10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3</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Foreign</w:t>
            </w:r>
          </w:p>
        </w:tc>
        <w:tc>
          <w:tcPr>
            <w:tcW w:w="35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380</w:t>
            </w:r>
          </w:p>
        </w:tc>
        <w:tc>
          <w:tcPr>
            <w:tcW w:w="1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564</w:t>
            </w:r>
          </w:p>
        </w:tc>
        <w:tc>
          <w:tcPr>
            <w:tcW w:w="60" w:type="dxa"/>
            <w:vAlign w:val="bottom"/>
            <w:tcBorders>
              <w:bottom w:val="single" w:sz="8" w:color="auto"/>
            </w:tcBorders>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385</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5"/>
          </w:tcPr>
          <w:p>
            <w:pPr>
              <w:jc w:val="right"/>
              <w:ind w:right="61"/>
              <w:spacing w:after="0"/>
              <w:rPr>
                <w:sz w:val="20"/>
                <w:szCs w:val="20"/>
                <w:color w:val="auto"/>
              </w:rPr>
            </w:pPr>
            <w:r>
              <w:rPr>
                <w:rFonts w:ascii="Arial" w:cs="Arial" w:eastAsia="Arial" w:hAnsi="Arial"/>
                <w:sz w:val="19"/>
                <w:szCs w:val="19"/>
                <w:color w:val="auto"/>
              </w:rPr>
              <w:t>$ 860</w:t>
            </w:r>
          </w:p>
        </w:tc>
        <w:tc>
          <w:tcPr>
            <w:tcW w:w="16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748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ind w:right="43"/>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(113 )</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0" w:type="dxa"/>
            <w:vAlign w:val="bottom"/>
          </w:tcPr>
          <w:p>
            <w:pPr>
              <w:spacing w:after="0"/>
              <w:rPr>
                <w:sz w:val="21"/>
                <w:szCs w:val="21"/>
                <w:color w:val="auto"/>
              </w:rPr>
            </w:pPr>
          </w:p>
        </w:tc>
        <w:tc>
          <w:tcPr>
            <w:tcW w:w="362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Deferred:</w:t>
            </w:r>
          </w:p>
        </w:tc>
        <w:tc>
          <w:tcPr>
            <w:tcW w:w="35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tcPr>
          <w:p>
            <w:pPr>
              <w:ind w:left="200"/>
              <w:spacing w:after="0"/>
              <w:rPr>
                <w:sz w:val="20"/>
                <w:szCs w:val="20"/>
                <w:color w:val="auto"/>
              </w:rPr>
            </w:pPr>
            <w:r>
              <w:rPr>
                <w:rFonts w:ascii="Arial" w:cs="Arial" w:eastAsia="Arial" w:hAnsi="Arial"/>
                <w:sz w:val="19"/>
                <w:szCs w:val="19"/>
                <w:color w:val="auto"/>
              </w:rPr>
              <w:t>United States</w:t>
            </w: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5"/>
          </w:tcPr>
          <w:p>
            <w:pPr>
              <w:jc w:val="right"/>
              <w:ind w:right="61"/>
              <w:spacing w:after="0"/>
              <w:rPr>
                <w:sz w:val="20"/>
                <w:szCs w:val="20"/>
                <w:color w:val="auto"/>
              </w:rPr>
            </w:pPr>
            <w:r>
              <w:rPr>
                <w:rFonts w:ascii="Arial" w:cs="Arial" w:eastAsia="Arial" w:hAnsi="Arial"/>
                <w:sz w:val="19"/>
                <w:szCs w:val="19"/>
                <w:color w:val="auto"/>
              </w:rPr>
              <w:t>$  85</w:t>
            </w:r>
          </w:p>
        </w:tc>
        <w:tc>
          <w:tcPr>
            <w:tcW w:w="16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9"/>
                <w:szCs w:val="19"/>
                <w:color w:val="auto"/>
              </w:rPr>
              <w:t>(185 )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gridSpan w:val="3"/>
          </w:tcPr>
          <w:p>
            <w:pPr>
              <w:jc w:val="right"/>
              <w:ind w:right="43"/>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784</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ind w:left="200"/>
              <w:spacing w:after="0"/>
              <w:rPr>
                <w:sz w:val="20"/>
                <w:szCs w:val="20"/>
                <w:color w:val="auto"/>
              </w:rPr>
            </w:pPr>
            <w:r>
              <w:rPr>
                <w:rFonts w:ascii="Arial" w:cs="Arial" w:eastAsia="Arial" w:hAnsi="Arial"/>
                <w:sz w:val="19"/>
                <w:szCs w:val="19"/>
                <w:color w:val="auto"/>
              </w:rPr>
              <w:t>State</w:t>
            </w:r>
          </w:p>
        </w:tc>
        <w:tc>
          <w:tcPr>
            <w:tcW w:w="35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20" w:type="dxa"/>
            <w:vAlign w:val="bottom"/>
            <w:gridSpan w:val="5"/>
            <w:shd w:val="clear" w:color="auto" w:fill="E5FFFF"/>
          </w:tcPr>
          <w:p>
            <w:pPr>
              <w:jc w:val="right"/>
              <w:ind w:right="61"/>
              <w:spacing w:after="0"/>
              <w:rPr>
                <w:sz w:val="20"/>
                <w:szCs w:val="20"/>
                <w:color w:val="auto"/>
              </w:rPr>
            </w:pPr>
            <w:r>
              <w:rPr>
                <w:rFonts w:ascii="Arial" w:cs="Arial" w:eastAsia="Arial" w:hAnsi="Arial"/>
                <w:sz w:val="19"/>
                <w:szCs w:val="19"/>
                <w:color w:val="auto"/>
              </w:rPr>
              <w:t>19</w:t>
            </w:r>
          </w:p>
        </w:tc>
        <w:tc>
          <w:tcPr>
            <w:tcW w:w="1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3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72</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tcPr>
          <w:p>
            <w:pPr>
              <w:ind w:left="200"/>
              <w:spacing w:after="0"/>
              <w:rPr>
                <w:sz w:val="20"/>
                <w:szCs w:val="20"/>
                <w:color w:val="auto"/>
              </w:rPr>
            </w:pPr>
            <w:r>
              <w:rPr>
                <w:rFonts w:ascii="Arial" w:cs="Arial" w:eastAsia="Arial" w:hAnsi="Arial"/>
                <w:sz w:val="19"/>
                <w:szCs w:val="19"/>
                <w:color w:val="auto"/>
              </w:rPr>
              <w:t>Foreign</w:t>
            </w:r>
          </w:p>
        </w:tc>
        <w:tc>
          <w:tcPr>
            <w:tcW w:w="3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5"/>
          </w:tcPr>
          <w:p>
            <w:pPr>
              <w:jc w:val="right"/>
              <w:spacing w:after="0"/>
              <w:rPr>
                <w:sz w:val="20"/>
                <w:szCs w:val="20"/>
                <w:color w:val="auto"/>
              </w:rPr>
            </w:pPr>
            <w:r>
              <w:rPr>
                <w:rFonts w:ascii="Arial" w:cs="Arial" w:eastAsia="Arial" w:hAnsi="Arial"/>
                <w:sz w:val="19"/>
                <w:szCs w:val="19"/>
                <w:color w:val="auto"/>
              </w:rPr>
              <w:t>(20 )</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9"/>
                <w:szCs w:val="19"/>
                <w:color w:val="auto"/>
              </w:rPr>
              <w:t>(150 )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22</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3620" w:type="dxa"/>
            <w:vAlign w:val="bottom"/>
            <w:shd w:val="clear" w:color="auto" w:fill="E5FFFF"/>
          </w:tcPr>
          <w:p>
            <w:pPr>
              <w:spacing w:after="0"/>
              <w:rPr>
                <w:sz w:val="23"/>
                <w:szCs w:val="23"/>
                <w:color w:val="auto"/>
              </w:rPr>
            </w:pPr>
          </w:p>
        </w:tc>
        <w:tc>
          <w:tcPr>
            <w:tcW w:w="35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20" w:type="dxa"/>
            <w:vAlign w:val="bottom"/>
            <w:tcBorders>
              <w:bottom w:val="single" w:sz="8" w:color="auto"/>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84</w:t>
            </w:r>
          </w:p>
        </w:tc>
        <w:tc>
          <w:tcPr>
            <w:tcW w:w="1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gridSpan w:val="4"/>
            <w:shd w:val="clear" w:color="auto" w:fill="E5FFFF"/>
          </w:tcPr>
          <w:p>
            <w:pPr>
              <w:jc w:val="right"/>
              <w:ind w:right="60"/>
              <w:spacing w:after="0"/>
              <w:rPr>
                <w:sz w:val="20"/>
                <w:szCs w:val="20"/>
                <w:color w:val="auto"/>
              </w:rPr>
            </w:pPr>
            <w:r>
              <w:rPr>
                <w:rFonts w:ascii="Arial" w:cs="Arial" w:eastAsia="Arial" w:hAnsi="Arial"/>
                <w:sz w:val="19"/>
                <w:szCs w:val="19"/>
                <w:color w:val="auto"/>
              </w:rPr>
              <w:t>(331 )</w:t>
            </w:r>
          </w:p>
        </w:tc>
        <w:tc>
          <w:tcPr>
            <w:tcW w:w="12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2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878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5"/>
          </w:tcPr>
          <w:p>
            <w:pPr>
              <w:jc w:val="right"/>
              <w:ind w:right="61"/>
              <w:spacing w:after="0"/>
              <w:rPr>
                <w:sz w:val="20"/>
                <w:szCs w:val="20"/>
                <w:color w:val="auto"/>
              </w:rPr>
            </w:pPr>
            <w:r>
              <w:rPr>
                <w:rFonts w:ascii="Arial" w:cs="Arial" w:eastAsia="Arial" w:hAnsi="Arial"/>
                <w:sz w:val="19"/>
                <w:szCs w:val="19"/>
                <w:color w:val="auto"/>
              </w:rPr>
              <w:t>$ 944</w:t>
            </w:r>
          </w:p>
        </w:tc>
        <w:tc>
          <w:tcPr>
            <w:tcW w:w="16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3"/>
          </w:tcPr>
          <w:p>
            <w:pPr>
              <w:jc w:val="right"/>
              <w:spacing w:after="0"/>
              <w:rPr>
                <w:sz w:val="20"/>
                <w:szCs w:val="20"/>
                <w:color w:val="auto"/>
              </w:rPr>
            </w:pPr>
            <w:r>
              <w:rPr>
                <w:rFonts w:ascii="Arial" w:cs="Arial" w:eastAsia="Arial" w:hAnsi="Arial"/>
                <w:sz w:val="19"/>
                <w:szCs w:val="19"/>
                <w:color w:val="auto"/>
              </w:rPr>
              <w:t>417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ind w:right="43"/>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765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00" w:type="dxa"/>
            <w:vAlign w:val="bottom"/>
            <w:vMerge w:val="restart"/>
          </w:tcPr>
          <w:p>
            <w:pPr>
              <w:jc w:val="right"/>
              <w:ind w:right="1663"/>
              <w:spacing w:after="0"/>
              <w:rPr>
                <w:sz w:val="20"/>
                <w:szCs w:val="20"/>
                <w:color w:val="auto"/>
              </w:rPr>
            </w:pPr>
            <w:r>
              <w:rPr>
                <w:rFonts w:ascii="Arial" w:cs="Arial" w:eastAsia="Arial" w:hAnsi="Arial"/>
                <w:sz w:val="19"/>
                <w:szCs w:val="19"/>
                <w:color w:val="auto"/>
              </w:rPr>
              <w:t>75</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310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0" w:type="dxa"/>
            <w:vAlign w:val="bottom"/>
          </w:tcPr>
          <w:p>
            <w:pPr>
              <w:jc w:val="right"/>
              <w:ind w:right="126"/>
              <w:spacing w:after="0"/>
              <w:rPr>
                <w:sz w:val="20"/>
                <w:szCs w:val="20"/>
                <w:color w:val="auto"/>
              </w:rPr>
            </w:pPr>
            <w:r>
              <w:rPr>
                <w:rFonts w:ascii="Arial" w:cs="Arial" w:eastAsia="Arial" w:hAnsi="Arial"/>
                <w:sz w:val="16"/>
                <w:szCs w:val="16"/>
                <w:b w:val="1"/>
                <w:bCs w:val="1"/>
                <w:color w:val="auto"/>
              </w:rPr>
              <w:t>2012</w:t>
            </w:r>
          </w:p>
        </w:tc>
        <w:tc>
          <w:tcPr>
            <w:tcW w:w="1160" w:type="dxa"/>
            <w:vAlign w:val="bottom"/>
            <w:gridSpan w:val="2"/>
          </w:tcPr>
          <w:p>
            <w:pPr>
              <w:jc w:val="right"/>
              <w:ind w:right="163"/>
              <w:spacing w:after="0"/>
              <w:rPr>
                <w:sz w:val="20"/>
                <w:szCs w:val="20"/>
                <w:color w:val="auto"/>
              </w:rPr>
            </w:pPr>
            <w:r>
              <w:rPr>
                <w:rFonts w:ascii="Arial" w:cs="Arial" w:eastAsia="Arial" w:hAnsi="Arial"/>
                <w:sz w:val="16"/>
                <w:szCs w:val="16"/>
                <w:b w:val="1"/>
                <w:bCs w:val="1"/>
                <w:color w:val="auto"/>
              </w:rPr>
              <w:t>2011</w:t>
            </w:r>
          </w:p>
        </w:tc>
        <w:tc>
          <w:tcPr>
            <w:tcW w:w="1140" w:type="dxa"/>
            <w:vAlign w:val="bottom"/>
            <w:gridSpan w:val="2"/>
          </w:tcPr>
          <w:p>
            <w:pPr>
              <w:jc w:val="right"/>
              <w:ind w:right="143"/>
              <w:spacing w:after="0"/>
              <w:rPr>
                <w:sz w:val="20"/>
                <w:szCs w:val="20"/>
                <w:color w:val="auto"/>
              </w:rPr>
            </w:pPr>
            <w:r>
              <w:rPr>
                <w:rFonts w:ascii="Arial" w:cs="Arial" w:eastAsia="Arial" w:hAnsi="Arial"/>
                <w:sz w:val="16"/>
                <w:szCs w:val="16"/>
                <w:b w:val="1"/>
                <w:bCs w:val="1"/>
                <w:color w:val="auto"/>
              </w:rPr>
              <w:t>2010</w:t>
            </w:r>
          </w:p>
        </w:tc>
      </w:tr>
      <w:tr>
        <w:trPr>
          <w:trHeight w:val="223"/>
        </w:trPr>
        <w:tc>
          <w:tcPr>
            <w:tcW w:w="460" w:type="dxa"/>
            <w:vAlign w:val="bottom"/>
          </w:tcPr>
          <w:p>
            <w:pPr>
              <w:spacing w:after="0"/>
              <w:rPr>
                <w:sz w:val="19"/>
                <w:szCs w:val="19"/>
                <w:color w:val="auto"/>
              </w:rPr>
            </w:pPr>
          </w:p>
        </w:tc>
        <w:tc>
          <w:tcPr>
            <w:tcW w:w="74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The U.S. statutory federal income tax rate is reconciled to our effective income tax</w:t>
            </w:r>
          </w:p>
        </w:tc>
        <w:tc>
          <w:tcPr>
            <w:tcW w:w="80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80" w:type="dxa"/>
            <w:vAlign w:val="bottom"/>
            <w:tcBorders>
              <w:top w:val="single" w:sz="8" w:color="auto"/>
            </w:tcBorders>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40" w:type="dxa"/>
            <w:vAlign w:val="bottom"/>
            <w:tcBorders>
              <w:top w:val="single" w:sz="8" w:color="auto"/>
            </w:tcBorders>
            <w:shd w:val="clear" w:color="auto" w:fill="E5FFFF"/>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740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rate as follows:</w:t>
            </w: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40" w:type="dxa"/>
            <w:vAlign w:val="bottom"/>
            <w:shd w:val="clear" w:color="auto" w:fill="E5FFFF"/>
          </w:tcPr>
          <w:p>
            <w:pPr>
              <w:spacing w:after="0"/>
              <w:rPr>
                <w:sz w:val="19"/>
                <w:szCs w:val="19"/>
                <w:color w:val="auto"/>
              </w:rPr>
            </w:pPr>
          </w:p>
        </w:tc>
      </w:tr>
      <w:tr>
        <w:trPr>
          <w:trHeight w:val="270"/>
        </w:trPr>
        <w:tc>
          <w:tcPr>
            <w:tcW w:w="46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9"/>
                <w:szCs w:val="19"/>
                <w:color w:val="auto"/>
              </w:rPr>
              <w:t>Statutory U.S. federal income tax rate</w:t>
            </w:r>
          </w:p>
        </w:tc>
        <w:tc>
          <w:tcPr>
            <w:tcW w:w="800" w:type="dxa"/>
            <w:vAlign w:val="bottom"/>
          </w:tcPr>
          <w:p>
            <w:pPr>
              <w:jc w:val="right"/>
              <w:spacing w:after="0"/>
              <w:rPr>
                <w:sz w:val="20"/>
                <w:szCs w:val="20"/>
                <w:color w:val="auto"/>
              </w:rPr>
            </w:pPr>
            <w:r>
              <w:rPr>
                <w:rFonts w:ascii="Arial" w:cs="Arial" w:eastAsia="Arial" w:hAnsi="Arial"/>
                <w:sz w:val="19"/>
                <w:szCs w:val="19"/>
                <w:color w:val="auto"/>
              </w:rPr>
              <w:t>35.0 %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35.0 %</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35.0 %</w:t>
            </w:r>
          </w:p>
        </w:tc>
      </w:tr>
      <w:tr>
        <w:trPr>
          <w:trHeight w:val="270"/>
        </w:trPr>
        <w:tc>
          <w:tcPr>
            <w:tcW w:w="460" w:type="dxa"/>
            <w:vAlign w:val="bottom"/>
          </w:tcPr>
          <w:p>
            <w:pPr>
              <w:spacing w:after="0"/>
              <w:rPr>
                <w:sz w:val="23"/>
                <w:szCs w:val="23"/>
                <w:color w:val="auto"/>
              </w:rPr>
            </w:pPr>
          </w:p>
        </w:tc>
        <w:tc>
          <w:tcPr>
            <w:tcW w:w="74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Taxes on foreign earnings below U.S. tax rate(1)</w:t>
            </w:r>
          </w:p>
        </w:tc>
        <w:tc>
          <w:tcPr>
            <w:tcW w:w="8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(7.4 )</w:t>
            </w:r>
          </w:p>
        </w:tc>
        <w:tc>
          <w:tcPr>
            <w:tcW w:w="116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(10.4 )</w:t>
            </w:r>
          </w:p>
        </w:tc>
        <w:tc>
          <w:tcPr>
            <w:tcW w:w="1140" w:type="dxa"/>
            <w:vAlign w:val="bottom"/>
            <w:gridSpan w:val="2"/>
            <w:shd w:val="clear" w:color="auto" w:fill="E5FFFF"/>
          </w:tcPr>
          <w:p>
            <w:pPr>
              <w:jc w:val="right"/>
              <w:ind w:right="83"/>
              <w:spacing w:after="0"/>
              <w:rPr>
                <w:sz w:val="20"/>
                <w:szCs w:val="20"/>
                <w:color w:val="auto"/>
              </w:rPr>
            </w:pPr>
            <w:r>
              <w:rPr>
                <w:rFonts w:ascii="Arial" w:cs="Arial" w:eastAsia="Arial" w:hAnsi="Arial"/>
                <w:sz w:val="19"/>
                <w:szCs w:val="19"/>
                <w:color w:val="auto"/>
              </w:rPr>
              <w:t>(7.3 )</w:t>
            </w:r>
          </w:p>
        </w:tc>
      </w:tr>
      <w:tr>
        <w:trPr>
          <w:trHeight w:val="270"/>
        </w:trPr>
        <w:tc>
          <w:tcPr>
            <w:tcW w:w="46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9"/>
                <w:szCs w:val="19"/>
                <w:color w:val="auto"/>
              </w:rPr>
              <w:t>State income taxes(1)</w:t>
            </w:r>
          </w:p>
        </w:tc>
        <w:tc>
          <w:tcPr>
            <w:tcW w:w="800" w:type="dxa"/>
            <w:vAlign w:val="bottom"/>
          </w:tcPr>
          <w:p>
            <w:pPr>
              <w:jc w:val="right"/>
              <w:ind w:right="166"/>
              <w:spacing w:after="0"/>
              <w:rPr>
                <w:sz w:val="20"/>
                <w:szCs w:val="20"/>
                <w:color w:val="auto"/>
              </w:rPr>
            </w:pPr>
            <w:r>
              <w:rPr>
                <w:rFonts w:ascii="Arial" w:cs="Arial" w:eastAsia="Arial" w:hAnsi="Arial"/>
                <w:sz w:val="19"/>
                <w:szCs w:val="19"/>
                <w:color w:val="auto"/>
              </w:rPr>
              <w:t>0.3</w:t>
            </w:r>
          </w:p>
        </w:tc>
        <w:tc>
          <w:tcPr>
            <w:tcW w:w="1160" w:type="dxa"/>
            <w:vAlign w:val="bottom"/>
            <w:gridSpan w:val="2"/>
          </w:tcPr>
          <w:p>
            <w:pPr>
              <w:jc w:val="right"/>
              <w:ind w:right="163"/>
              <w:spacing w:after="0"/>
              <w:rPr>
                <w:sz w:val="20"/>
                <w:szCs w:val="20"/>
                <w:color w:val="auto"/>
              </w:rPr>
            </w:pPr>
            <w:r>
              <w:rPr>
                <w:rFonts w:ascii="Arial" w:cs="Arial" w:eastAsia="Arial" w:hAnsi="Arial"/>
                <w:sz w:val="19"/>
                <w:szCs w:val="19"/>
                <w:color w:val="auto"/>
              </w:rPr>
              <w:t>0.7</w:t>
            </w:r>
          </w:p>
        </w:tc>
        <w:tc>
          <w:tcPr>
            <w:tcW w:w="1140" w:type="dxa"/>
            <w:vAlign w:val="bottom"/>
            <w:gridSpan w:val="2"/>
          </w:tcPr>
          <w:p>
            <w:pPr>
              <w:jc w:val="right"/>
              <w:ind w:right="183"/>
              <w:spacing w:after="0"/>
              <w:rPr>
                <w:sz w:val="20"/>
                <w:szCs w:val="20"/>
                <w:color w:val="auto"/>
              </w:rPr>
            </w:pPr>
            <w:r>
              <w:rPr>
                <w:rFonts w:ascii="Arial" w:cs="Arial" w:eastAsia="Arial" w:hAnsi="Arial"/>
                <w:sz w:val="19"/>
                <w:szCs w:val="19"/>
                <w:color w:val="auto"/>
              </w:rPr>
              <w:t>1.5</w:t>
            </w:r>
          </w:p>
        </w:tc>
      </w:tr>
      <w:tr>
        <w:trPr>
          <w:trHeight w:val="270"/>
        </w:trPr>
        <w:tc>
          <w:tcPr>
            <w:tcW w:w="460" w:type="dxa"/>
            <w:vAlign w:val="bottom"/>
          </w:tcPr>
          <w:p>
            <w:pPr>
              <w:spacing w:after="0"/>
              <w:rPr>
                <w:sz w:val="23"/>
                <w:szCs w:val="23"/>
                <w:color w:val="auto"/>
              </w:rPr>
            </w:pPr>
          </w:p>
        </w:tc>
        <w:tc>
          <w:tcPr>
            <w:tcW w:w="74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Manufacturing incentives</w:t>
            </w:r>
          </w:p>
        </w:tc>
        <w:tc>
          <w:tcPr>
            <w:tcW w:w="8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(1.6 )</w:t>
            </w:r>
          </w:p>
        </w:tc>
        <w:tc>
          <w:tcPr>
            <w:tcW w:w="116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(1.7 )</w:t>
            </w:r>
          </w:p>
        </w:tc>
        <w:tc>
          <w:tcPr>
            <w:tcW w:w="30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183"/>
              <w:spacing w:after="0"/>
              <w:rPr>
                <w:sz w:val="20"/>
                <w:szCs w:val="20"/>
                <w:color w:val="auto"/>
              </w:rPr>
            </w:pPr>
            <w:r>
              <w:rPr>
                <w:rFonts w:ascii="Arial" w:cs="Arial" w:eastAsia="Arial" w:hAnsi="Arial"/>
                <w:sz w:val="19"/>
                <w:szCs w:val="19"/>
                <w:color w:val="auto"/>
              </w:rPr>
              <w:t>—</w:t>
            </w:r>
          </w:p>
        </w:tc>
      </w:tr>
      <w:tr>
        <w:trPr>
          <w:trHeight w:val="270"/>
        </w:trPr>
        <w:tc>
          <w:tcPr>
            <w:tcW w:w="46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9"/>
                <w:szCs w:val="19"/>
                <w:color w:val="auto"/>
              </w:rPr>
              <w:t>ESOP dividend tax benefit</w:t>
            </w:r>
          </w:p>
        </w:tc>
        <w:tc>
          <w:tcPr>
            <w:tcW w:w="800" w:type="dxa"/>
            <w:vAlign w:val="bottom"/>
          </w:tcPr>
          <w:p>
            <w:pPr>
              <w:jc w:val="right"/>
              <w:ind w:right="66"/>
              <w:spacing w:after="0"/>
              <w:rPr>
                <w:sz w:val="20"/>
                <w:szCs w:val="20"/>
                <w:color w:val="auto"/>
              </w:rPr>
            </w:pPr>
            <w:r>
              <w:rPr>
                <w:rFonts w:ascii="Arial" w:cs="Arial" w:eastAsia="Arial" w:hAnsi="Arial"/>
                <w:sz w:val="19"/>
                <w:szCs w:val="19"/>
                <w:color w:val="auto"/>
              </w:rPr>
              <w:t>(0.6 )</w:t>
            </w:r>
          </w:p>
        </w:tc>
        <w:tc>
          <w:tcPr>
            <w:tcW w:w="1160" w:type="dxa"/>
            <w:vAlign w:val="bottom"/>
            <w:gridSpan w:val="2"/>
          </w:tcPr>
          <w:p>
            <w:pPr>
              <w:jc w:val="right"/>
              <w:ind w:right="63"/>
              <w:spacing w:after="0"/>
              <w:rPr>
                <w:sz w:val="20"/>
                <w:szCs w:val="20"/>
                <w:color w:val="auto"/>
              </w:rPr>
            </w:pPr>
            <w:r>
              <w:rPr>
                <w:rFonts w:ascii="Arial" w:cs="Arial" w:eastAsia="Arial" w:hAnsi="Arial"/>
                <w:sz w:val="19"/>
                <w:szCs w:val="19"/>
                <w:color w:val="auto"/>
              </w:rPr>
              <w:t>(1.1 )</w:t>
            </w:r>
          </w:p>
        </w:tc>
        <w:tc>
          <w:tcPr>
            <w:tcW w:w="1140" w:type="dxa"/>
            <w:vAlign w:val="bottom"/>
            <w:gridSpan w:val="2"/>
          </w:tcPr>
          <w:p>
            <w:pPr>
              <w:jc w:val="right"/>
              <w:ind w:right="83"/>
              <w:spacing w:after="0"/>
              <w:rPr>
                <w:sz w:val="20"/>
                <w:szCs w:val="20"/>
                <w:color w:val="auto"/>
              </w:rPr>
            </w:pPr>
            <w:r>
              <w:rPr>
                <w:rFonts w:ascii="Arial" w:cs="Arial" w:eastAsia="Arial" w:hAnsi="Arial"/>
                <w:sz w:val="19"/>
                <w:szCs w:val="19"/>
                <w:color w:val="auto"/>
              </w:rPr>
              <w:t>(0.8 )</w:t>
            </w:r>
          </w:p>
        </w:tc>
      </w:tr>
      <w:tr>
        <w:trPr>
          <w:trHeight w:val="270"/>
        </w:trPr>
        <w:tc>
          <w:tcPr>
            <w:tcW w:w="460" w:type="dxa"/>
            <w:vAlign w:val="bottom"/>
          </w:tcPr>
          <w:p>
            <w:pPr>
              <w:spacing w:after="0"/>
              <w:rPr>
                <w:sz w:val="23"/>
                <w:szCs w:val="23"/>
                <w:color w:val="auto"/>
              </w:rPr>
            </w:pPr>
          </w:p>
        </w:tc>
        <w:tc>
          <w:tcPr>
            <w:tcW w:w="74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Tax credits</w:t>
            </w:r>
          </w:p>
        </w:tc>
        <w:tc>
          <w:tcPr>
            <w:tcW w:w="8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(0.4 )</w:t>
            </w:r>
          </w:p>
        </w:tc>
        <w:tc>
          <w:tcPr>
            <w:tcW w:w="116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(2.3 )</w:t>
            </w:r>
          </w:p>
        </w:tc>
        <w:tc>
          <w:tcPr>
            <w:tcW w:w="1140" w:type="dxa"/>
            <w:vAlign w:val="bottom"/>
            <w:gridSpan w:val="2"/>
            <w:shd w:val="clear" w:color="auto" w:fill="E5FFFF"/>
          </w:tcPr>
          <w:p>
            <w:pPr>
              <w:jc w:val="right"/>
              <w:ind w:right="83"/>
              <w:spacing w:after="0"/>
              <w:rPr>
                <w:sz w:val="20"/>
                <w:szCs w:val="20"/>
                <w:color w:val="auto"/>
              </w:rPr>
            </w:pPr>
            <w:r>
              <w:rPr>
                <w:rFonts w:ascii="Arial" w:cs="Arial" w:eastAsia="Arial" w:hAnsi="Arial"/>
                <w:sz w:val="19"/>
                <w:szCs w:val="19"/>
                <w:color w:val="auto"/>
              </w:rPr>
              <w:t>(1.2 )</w:t>
            </w:r>
          </w:p>
        </w:tc>
      </w:tr>
      <w:tr>
        <w:trPr>
          <w:trHeight w:val="270"/>
        </w:trPr>
        <w:tc>
          <w:tcPr>
            <w:tcW w:w="46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9"/>
                <w:szCs w:val="19"/>
                <w:color w:val="auto"/>
              </w:rPr>
              <w:t>Audit settlements</w:t>
            </w:r>
          </w:p>
        </w:tc>
        <w:tc>
          <w:tcPr>
            <w:tcW w:w="800" w:type="dxa"/>
            <w:vAlign w:val="bottom"/>
          </w:tcPr>
          <w:p>
            <w:pPr>
              <w:jc w:val="right"/>
              <w:ind w:right="166"/>
              <w:spacing w:after="0"/>
              <w:rPr>
                <w:sz w:val="20"/>
                <w:szCs w:val="20"/>
                <w:color w:val="auto"/>
              </w:rPr>
            </w:pPr>
            <w:r>
              <w:rPr>
                <w:rFonts w:ascii="Arial" w:cs="Arial" w:eastAsia="Arial" w:hAnsi="Arial"/>
                <w:sz w:val="19"/>
                <w:szCs w:val="19"/>
                <w:color w:val="auto"/>
              </w:rPr>
              <w:t>—</w:t>
            </w:r>
          </w:p>
        </w:tc>
        <w:tc>
          <w:tcPr>
            <w:tcW w:w="1160" w:type="dxa"/>
            <w:vAlign w:val="bottom"/>
            <w:gridSpan w:val="2"/>
          </w:tcPr>
          <w:p>
            <w:pPr>
              <w:jc w:val="right"/>
              <w:ind w:right="63"/>
              <w:spacing w:after="0"/>
              <w:rPr>
                <w:sz w:val="20"/>
                <w:szCs w:val="20"/>
                <w:color w:val="auto"/>
              </w:rPr>
            </w:pPr>
            <w:r>
              <w:rPr>
                <w:rFonts w:ascii="Arial" w:cs="Arial" w:eastAsia="Arial" w:hAnsi="Arial"/>
                <w:sz w:val="19"/>
                <w:szCs w:val="19"/>
                <w:color w:val="auto"/>
              </w:rPr>
              <w:t>(2.0 )</w:t>
            </w:r>
          </w:p>
        </w:tc>
        <w:tc>
          <w:tcPr>
            <w:tcW w:w="1140" w:type="dxa"/>
            <w:vAlign w:val="bottom"/>
            <w:gridSpan w:val="2"/>
          </w:tcPr>
          <w:p>
            <w:pPr>
              <w:jc w:val="right"/>
              <w:ind w:right="183"/>
              <w:spacing w:after="0"/>
              <w:rPr>
                <w:sz w:val="20"/>
                <w:szCs w:val="20"/>
                <w:color w:val="auto"/>
              </w:rPr>
            </w:pPr>
            <w:r>
              <w:rPr>
                <w:rFonts w:ascii="Arial" w:cs="Arial" w:eastAsia="Arial" w:hAnsi="Arial"/>
                <w:sz w:val="19"/>
                <w:szCs w:val="19"/>
                <w:color w:val="auto"/>
              </w:rPr>
              <w:t>0.1</w:t>
            </w:r>
          </w:p>
        </w:tc>
      </w:tr>
      <w:tr>
        <w:trPr>
          <w:trHeight w:val="270"/>
        </w:trPr>
        <w:tc>
          <w:tcPr>
            <w:tcW w:w="460" w:type="dxa"/>
            <w:vAlign w:val="bottom"/>
          </w:tcPr>
          <w:p>
            <w:pPr>
              <w:spacing w:after="0"/>
              <w:rPr>
                <w:sz w:val="23"/>
                <w:szCs w:val="23"/>
                <w:color w:val="auto"/>
              </w:rPr>
            </w:pPr>
          </w:p>
        </w:tc>
        <w:tc>
          <w:tcPr>
            <w:tcW w:w="74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All other items—net</w:t>
            </w:r>
          </w:p>
        </w:tc>
        <w:tc>
          <w:tcPr>
            <w:tcW w:w="80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(0.9 )</w:t>
            </w:r>
          </w:p>
        </w:tc>
        <w:tc>
          <w:tcPr>
            <w:tcW w:w="280" w:type="dxa"/>
            <w:vAlign w:val="bottom"/>
            <w:shd w:val="clear" w:color="auto" w:fill="E5FFFF"/>
          </w:tcPr>
          <w:p>
            <w:pPr>
              <w:spacing w:after="0"/>
              <w:rPr>
                <w:sz w:val="23"/>
                <w:szCs w:val="23"/>
                <w:color w:val="auto"/>
              </w:rPr>
            </w:pPr>
          </w:p>
        </w:tc>
        <w:tc>
          <w:tcPr>
            <w:tcW w:w="880" w:type="dxa"/>
            <w:vAlign w:val="bottom"/>
            <w:tcBorders>
              <w:bottom w:val="single" w:sz="8" w:color="auto"/>
            </w:tcBorders>
            <w:shd w:val="clear" w:color="auto" w:fill="E5FFFF"/>
          </w:tcPr>
          <w:p>
            <w:pPr>
              <w:jc w:val="right"/>
              <w:ind w:right="163"/>
              <w:spacing w:after="0"/>
              <w:rPr>
                <w:sz w:val="20"/>
                <w:szCs w:val="20"/>
                <w:color w:val="auto"/>
              </w:rPr>
            </w:pPr>
            <w:r>
              <w:rPr>
                <w:rFonts w:ascii="Arial" w:cs="Arial" w:eastAsia="Arial" w:hAnsi="Arial"/>
                <w:sz w:val="19"/>
                <w:szCs w:val="19"/>
                <w:color w:val="auto"/>
              </w:rPr>
              <w:t>0.1</w:t>
            </w:r>
          </w:p>
        </w:tc>
        <w:tc>
          <w:tcPr>
            <w:tcW w:w="30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183"/>
              <w:spacing w:after="0"/>
              <w:rPr>
                <w:sz w:val="20"/>
                <w:szCs w:val="20"/>
                <w:color w:val="auto"/>
              </w:rPr>
            </w:pPr>
            <w:r>
              <w:rPr>
                <w:rFonts w:ascii="Arial" w:cs="Arial" w:eastAsia="Arial" w:hAnsi="Arial"/>
                <w:sz w:val="19"/>
                <w:szCs w:val="19"/>
                <w:color w:val="auto"/>
              </w:rPr>
              <w:t>0.8</w:t>
            </w:r>
          </w:p>
        </w:tc>
      </w:tr>
      <w:tr>
        <w:trPr>
          <w:trHeight w:val="304"/>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24.4 %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18.3 %</w:t>
            </w:r>
          </w:p>
        </w:tc>
        <w:tc>
          <w:tcPr>
            <w:tcW w:w="1140" w:type="dxa"/>
            <w:vAlign w:val="bottom"/>
            <w:gridSpan w:val="2"/>
          </w:tcPr>
          <w:p>
            <w:pPr>
              <w:jc w:val="right"/>
              <w:spacing w:after="0"/>
              <w:rPr>
                <w:sz w:val="20"/>
                <w:szCs w:val="20"/>
                <w:color w:val="auto"/>
              </w:rPr>
            </w:pPr>
            <w:r>
              <w:rPr>
                <w:rFonts w:ascii="Arial" w:cs="Arial" w:eastAsia="Arial" w:hAnsi="Arial"/>
                <w:sz w:val="19"/>
                <w:szCs w:val="19"/>
                <w:color w:val="auto"/>
              </w:rPr>
              <w:t>28.1 %</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4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Net of changes in valuation allowance and tax reserves</w:t>
      </w:r>
    </w:p>
    <w:p>
      <w:pPr>
        <w:spacing w:after="0" w:line="10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effective tax rate increased by 6.1 percentage points in 2012 compared with 2011 primarily due to a change in the mix of earnings taxed at higher rates (primarily driven by an approximate 6.1 percentage point impact from the decrease in pension mark-to-market expense), a decreased benefit from valuation allowances, a decreased benefit from the settlement of tax audits and the absence of the U.S. R&amp;D tax credit, partially offset by a decreased expense related to tax reserves. The foreign effective tax rate was 17.0 percent, a decrease of approximately 4.1 percentage points which primarily consisted of a 10.0 percent impact related to a decrease in tax reserves, partially offset by a 5.2 percent impact from increased valuation allowances on net operating losses primarily due to a decrease in Luxembourg and French earnings available to be offset by net operating loss carry forwards and a 1.4 percent impact from tax expense related to foreign exchange. The effective tax rate was lower than the U.S. statutory rate of 35 percent primarily due to earnings taxed at lower foreign rates.</w:t>
      </w:r>
    </w:p>
    <w:p>
      <w:pPr>
        <w:spacing w:after="0" w:line="95"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The effective tax rate decreased by 9.8 percentage points in 2011 compared to 2010 primarily due to a change in the mix of earnings between U.S. and foreign sources related to higher U.S. pension expense (primarily driven by an approximate 7.6 percentage point impact which resulted from the increase in pension mark-to-market expense), an increased benefit from manufacturing incentives, an increased benefit from the favorable settlement of tax audits and an increased benefit from a lower foreign effective tax rate. The foreign effective tax rate was 21.1 percent, a decrease of approximately 4.9 percentage points which primarily consisted of (i) a 5.1 percent impact from decreased valuation allowances on net operating losses primarily due to an increase in German earnings available to be offset by net operating loss carry forwards; (ii) a 2.4 percent impact from tax benefits related to foreign exchange and investment losses; (iii) a 1.2 percent impact from an increased benefit in tax credits and lower statutory tax rates and (iv) a 4.1 percent impact related to an increase in tax reserves. The effective tax rate was lower than the U.S. statutory rate of 35 percent primarily due to earnings taxed at lower foreign rates.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 (liabilities)</w:t>
      </w:r>
    </w:p>
    <w:p>
      <w:pPr>
        <w:spacing w:after="0" w:line="130" w:lineRule="exact"/>
        <w:rPr>
          <w:sz w:val="20"/>
          <w:szCs w:val="20"/>
          <w:color w:val="auto"/>
        </w:rPr>
      </w:pPr>
    </w:p>
    <w:p>
      <w:pPr>
        <w:jc w:val="both"/>
        <w:ind w:right="60" w:firstLine="357"/>
        <w:spacing w:after="0" w:line="245" w:lineRule="auto"/>
        <w:rPr>
          <w:sz w:val="20"/>
          <w:szCs w:val="20"/>
          <w:color w:val="auto"/>
        </w:rPr>
      </w:pPr>
      <w:r>
        <w:rPr>
          <w:rFonts w:ascii="Arial" w:cs="Arial" w:eastAsia="Arial" w:hAnsi="Arial"/>
          <w:sz w:val="19"/>
          <w:szCs w:val="19"/>
          <w:color w:val="auto"/>
        </w:rPr>
        <w:t>Deferred income taxes represent the future tax effects of transactions which are reported in different periods for tax and financial reporting purposes. The tax effects of temporary differences and tax carryforwards which give rise to future income tax benefits and payables are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2011</w:t>
            </w:r>
          </w:p>
        </w:tc>
      </w:tr>
      <w:tr>
        <w:trPr>
          <w:trHeight w:val="237"/>
        </w:trPr>
        <w:tc>
          <w:tcPr>
            <w:tcW w:w="8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Property, plant and equipment basis differences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(928 )</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(1,097 )</w:t>
            </w:r>
          </w:p>
        </w:tc>
      </w:tr>
      <w:tr>
        <w:trPr>
          <w:trHeight w:val="270"/>
        </w:trPr>
        <w:tc>
          <w:tcPr>
            <w:tcW w:w="8140" w:type="dxa"/>
            <w:vAlign w:val="bottom"/>
          </w:tcPr>
          <w:p>
            <w:pPr>
              <w:ind w:left="20"/>
              <w:spacing w:after="0"/>
              <w:rPr>
                <w:sz w:val="20"/>
                <w:szCs w:val="20"/>
                <w:color w:val="auto"/>
              </w:rPr>
            </w:pPr>
            <w:r>
              <w:rPr>
                <w:rFonts w:ascii="Arial" w:cs="Arial" w:eastAsia="Arial" w:hAnsi="Arial"/>
                <w:sz w:val="19"/>
                <w:szCs w:val="19"/>
                <w:color w:val="auto"/>
              </w:rPr>
              <w:t>Postretirement benefits other than pensions and post employment benefits</w:t>
            </w:r>
          </w:p>
        </w:tc>
        <w:tc>
          <w:tcPr>
            <w:tcW w:w="2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9"/>
                <w:szCs w:val="19"/>
                <w:color w:val="auto"/>
              </w:rPr>
              <w:t>620</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571</w:t>
            </w:r>
          </w:p>
        </w:tc>
      </w:tr>
      <w:tr>
        <w:trPr>
          <w:trHeight w:val="270"/>
        </w:trPr>
        <w:tc>
          <w:tcPr>
            <w:tcW w:w="8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 and other asset basis differences</w:t>
            </w:r>
          </w:p>
        </w:tc>
        <w:tc>
          <w:tcPr>
            <w:tcW w:w="24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(1,084 )</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(970 )</w:t>
            </w:r>
          </w:p>
        </w:tc>
      </w:tr>
      <w:tr>
        <w:trPr>
          <w:trHeight w:val="270"/>
        </w:trPr>
        <w:tc>
          <w:tcPr>
            <w:tcW w:w="8140" w:type="dxa"/>
            <w:vAlign w:val="bottom"/>
          </w:tcPr>
          <w:p>
            <w:pPr>
              <w:ind w:left="20"/>
              <w:spacing w:after="0"/>
              <w:rPr>
                <w:sz w:val="20"/>
                <w:szCs w:val="20"/>
                <w:color w:val="auto"/>
              </w:rPr>
            </w:pPr>
            <w:r>
              <w:rPr>
                <w:rFonts w:ascii="Arial" w:cs="Arial" w:eastAsia="Arial" w:hAnsi="Arial"/>
                <w:sz w:val="19"/>
                <w:szCs w:val="19"/>
                <w:color w:val="auto"/>
              </w:rPr>
              <w:t>Other accrued items</w:t>
            </w:r>
          </w:p>
        </w:tc>
        <w:tc>
          <w:tcPr>
            <w:tcW w:w="2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9"/>
                <w:szCs w:val="19"/>
                <w:color w:val="auto"/>
              </w:rPr>
              <w:t>2,918</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2,852</w:t>
            </w:r>
          </w:p>
        </w:tc>
      </w:tr>
      <w:tr>
        <w:trPr>
          <w:trHeight w:val="270"/>
        </w:trPr>
        <w:tc>
          <w:tcPr>
            <w:tcW w:w="8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operating and capital losses</w:t>
            </w:r>
          </w:p>
        </w:tc>
        <w:tc>
          <w:tcPr>
            <w:tcW w:w="2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820</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810</w:t>
            </w:r>
          </w:p>
        </w:tc>
      </w:tr>
      <w:tr>
        <w:trPr>
          <w:trHeight w:val="270"/>
        </w:trPr>
        <w:tc>
          <w:tcPr>
            <w:tcW w:w="8140" w:type="dxa"/>
            <w:vAlign w:val="bottom"/>
          </w:tcPr>
          <w:p>
            <w:pPr>
              <w:ind w:left="20"/>
              <w:spacing w:after="0"/>
              <w:rPr>
                <w:sz w:val="20"/>
                <w:szCs w:val="20"/>
                <w:color w:val="auto"/>
              </w:rPr>
            </w:pPr>
            <w:r>
              <w:rPr>
                <w:rFonts w:ascii="Arial" w:cs="Arial" w:eastAsia="Arial" w:hAnsi="Arial"/>
                <w:sz w:val="19"/>
                <w:szCs w:val="19"/>
                <w:color w:val="auto"/>
              </w:rPr>
              <w:t>Tax credits</w:t>
            </w:r>
          </w:p>
        </w:tc>
        <w:tc>
          <w:tcPr>
            <w:tcW w:w="24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9"/>
                <w:szCs w:val="19"/>
                <w:color w:val="auto"/>
              </w:rPr>
              <w:t>232</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65"/>
              <w:spacing w:after="0"/>
              <w:rPr>
                <w:sz w:val="20"/>
                <w:szCs w:val="20"/>
                <w:color w:val="auto"/>
              </w:rPr>
            </w:pPr>
            <w:r>
              <w:rPr>
                <w:rFonts w:ascii="Arial" w:cs="Arial" w:eastAsia="Arial" w:hAnsi="Arial"/>
                <w:sz w:val="19"/>
                <w:szCs w:val="19"/>
                <w:color w:val="auto"/>
              </w:rPr>
              <w:t>379</w:t>
            </w:r>
          </w:p>
        </w:tc>
      </w:tr>
      <w:tr>
        <w:trPr>
          <w:trHeight w:val="270"/>
        </w:trPr>
        <w:tc>
          <w:tcPr>
            <w:tcW w:w="8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Undistributed earnings of subsidiaries</w:t>
            </w:r>
          </w:p>
        </w:tc>
        <w:tc>
          <w:tcPr>
            <w:tcW w:w="24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(60 )</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(57 )</w:t>
            </w:r>
          </w:p>
        </w:tc>
      </w:tr>
      <w:tr>
        <w:trPr>
          <w:trHeight w:val="270"/>
        </w:trPr>
        <w:tc>
          <w:tcPr>
            <w:tcW w:w="8140" w:type="dxa"/>
            <w:vAlign w:val="bottom"/>
          </w:tcPr>
          <w:p>
            <w:pPr>
              <w:ind w:left="20"/>
              <w:spacing w:after="0"/>
              <w:rPr>
                <w:sz w:val="20"/>
                <w:szCs w:val="20"/>
                <w:color w:val="auto"/>
              </w:rPr>
            </w:pPr>
            <w:r>
              <w:rPr>
                <w:rFonts w:ascii="Arial" w:cs="Arial" w:eastAsia="Arial" w:hAnsi="Arial"/>
                <w:sz w:val="19"/>
                <w:szCs w:val="19"/>
                <w:color w:val="auto"/>
              </w:rPr>
              <w:t>All other items—net</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(45 )</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(67 )</w:t>
            </w:r>
          </w:p>
        </w:tc>
      </w:tr>
      <w:tr>
        <w:trPr>
          <w:trHeight w:val="34"/>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2,473</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2,421</w:t>
            </w:r>
          </w:p>
        </w:tc>
      </w:tr>
      <w:tr>
        <w:trPr>
          <w:trHeight w:val="270"/>
        </w:trPr>
        <w:tc>
          <w:tcPr>
            <w:tcW w:w="8140" w:type="dxa"/>
            <w:vAlign w:val="bottom"/>
          </w:tcPr>
          <w:p>
            <w:pPr>
              <w:ind w:left="20"/>
              <w:spacing w:after="0"/>
              <w:rPr>
                <w:sz w:val="20"/>
                <w:szCs w:val="20"/>
                <w:color w:val="auto"/>
              </w:rPr>
            </w:pPr>
            <w:r>
              <w:rPr>
                <w:rFonts w:ascii="Arial" w:cs="Arial" w:eastAsia="Arial" w:hAnsi="Arial"/>
                <w:sz w:val="19"/>
                <w:szCs w:val="19"/>
                <w:color w:val="auto"/>
              </w:rPr>
              <w:t>Valuation allowance</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(598 )</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(591 )</w:t>
            </w:r>
          </w:p>
        </w:tc>
      </w:tr>
      <w:tr>
        <w:trPr>
          <w:trHeight w:val="34"/>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4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1,875</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1,830</w:t>
            </w:r>
          </w:p>
        </w:tc>
      </w:tr>
      <w:tr>
        <w:trPr>
          <w:trHeight w:val="20"/>
        </w:trPr>
        <w:tc>
          <w:tcPr>
            <w:tcW w:w="8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right="200" w:firstLine="357"/>
        <w:spacing w:after="0" w:line="245" w:lineRule="auto"/>
        <w:rPr>
          <w:sz w:val="20"/>
          <w:szCs w:val="20"/>
          <w:color w:val="auto"/>
        </w:rPr>
      </w:pPr>
      <w:r>
        <w:rPr>
          <w:rFonts w:ascii="Arial" w:cs="Arial" w:eastAsia="Arial" w:hAnsi="Arial"/>
          <w:sz w:val="19"/>
          <w:szCs w:val="19"/>
          <w:color w:val="auto"/>
        </w:rPr>
        <w:t>The Company has state tax net operating loss carryforwards of $3.0 billion at December 31, 2012 with various expiration dates through 2030. We also have foreign net operating and capital losses of $2.8 billion which are available to reduce future income tax payments in several countries, subject to varying expiration rules.</w:t>
      </w:r>
    </w:p>
    <w:p>
      <w:pPr>
        <w:spacing w:after="0" w:line="87"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We have U.S. federal tax credit carryforwards of $6 million at December 31, 2012 with various expiration dates through 2031. We also have state tax credit carryforwards of $55 million at December 31, 2012, including carryforwards of $33 million with various expiration dates through 2027 and tax credits of $22 million which are not subject to expiration.</w:t>
      </w:r>
    </w:p>
    <w:p>
      <w:pPr>
        <w:spacing w:after="0" w:line="87"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valuation allowance against deferred tax assets increased by $ 7 million in 2012 and decreased by $45 million and increased by $58 million in 2011 and 2010, respectively. The 2012 increase in the valuation allowance was primarily due to decreased earnings in France and Luxembourg, partially offset by a decrease in the valuation allowance related to purchase accounting for various acquisitions and audit settlements for various countries. The 2011 decrease in the valuation allowance was primarily due to decreased foreign net operating losses related to the Netherlands and Germany, partially offset by the increase in the valuation allowance of France, Luxembourg and Canada. The 2010 increase in the valuation allowance was primarily due to increased foreign net operating losses related to France, Luxembourg, and the Netherlands offset by the reversal of a valuation allowance related to Germany. The 2010 increase in valuation allowance also includes adjustments related to purchase accounting for various acquisitions.</w:t>
      </w:r>
    </w:p>
    <w:p>
      <w:pPr>
        <w:spacing w:after="0" w:line="291"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Federal income taxes have not been provided on undistributed earnings of the majority of our international subsidiaries as it is our intention to reinvest these earnings into the respective subsidiaries. At December 31, 2012 Honeywell has not provided for U.S. federal income and foreign withholding taxes on approximately $11.6 billion of such earnings of our non-U.S. operations.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had $722 million, $ 815 million and $757 million of unrecognized tax benefits as of December 31, 2012, 2011, and 2010 respectively. If recognized, $722 million would be recorded as a component of income tax expense as of December 31, 2012. For the year ended December 31, 2012, the Company decreased its unrecognized tax benefits by $93 million due to the expiration of various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9"/>
          <w:szCs w:val="19"/>
          <w:color w:val="auto"/>
        </w:rPr>
        <w:t>statute of limitations and settlements with tax authorities, partially offset by adjustments related to our ongoing assessment of the likelihood and amount of potential outcomes of current and future examinations. For the year ended December 31, 2011, the Company increased its unrecognized tax benefits by $ 58 million due to additional reserves for various international and U.S. tax audit matters, partially offset by adjustments related to our ongoing assessment of the likelihood and amount of potential outcomes of current and future examinations, the expiration of various statute of limitations, and settlements with tax authorities. The following table summarizes the activity related to our unrecognized tax benefits:</w:t>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700" w:type="dxa"/>
            <w:vAlign w:val="bottom"/>
          </w:tcPr>
          <w:p>
            <w:pPr>
              <w:spacing w:after="0"/>
              <w:rPr>
                <w:sz w:val="17"/>
                <w:szCs w:val="17"/>
                <w:color w:val="auto"/>
              </w:rPr>
            </w:pPr>
          </w:p>
        </w:tc>
        <w:tc>
          <w:tcPr>
            <w:tcW w:w="700" w:type="dxa"/>
            <w:vAlign w:val="bottom"/>
          </w:tcPr>
          <w:p>
            <w:pPr>
              <w:jc w:val="right"/>
              <w:ind w:right="6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25"/>
              <w:spacing w:after="0"/>
              <w:rPr>
                <w:sz w:val="20"/>
                <w:szCs w:val="20"/>
                <w:color w:val="auto"/>
              </w:rPr>
            </w:pPr>
            <w:r>
              <w:rPr>
                <w:rFonts w:ascii="Arial" w:cs="Arial" w:eastAsia="Arial" w:hAnsi="Arial"/>
                <w:sz w:val="16"/>
                <w:szCs w:val="16"/>
                <w:b w:val="1"/>
                <w:bCs w:val="1"/>
                <w:color w:val="auto"/>
              </w:rPr>
              <w:t>2011</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2010</w:t>
            </w:r>
          </w:p>
        </w:tc>
      </w:tr>
      <w:tr>
        <w:trPr>
          <w:trHeight w:val="237"/>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 in unrecognized tax benefits:</w:t>
            </w:r>
          </w:p>
        </w:tc>
        <w:tc>
          <w:tcPr>
            <w:tcW w:w="70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60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r>
      <w:tr>
        <w:trPr>
          <w:trHeight w:val="270"/>
        </w:trPr>
        <w:tc>
          <w:tcPr>
            <w:tcW w:w="7700" w:type="dxa"/>
            <w:vAlign w:val="bottom"/>
          </w:tcPr>
          <w:p>
            <w:pPr>
              <w:ind w:left="360"/>
              <w:spacing w:after="0"/>
              <w:rPr>
                <w:sz w:val="20"/>
                <w:szCs w:val="20"/>
                <w:color w:val="auto"/>
              </w:rPr>
            </w:pPr>
            <w:r>
              <w:rPr>
                <w:rFonts w:ascii="Arial" w:cs="Arial" w:eastAsia="Arial" w:hAnsi="Arial"/>
                <w:sz w:val="19"/>
                <w:szCs w:val="19"/>
                <w:color w:val="auto"/>
              </w:rPr>
              <w:t>Balance at beginning of year</w:t>
            </w:r>
          </w:p>
        </w:tc>
        <w:tc>
          <w:tcPr>
            <w:tcW w:w="700" w:type="dxa"/>
            <w:vAlign w:val="bottom"/>
          </w:tcPr>
          <w:p>
            <w:pPr>
              <w:jc w:val="right"/>
              <w:ind w:right="45"/>
              <w:spacing w:after="0"/>
              <w:rPr>
                <w:sz w:val="20"/>
                <w:szCs w:val="20"/>
                <w:color w:val="auto"/>
              </w:rPr>
            </w:pPr>
            <w:r>
              <w:rPr>
                <w:rFonts w:ascii="Arial" w:cs="Arial" w:eastAsia="Arial" w:hAnsi="Arial"/>
                <w:sz w:val="19"/>
                <w:szCs w:val="19"/>
                <w:color w:val="auto"/>
              </w:rPr>
              <w:t>$ 815</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ind w:right="45"/>
              <w:spacing w:after="0"/>
              <w:rPr>
                <w:sz w:val="20"/>
                <w:szCs w:val="20"/>
                <w:color w:val="auto"/>
              </w:rPr>
            </w:pPr>
            <w:r>
              <w:rPr>
                <w:rFonts w:ascii="Arial" w:cs="Arial" w:eastAsia="Arial" w:hAnsi="Arial"/>
                <w:sz w:val="19"/>
                <w:szCs w:val="19"/>
                <w:color w:val="auto"/>
              </w:rPr>
              <w:t>757</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$ 720</w:t>
            </w:r>
          </w:p>
        </w:tc>
      </w:tr>
      <w:tr>
        <w:trPr>
          <w:trHeight w:val="270"/>
        </w:trPr>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Gross increases related to current period tax positions</w:t>
            </w:r>
          </w:p>
        </w:tc>
        <w:tc>
          <w:tcPr>
            <w:tcW w:w="7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25</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46</w:t>
            </w:r>
          </w:p>
        </w:tc>
        <w:tc>
          <w:tcPr>
            <w:tcW w:w="102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37</w:t>
            </w:r>
          </w:p>
        </w:tc>
      </w:tr>
      <w:tr>
        <w:trPr>
          <w:trHeight w:val="270"/>
        </w:trPr>
        <w:tc>
          <w:tcPr>
            <w:tcW w:w="7700" w:type="dxa"/>
            <w:vAlign w:val="bottom"/>
          </w:tcPr>
          <w:p>
            <w:pPr>
              <w:ind w:left="360"/>
              <w:spacing w:after="0"/>
              <w:rPr>
                <w:sz w:val="20"/>
                <w:szCs w:val="20"/>
                <w:color w:val="auto"/>
              </w:rPr>
            </w:pPr>
            <w:r>
              <w:rPr>
                <w:rFonts w:ascii="Arial" w:cs="Arial" w:eastAsia="Arial" w:hAnsi="Arial"/>
                <w:sz w:val="19"/>
                <w:szCs w:val="19"/>
                <w:color w:val="auto"/>
              </w:rPr>
              <w:t>Gross increases related to prior periods tax positions</w:t>
            </w:r>
          </w:p>
        </w:tc>
        <w:tc>
          <w:tcPr>
            <w:tcW w:w="700" w:type="dxa"/>
            <w:vAlign w:val="bottom"/>
          </w:tcPr>
          <w:p>
            <w:pPr>
              <w:jc w:val="right"/>
              <w:ind w:right="45"/>
              <w:spacing w:after="0"/>
              <w:rPr>
                <w:sz w:val="20"/>
                <w:szCs w:val="20"/>
                <w:color w:val="auto"/>
              </w:rPr>
            </w:pPr>
            <w:r>
              <w:rPr>
                <w:rFonts w:ascii="Arial" w:cs="Arial" w:eastAsia="Arial" w:hAnsi="Arial"/>
                <w:sz w:val="19"/>
                <w:szCs w:val="19"/>
                <w:color w:val="auto"/>
              </w:rPr>
              <w:t>44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5"/>
              <w:spacing w:after="0"/>
              <w:rPr>
                <w:sz w:val="20"/>
                <w:szCs w:val="20"/>
                <w:color w:val="auto"/>
              </w:rPr>
            </w:pPr>
            <w:r>
              <w:rPr>
                <w:rFonts w:ascii="Arial" w:cs="Arial" w:eastAsia="Arial" w:hAnsi="Arial"/>
                <w:sz w:val="19"/>
                <w:szCs w:val="19"/>
                <w:color w:val="auto"/>
              </w:rPr>
              <w:t>327</w:t>
            </w:r>
          </w:p>
        </w:tc>
        <w:tc>
          <w:tcPr>
            <w:tcW w:w="1020" w:type="dxa"/>
            <w:vAlign w:val="bottom"/>
            <w:gridSpan w:val="2"/>
          </w:tcPr>
          <w:p>
            <w:pPr>
              <w:jc w:val="right"/>
              <w:ind w:right="160"/>
              <w:spacing w:after="0"/>
              <w:rPr>
                <w:sz w:val="20"/>
                <w:szCs w:val="20"/>
                <w:color w:val="auto"/>
              </w:rPr>
            </w:pPr>
            <w:r>
              <w:rPr>
                <w:rFonts w:ascii="Arial" w:cs="Arial" w:eastAsia="Arial" w:hAnsi="Arial"/>
                <w:sz w:val="19"/>
                <w:szCs w:val="19"/>
                <w:color w:val="auto"/>
              </w:rPr>
              <w:t>84</w:t>
            </w:r>
          </w:p>
        </w:tc>
      </w:tr>
      <w:tr>
        <w:trPr>
          <w:trHeight w:val="270"/>
        </w:trPr>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Gross decreases related to prior periods tax positions</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(56 )</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(41 )</w:t>
            </w:r>
          </w:p>
        </w:tc>
      </w:tr>
      <w:tr>
        <w:trPr>
          <w:trHeight w:val="270"/>
        </w:trPr>
        <w:tc>
          <w:tcPr>
            <w:tcW w:w="7700" w:type="dxa"/>
            <w:vAlign w:val="bottom"/>
          </w:tcPr>
          <w:p>
            <w:pPr>
              <w:ind w:left="360"/>
              <w:spacing w:after="0"/>
              <w:rPr>
                <w:sz w:val="20"/>
                <w:szCs w:val="20"/>
                <w:color w:val="auto"/>
              </w:rPr>
            </w:pPr>
            <w:r>
              <w:rPr>
                <w:rFonts w:ascii="Arial" w:cs="Arial" w:eastAsia="Arial" w:hAnsi="Arial"/>
                <w:sz w:val="19"/>
                <w:szCs w:val="19"/>
                <w:color w:val="auto"/>
              </w:rPr>
              <w:t>Decrease related to settlements with tax authorities</w:t>
            </w:r>
          </w:p>
        </w:tc>
        <w:tc>
          <w:tcPr>
            <w:tcW w:w="700" w:type="dxa"/>
            <w:vAlign w:val="bottom"/>
          </w:tcPr>
          <w:p>
            <w:pPr>
              <w:jc w:val="right"/>
              <w:spacing w:after="0"/>
              <w:rPr>
                <w:sz w:val="20"/>
                <w:szCs w:val="20"/>
                <w:color w:val="auto"/>
              </w:rPr>
            </w:pPr>
            <w:r>
              <w:rPr>
                <w:rFonts w:ascii="Arial" w:cs="Arial" w:eastAsia="Arial" w:hAnsi="Arial"/>
                <w:sz w:val="19"/>
                <w:szCs w:val="19"/>
                <w:color w:val="auto"/>
              </w:rPr>
              <w:t>(40 )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(237 )</w:t>
            </w: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(23 )</w:t>
            </w:r>
          </w:p>
        </w:tc>
      </w:tr>
      <w:tr>
        <w:trPr>
          <w:trHeight w:val="270"/>
        </w:trPr>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Expiration of the statute of limitations for the assessment of taxes</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(12 )</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(8 )</w:t>
            </w:r>
          </w:p>
        </w:tc>
      </w:tr>
      <w:tr>
        <w:trPr>
          <w:trHeight w:val="270"/>
        </w:trPr>
        <w:tc>
          <w:tcPr>
            <w:tcW w:w="7700" w:type="dxa"/>
            <w:vAlign w:val="bottom"/>
          </w:tcPr>
          <w:p>
            <w:pPr>
              <w:ind w:left="360"/>
              <w:spacing w:after="0"/>
              <w:rPr>
                <w:sz w:val="20"/>
                <w:szCs w:val="20"/>
                <w:color w:val="auto"/>
              </w:rPr>
            </w:pPr>
            <w:r>
              <w:rPr>
                <w:rFonts w:ascii="Arial" w:cs="Arial" w:eastAsia="Arial" w:hAnsi="Arial"/>
                <w:sz w:val="19"/>
                <w:szCs w:val="19"/>
                <w:color w:val="auto"/>
              </w:rPr>
              <w:t>Foreign currency translation</w:t>
            </w:r>
          </w:p>
        </w:tc>
        <w:tc>
          <w:tcPr>
            <w:tcW w:w="700" w:type="dxa"/>
            <w:vAlign w:val="bottom"/>
          </w:tcPr>
          <w:p>
            <w:pPr>
              <w:jc w:val="right"/>
              <w:ind w:right="45"/>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(10 )</w:t>
            </w:r>
          </w:p>
        </w:tc>
        <w:tc>
          <w:tcPr>
            <w:tcW w:w="1020" w:type="dxa"/>
            <w:vAlign w:val="bottom"/>
            <w:gridSpan w:val="2"/>
          </w:tcPr>
          <w:p>
            <w:pPr>
              <w:jc w:val="right"/>
              <w:ind w:right="60"/>
              <w:spacing w:after="0"/>
              <w:rPr>
                <w:sz w:val="20"/>
                <w:szCs w:val="20"/>
                <w:color w:val="auto"/>
              </w:rPr>
            </w:pPr>
            <w:r>
              <w:rPr>
                <w:rFonts w:ascii="Arial" w:cs="Arial" w:eastAsia="Arial" w:hAnsi="Arial"/>
                <w:sz w:val="19"/>
                <w:szCs w:val="19"/>
                <w:color w:val="auto"/>
              </w:rPr>
              <w:t>(12 )</w:t>
            </w:r>
          </w:p>
        </w:tc>
      </w:tr>
      <w:tr>
        <w:trPr>
          <w:trHeight w:val="34"/>
        </w:trPr>
        <w:tc>
          <w:tcPr>
            <w:tcW w:w="77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r>
      <w:tr>
        <w:trPr>
          <w:trHeight w:val="270"/>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end of year</w:t>
            </w:r>
          </w:p>
        </w:tc>
        <w:tc>
          <w:tcPr>
            <w:tcW w:w="7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$ 722</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815</w:t>
            </w:r>
          </w:p>
        </w:tc>
        <w:tc>
          <w:tcPr>
            <w:tcW w:w="102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$ 757</w:t>
            </w:r>
          </w:p>
        </w:tc>
      </w:tr>
      <w:tr>
        <w:trPr>
          <w:trHeight w:val="20"/>
        </w:trPr>
        <w:tc>
          <w:tcPr>
            <w:tcW w:w="7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Generally, our uncertain tax positions are related to tax years that remain subject to examination by the relevant tax authorities.</w:t>
      </w:r>
    </w:p>
    <w:p>
      <w:pPr>
        <w:spacing w:after="0"/>
        <w:rPr>
          <w:sz w:val="20"/>
          <w:szCs w:val="20"/>
          <w:color w:val="auto"/>
        </w:rPr>
      </w:pPr>
      <w:r>
        <w:rPr>
          <w:rFonts w:ascii="Arial" w:cs="Arial" w:eastAsia="Arial" w:hAnsi="Arial"/>
          <w:sz w:val="19"/>
          <w:szCs w:val="19"/>
          <w:color w:val="auto"/>
        </w:rPr>
        <w:t>The following table summarizes these open tax years by major jurisdiction as of December 31, 2012:</w:t>
      </w:r>
    </w:p>
    <w:p>
      <w:pPr>
        <w:spacing w:after="0" w:line="5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Open Tax Year</w:t>
            </w:r>
          </w:p>
        </w:tc>
      </w:tr>
      <w:tr>
        <w:trPr>
          <w:trHeight w:val="168"/>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Examination in</w:t>
            </w:r>
          </w:p>
        </w:tc>
        <w:tc>
          <w:tcPr>
            <w:tcW w:w="300" w:type="dxa"/>
            <w:vAlign w:val="bottom"/>
          </w:tcPr>
          <w:p>
            <w:pPr>
              <w:spacing w:after="0"/>
              <w:rPr>
                <w:sz w:val="14"/>
                <w:szCs w:val="14"/>
                <w:color w:val="auto"/>
              </w:rPr>
            </w:pPr>
          </w:p>
        </w:tc>
        <w:tc>
          <w:tcPr>
            <w:tcW w:w="30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Examination not yet</w:t>
            </w:r>
          </w:p>
        </w:tc>
      </w:tr>
      <w:tr>
        <w:trPr>
          <w:trHeight w:val="20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c>
          <w:tcPr>
            <w:tcW w:w="30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progress</w:t>
            </w:r>
          </w:p>
        </w:tc>
        <w:tc>
          <w:tcPr>
            <w:tcW w:w="300" w:type="dxa"/>
            <w:vAlign w:val="bottom"/>
          </w:tcPr>
          <w:p>
            <w:pPr>
              <w:spacing w:after="0"/>
              <w:rPr>
                <w:sz w:val="17"/>
                <w:szCs w:val="17"/>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initiated</w:t>
            </w:r>
          </w:p>
        </w:tc>
      </w:tr>
      <w:tr>
        <w:trPr>
          <w:trHeight w:val="264"/>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United States(1)</w:t>
            </w:r>
          </w:p>
        </w:tc>
        <w:tc>
          <w:tcPr>
            <w:tcW w:w="300" w:type="dxa"/>
            <w:vAlign w:val="bottom"/>
            <w:shd w:val="clear" w:color="auto" w:fill="E5FFFF"/>
          </w:tcPr>
          <w:p>
            <w:pPr>
              <w:spacing w:after="0"/>
              <w:rPr>
                <w:sz w:val="22"/>
                <w:szCs w:val="22"/>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2001 – 2011</w:t>
            </w:r>
          </w:p>
        </w:tc>
        <w:tc>
          <w:tcPr>
            <w:tcW w:w="300" w:type="dxa"/>
            <w:vAlign w:val="bottom"/>
            <w:shd w:val="clear" w:color="auto" w:fill="E5FFFF"/>
          </w:tcPr>
          <w:p>
            <w:pPr>
              <w:spacing w:after="0"/>
              <w:rPr>
                <w:sz w:val="22"/>
                <w:szCs w:val="22"/>
                <w:color w:val="auto"/>
              </w:rPr>
            </w:pPr>
          </w:p>
        </w:tc>
        <w:tc>
          <w:tcPr>
            <w:tcW w:w="30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2005 – 2012</w:t>
            </w:r>
          </w:p>
        </w:tc>
      </w:tr>
      <w:tr>
        <w:trPr>
          <w:trHeight w:val="270"/>
        </w:trPr>
        <w:tc>
          <w:tcPr>
            <w:tcW w:w="5320" w:type="dxa"/>
            <w:vAlign w:val="bottom"/>
          </w:tcPr>
          <w:p>
            <w:pPr>
              <w:ind w:left="20"/>
              <w:spacing w:after="0"/>
              <w:rPr>
                <w:sz w:val="20"/>
                <w:szCs w:val="20"/>
                <w:color w:val="auto"/>
              </w:rPr>
            </w:pPr>
            <w:r>
              <w:rPr>
                <w:rFonts w:ascii="Arial" w:cs="Arial" w:eastAsia="Arial" w:hAnsi="Arial"/>
                <w:sz w:val="19"/>
                <w:szCs w:val="19"/>
                <w:color w:val="auto"/>
              </w:rPr>
              <w:t>United Kingdom</w:t>
            </w:r>
          </w:p>
        </w:tc>
        <w:tc>
          <w:tcPr>
            <w:tcW w:w="3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9"/>
                <w:szCs w:val="19"/>
                <w:color w:val="auto"/>
              </w:rPr>
              <w:t>2011 – 2012</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Canada(1)</w:t>
            </w: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2006 – 2010</w:t>
            </w:r>
          </w:p>
        </w:tc>
        <w:tc>
          <w:tcPr>
            <w:tcW w:w="300" w:type="dxa"/>
            <w:vAlign w:val="bottom"/>
            <w:shd w:val="clear" w:color="auto" w:fill="E5FFFF"/>
          </w:tcPr>
          <w:p>
            <w:pPr>
              <w:spacing w:after="0"/>
              <w:rPr>
                <w:sz w:val="23"/>
                <w:szCs w:val="23"/>
                <w:color w:val="auto"/>
              </w:rPr>
            </w:pPr>
          </w:p>
        </w:tc>
        <w:tc>
          <w:tcPr>
            <w:tcW w:w="30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2011 – 2012</w:t>
            </w:r>
          </w:p>
        </w:tc>
      </w:tr>
      <w:tr>
        <w:trPr>
          <w:trHeight w:val="270"/>
        </w:trPr>
        <w:tc>
          <w:tcPr>
            <w:tcW w:w="5320" w:type="dxa"/>
            <w:vAlign w:val="bottom"/>
          </w:tcPr>
          <w:p>
            <w:pPr>
              <w:ind w:left="20"/>
              <w:spacing w:after="0"/>
              <w:rPr>
                <w:sz w:val="20"/>
                <w:szCs w:val="20"/>
                <w:color w:val="auto"/>
              </w:rPr>
            </w:pPr>
            <w:r>
              <w:rPr>
                <w:rFonts w:ascii="Arial" w:cs="Arial" w:eastAsia="Arial" w:hAnsi="Arial"/>
                <w:sz w:val="19"/>
                <w:szCs w:val="19"/>
                <w:color w:val="auto"/>
              </w:rPr>
              <w:t>Germany(1)</w:t>
            </w:r>
          </w:p>
        </w:tc>
        <w:tc>
          <w:tcPr>
            <w:tcW w:w="3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rPr>
              <w:t>2004 – 2009</w:t>
            </w:r>
          </w:p>
        </w:tc>
        <w:tc>
          <w:tcPr>
            <w:tcW w:w="30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9"/>
                <w:szCs w:val="19"/>
                <w:color w:val="auto"/>
              </w:rPr>
              <w:t>2010 – 2012</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France</w:t>
            </w: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2009 – 2011</w:t>
            </w:r>
          </w:p>
        </w:tc>
        <w:tc>
          <w:tcPr>
            <w:tcW w:w="300" w:type="dxa"/>
            <w:vAlign w:val="bottom"/>
            <w:shd w:val="clear" w:color="auto" w:fill="E5FFFF"/>
          </w:tcPr>
          <w:p>
            <w:pPr>
              <w:spacing w:after="0"/>
              <w:rPr>
                <w:sz w:val="23"/>
                <w:szCs w:val="23"/>
                <w:color w:val="auto"/>
              </w:rPr>
            </w:pPr>
          </w:p>
        </w:tc>
        <w:tc>
          <w:tcPr>
            <w:tcW w:w="30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2000 – 2008, 2012</w:t>
            </w:r>
          </w:p>
        </w:tc>
      </w:tr>
      <w:tr>
        <w:trPr>
          <w:trHeight w:val="270"/>
        </w:trPr>
        <w:tc>
          <w:tcPr>
            <w:tcW w:w="5320" w:type="dxa"/>
            <w:vAlign w:val="bottom"/>
          </w:tcPr>
          <w:p>
            <w:pPr>
              <w:ind w:left="20"/>
              <w:spacing w:after="0"/>
              <w:rPr>
                <w:sz w:val="20"/>
                <w:szCs w:val="20"/>
                <w:color w:val="auto"/>
              </w:rPr>
            </w:pPr>
            <w:r>
              <w:rPr>
                <w:rFonts w:ascii="Arial" w:cs="Arial" w:eastAsia="Arial" w:hAnsi="Arial"/>
                <w:sz w:val="19"/>
                <w:szCs w:val="19"/>
                <w:color w:val="auto"/>
              </w:rPr>
              <w:t>Netherlands</w:t>
            </w:r>
          </w:p>
        </w:tc>
        <w:tc>
          <w:tcPr>
            <w:tcW w:w="1840" w:type="dxa"/>
            <w:vAlign w:val="bottom"/>
            <w:gridSpan w:val="2"/>
          </w:tcPr>
          <w:p>
            <w:pPr>
              <w:jc w:val="center"/>
              <w:ind w:left="203"/>
              <w:spacing w:after="0"/>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9"/>
                <w:szCs w:val="19"/>
                <w:color w:val="auto"/>
              </w:rPr>
              <w:t>2010 – 2012</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Australia</w:t>
            </w: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c>
          <w:tcPr>
            <w:tcW w:w="300" w:type="dxa"/>
            <w:vAlign w:val="bottom"/>
            <w:shd w:val="clear" w:color="auto" w:fill="E5FFFF"/>
          </w:tcPr>
          <w:p>
            <w:pPr>
              <w:spacing w:after="0"/>
              <w:rPr>
                <w:sz w:val="23"/>
                <w:szCs w:val="23"/>
                <w:color w:val="auto"/>
              </w:rPr>
            </w:pPr>
          </w:p>
        </w:tc>
        <w:tc>
          <w:tcPr>
            <w:tcW w:w="30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2009 – 2012</w:t>
            </w:r>
          </w:p>
        </w:tc>
      </w:tr>
      <w:tr>
        <w:trPr>
          <w:trHeight w:val="270"/>
        </w:trPr>
        <w:tc>
          <w:tcPr>
            <w:tcW w:w="5320" w:type="dxa"/>
            <w:vAlign w:val="bottom"/>
          </w:tcPr>
          <w:p>
            <w:pPr>
              <w:ind w:left="20"/>
              <w:spacing w:after="0"/>
              <w:rPr>
                <w:sz w:val="20"/>
                <w:szCs w:val="20"/>
                <w:color w:val="auto"/>
              </w:rPr>
            </w:pPr>
            <w:r>
              <w:rPr>
                <w:rFonts w:ascii="Arial" w:cs="Arial" w:eastAsia="Arial" w:hAnsi="Arial"/>
                <w:sz w:val="19"/>
                <w:szCs w:val="19"/>
                <w:color w:val="auto"/>
              </w:rPr>
              <w:t>China</w:t>
            </w:r>
          </w:p>
        </w:tc>
        <w:tc>
          <w:tcPr>
            <w:tcW w:w="3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rPr>
              <w:t>2009 – 2010</w:t>
            </w:r>
          </w:p>
        </w:tc>
        <w:tc>
          <w:tcPr>
            <w:tcW w:w="30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9"/>
                <w:szCs w:val="19"/>
                <w:color w:val="auto"/>
              </w:rPr>
              <w:t>2006 – 2008, 2011 – 2012</w:t>
            </w:r>
          </w:p>
        </w:tc>
      </w:tr>
      <w:tr>
        <w:trPr>
          <w:trHeight w:val="270"/>
        </w:trPr>
        <w:tc>
          <w:tcPr>
            <w:tcW w:w="53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India</w:t>
            </w:r>
          </w:p>
        </w:tc>
        <w:tc>
          <w:tcPr>
            <w:tcW w:w="300" w:type="dxa"/>
            <w:vAlign w:val="bottom"/>
            <w:shd w:val="clear" w:color="auto" w:fill="E5FFFF"/>
          </w:tcPr>
          <w:p>
            <w:pPr>
              <w:spacing w:after="0"/>
              <w:rPr>
                <w:sz w:val="23"/>
                <w:szCs w:val="23"/>
                <w:color w:val="auto"/>
              </w:rPr>
            </w:pPr>
          </w:p>
        </w:tc>
        <w:tc>
          <w:tcPr>
            <w:tcW w:w="15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2000—2010</w:t>
            </w:r>
          </w:p>
        </w:tc>
        <w:tc>
          <w:tcPr>
            <w:tcW w:w="300" w:type="dxa"/>
            <w:vAlign w:val="bottom"/>
            <w:shd w:val="clear" w:color="auto" w:fill="E5FFFF"/>
          </w:tcPr>
          <w:p>
            <w:pPr>
              <w:spacing w:after="0"/>
              <w:rPr>
                <w:sz w:val="23"/>
                <w:szCs w:val="23"/>
                <w:color w:val="auto"/>
              </w:rPr>
            </w:pPr>
          </w:p>
        </w:tc>
        <w:tc>
          <w:tcPr>
            <w:tcW w:w="30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2011 – 2012</w:t>
            </w:r>
          </w:p>
        </w:tc>
      </w:tr>
      <w:tr>
        <w:trPr>
          <w:trHeight w:val="274"/>
        </w:trPr>
        <w:tc>
          <w:tcPr>
            <w:tcW w:w="5320" w:type="dxa"/>
            <w:vAlign w:val="bottom"/>
          </w:tcPr>
          <w:p>
            <w:pPr>
              <w:ind w:left="20"/>
              <w:spacing w:after="0"/>
              <w:rPr>
                <w:sz w:val="20"/>
                <w:szCs w:val="20"/>
                <w:color w:val="auto"/>
              </w:rPr>
            </w:pPr>
            <w:r>
              <w:rPr>
                <w:rFonts w:ascii="Arial" w:cs="Arial" w:eastAsia="Arial" w:hAnsi="Arial"/>
                <w:sz w:val="19"/>
                <w:szCs w:val="19"/>
                <w:color w:val="auto"/>
              </w:rPr>
              <w:t>Italy</w:t>
            </w:r>
          </w:p>
        </w:tc>
        <w:tc>
          <w:tcPr>
            <w:tcW w:w="3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9"/>
                <w:szCs w:val="19"/>
                <w:color w:val="auto"/>
              </w:rPr>
              <w:t>2005 – 2011</w:t>
            </w:r>
          </w:p>
        </w:tc>
        <w:tc>
          <w:tcPr>
            <w:tcW w:w="3340" w:type="dxa"/>
            <w:vAlign w:val="bottom"/>
            <w:gridSpan w:val="2"/>
          </w:tcPr>
          <w:p>
            <w:pPr>
              <w:jc w:val="center"/>
              <w:ind w:left="223"/>
              <w:spacing w:after="0"/>
              <w:rPr>
                <w:sz w:val="20"/>
                <w:szCs w:val="20"/>
                <w:color w:val="auto"/>
              </w:rPr>
            </w:pPr>
            <w:r>
              <w:rPr>
                <w:rFonts w:ascii="Arial" w:cs="Arial" w:eastAsia="Arial" w:hAnsi="Arial"/>
                <w:sz w:val="19"/>
                <w:szCs w:val="19"/>
                <w:color w:val="auto"/>
                <w:w w:val="99"/>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702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Includes federal as well as state, provincial or similar local jurisdictions, as applicable.</w:t>
      </w:r>
    </w:p>
    <w:p>
      <w:pPr>
        <w:spacing w:after="0" w:line="10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for uncertain tax positions in our financial statements. In addition, the outcome of these examinations may impact the valuation of certain deferred tax assets (such as net operating losses) in future periods. Based on the number of tax years currently under audit by the relevant U.S federal, state and foreign tax authorities, the Company anticipates that several of these audits may be finalized in the foreseeable future. However, based on the status of these examinations, the protocol of finalizing audits by the relevant taxing authorities, and the possibility that the Company might challenge certain audit findings (which could include formal legal proceedings), at this time it is not possible to estimate the impact of such changes, if any, to previously recorded uncertain tax positions.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Unrecognized tax benefits for examinations in progress were $443 million, $482 million and $274 million, as of December 31, 2012, 2011, and 2010, respectively. The decrease from 2011 to 2012 is primarily due to the expiration of various statute of limitations and settlements with tax authorities. The increase from 2010 to 2011 is primarily due to an increase in tax examinations. Estimated interest and penalties related to the underpayment of income taxes are classified as a component of Tax Expense in the Consolidated Statement of Operations and totaled $37 million, $63 million and $33 million for the years ended December 31, 2012, 2011, and 2010, respectively. Accrued interest and penalties were $284 million, $247 million and $183 million, as of December 31, 2012, 2011, and 2010,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7—Earnings Per Share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earnings per share calculations for the years ended December 31, 2012, 2011 and 2010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center"/>
              <w:ind w:right="105"/>
              <w:spacing w:after="0"/>
              <w:rPr>
                <w:sz w:val="20"/>
                <w:szCs w:val="20"/>
                <w:color w:val="auto"/>
              </w:rPr>
            </w:pPr>
            <w:r>
              <w:rPr>
                <w:rFonts w:ascii="Arial" w:cs="Arial" w:eastAsia="Arial" w:hAnsi="Arial"/>
                <w:sz w:val="16"/>
                <w:szCs w:val="16"/>
                <w:b w:val="1"/>
                <w:bCs w:val="1"/>
                <w:color w:val="auto"/>
                <w:w w:val="98"/>
              </w:rPr>
              <w:t>Years Ended December 31,</w:t>
            </w:r>
          </w:p>
        </w:tc>
      </w:tr>
      <w:tr>
        <w:trPr>
          <w:trHeight w:val="196"/>
        </w:trPr>
        <w:tc>
          <w:tcPr>
            <w:tcW w:w="20" w:type="dxa"/>
            <w:vAlign w:val="bottom"/>
            <w:tcBorders>
              <w:bottom w:val="single" w:sz="8" w:color="auto"/>
            </w:tcBorders>
          </w:tcPr>
          <w:p>
            <w:pPr>
              <w:spacing w:after="0"/>
              <w:rPr>
                <w:sz w:val="17"/>
                <w:szCs w:val="17"/>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Basic</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5"/>
              </w:rPr>
              <w:t>2011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2010</w:t>
            </w:r>
          </w:p>
        </w:tc>
      </w:tr>
      <w:tr>
        <w:trPr>
          <w:trHeight w:val="264"/>
        </w:trPr>
        <w:tc>
          <w:tcPr>
            <w:tcW w:w="20" w:type="dxa"/>
            <w:vAlign w:val="bottom"/>
            <w:shd w:val="clear" w:color="auto" w:fill="E5FFFF"/>
          </w:tcPr>
          <w:p>
            <w:pPr>
              <w:spacing w:after="0"/>
              <w:rPr>
                <w:sz w:val="22"/>
                <w:szCs w:val="22"/>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Income from continuing operations less net income attributable to the noncontrolling interest</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2,926</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1,858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1,944</w:t>
            </w:r>
          </w:p>
        </w:tc>
      </w:tr>
      <w:tr>
        <w:trPr>
          <w:trHeight w:val="270"/>
        </w:trPr>
        <w:tc>
          <w:tcPr>
            <w:tcW w:w="2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Income from discontinued operations</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209</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78</w:t>
            </w:r>
          </w:p>
        </w:tc>
      </w:tr>
      <w:tr>
        <w:trPr>
          <w:trHeight w:val="34"/>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0" w:type="dxa"/>
            <w:vAlign w:val="bottom"/>
            <w:shd w:val="clear" w:color="auto" w:fill="E5FFFF"/>
          </w:tcPr>
          <w:p>
            <w:pPr>
              <w:spacing w:after="0"/>
              <w:rPr>
                <w:sz w:val="23"/>
                <w:szCs w:val="23"/>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2,926</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2,067</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2,022</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Weighted average shares outstanding</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782.4</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780.8</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773.5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3"/>
        </w:trPr>
        <w:tc>
          <w:tcPr>
            <w:tcW w:w="20" w:type="dxa"/>
            <w:vAlign w:val="bottom"/>
            <w:shd w:val="clear" w:color="auto" w:fill="E5FFFF"/>
          </w:tcPr>
          <w:p>
            <w:pPr>
              <w:spacing w:after="0"/>
              <w:rPr>
                <w:sz w:val="21"/>
                <w:szCs w:val="21"/>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share of common stock:</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080" w:type="dxa"/>
            <w:vAlign w:val="bottom"/>
            <w:gridSpan w:val="2"/>
          </w:tcPr>
          <w:p>
            <w:pPr>
              <w:ind w:left="360"/>
              <w:spacing w:after="0"/>
              <w:rPr>
                <w:sz w:val="20"/>
                <w:szCs w:val="20"/>
                <w:color w:val="auto"/>
              </w:rPr>
            </w:pPr>
            <w:r>
              <w:rPr>
                <w:rFonts w:ascii="Arial" w:cs="Arial" w:eastAsia="Arial" w:hAnsi="Arial"/>
                <w:sz w:val="19"/>
                <w:szCs w:val="19"/>
                <w:color w:val="auto"/>
              </w:rPr>
              <w:t>Income from continuing operations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3.74</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2.38</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2.51</w:t>
            </w:r>
          </w:p>
        </w:tc>
      </w:tr>
      <w:tr>
        <w:trPr>
          <w:trHeight w:val="270"/>
        </w:trPr>
        <w:tc>
          <w:tcPr>
            <w:tcW w:w="20" w:type="dxa"/>
            <w:vAlign w:val="bottom"/>
            <w:shd w:val="clear" w:color="auto" w:fill="E5FFFF"/>
          </w:tcPr>
          <w:p>
            <w:pPr>
              <w:spacing w:after="0"/>
              <w:rPr>
                <w:sz w:val="23"/>
                <w:szCs w:val="23"/>
                <w:color w:val="auto"/>
              </w:rPr>
            </w:pPr>
          </w:p>
        </w:tc>
        <w:tc>
          <w:tcPr>
            <w:tcW w:w="80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Income from discontinued operations</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0.27</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0.10</w:t>
            </w:r>
          </w:p>
        </w:tc>
      </w:tr>
      <w:tr>
        <w:trPr>
          <w:trHeight w:val="304"/>
        </w:trPr>
        <w:tc>
          <w:tcPr>
            <w:tcW w:w="20" w:type="dxa"/>
            <w:vAlign w:val="bottom"/>
          </w:tcPr>
          <w:p>
            <w:pPr>
              <w:spacing w:after="0"/>
              <w:rPr>
                <w:sz w:val="24"/>
                <w:szCs w:val="24"/>
                <w:color w:val="auto"/>
              </w:rPr>
            </w:pPr>
          </w:p>
        </w:tc>
        <w:tc>
          <w:tcPr>
            <w:tcW w:w="8080" w:type="dxa"/>
            <w:vAlign w:val="bottom"/>
            <w:gridSpan w:val="2"/>
          </w:tcPr>
          <w:p>
            <w:pPr>
              <w:ind w:left="360"/>
              <w:spacing w:after="0"/>
              <w:rPr>
                <w:sz w:val="20"/>
                <w:szCs w:val="20"/>
                <w:color w:val="auto"/>
              </w:rPr>
            </w:pPr>
            <w:r>
              <w:rPr>
                <w:rFonts w:ascii="Arial" w:cs="Arial" w:eastAsia="Arial" w:hAnsi="Arial"/>
                <w:sz w:val="19"/>
                <w:szCs w:val="19"/>
                <w:color w:val="auto"/>
              </w:rPr>
              <w:t>Net Income attributable to Honeywell</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3.74</w:t>
            </w:r>
          </w:p>
        </w:tc>
        <w:tc>
          <w:tcPr>
            <w:tcW w:w="3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2.65</w:t>
            </w:r>
          </w:p>
        </w:tc>
        <w:tc>
          <w:tcPr>
            <w:tcW w:w="2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2.61</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105"/>
              <w:spacing w:after="0"/>
              <w:rPr>
                <w:sz w:val="20"/>
                <w:szCs w:val="20"/>
                <w:color w:val="auto"/>
              </w:rPr>
            </w:pPr>
            <w:r>
              <w:rPr>
                <w:rFonts w:ascii="Arial" w:cs="Arial" w:eastAsia="Arial" w:hAnsi="Arial"/>
                <w:sz w:val="16"/>
                <w:szCs w:val="16"/>
                <w:b w:val="1"/>
                <w:bCs w:val="1"/>
                <w:color w:val="auto"/>
                <w:w w:val="98"/>
              </w:rPr>
              <w:t>Years Ended December 31,</w:t>
            </w:r>
          </w:p>
        </w:tc>
      </w:tr>
      <w:tr>
        <w:trPr>
          <w:trHeight w:val="196"/>
        </w:trPr>
        <w:tc>
          <w:tcPr>
            <w:tcW w:w="20" w:type="dxa"/>
            <w:vAlign w:val="bottom"/>
            <w:tcBorders>
              <w:bottom w:val="single" w:sz="8" w:color="auto"/>
            </w:tcBorders>
          </w:tcPr>
          <w:p>
            <w:pPr>
              <w:spacing w:after="0"/>
              <w:rPr>
                <w:sz w:val="17"/>
                <w:szCs w:val="17"/>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Assuming Dilution</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w w:val="95"/>
              </w:rPr>
              <w:t>2011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2010</w:t>
            </w:r>
          </w:p>
        </w:tc>
      </w:tr>
      <w:tr>
        <w:trPr>
          <w:trHeight w:val="237"/>
        </w:trPr>
        <w:tc>
          <w:tcPr>
            <w:tcW w:w="20" w:type="dxa"/>
            <w:vAlign w:val="bottom"/>
            <w:shd w:val="clear" w:color="auto" w:fill="E5FFFF"/>
          </w:tcPr>
          <w:p>
            <w:pPr>
              <w:spacing w:after="0"/>
              <w:rPr>
                <w:sz w:val="20"/>
                <w:szCs w:val="20"/>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Income from continuing operations less net</w:t>
            </w: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income attributable to the noncontrolling interest</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2,926</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1,858</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1,944</w:t>
            </w:r>
          </w:p>
        </w:tc>
      </w:tr>
      <w:tr>
        <w:trPr>
          <w:trHeight w:val="270"/>
        </w:trPr>
        <w:tc>
          <w:tcPr>
            <w:tcW w:w="20" w:type="dxa"/>
            <w:vAlign w:val="bottom"/>
            <w:shd w:val="clear" w:color="auto" w:fill="E5FFFF"/>
          </w:tcPr>
          <w:p>
            <w:pPr>
              <w:spacing w:after="0"/>
              <w:rPr>
                <w:sz w:val="23"/>
                <w:szCs w:val="23"/>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Income from discontinued operations</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209</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78</w:t>
            </w:r>
          </w:p>
        </w:tc>
      </w:tr>
      <w:tr>
        <w:trPr>
          <w:trHeight w:val="304"/>
        </w:trPr>
        <w:tc>
          <w:tcPr>
            <w:tcW w:w="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Net income attributable to Honeywell</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2,926</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2,067</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2,022</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3"/>
        </w:trPr>
        <w:tc>
          <w:tcPr>
            <w:tcW w:w="20" w:type="dxa"/>
            <w:vAlign w:val="bottom"/>
            <w:tcBorders>
              <w:bottom w:val="single" w:sz="8" w:color="E5FFFF"/>
            </w:tcBorders>
            <w:shd w:val="clear" w:color="auto" w:fill="E5FFFF"/>
          </w:tcPr>
          <w:p>
            <w:pPr>
              <w:spacing w:after="0"/>
              <w:rPr>
                <w:sz w:val="15"/>
                <w:szCs w:val="15"/>
                <w:color w:val="auto"/>
              </w:rPr>
            </w:pPr>
          </w:p>
        </w:tc>
        <w:tc>
          <w:tcPr>
            <w:tcW w:w="1200" w:type="dxa"/>
            <w:vAlign w:val="bottom"/>
            <w:tcBorders>
              <w:bottom w:val="single" w:sz="8" w:color="auto"/>
            </w:tcBorders>
            <w:shd w:val="clear" w:color="auto" w:fill="E5FFFF"/>
          </w:tcPr>
          <w:p>
            <w:pPr>
              <w:spacing w:after="0" w:line="176" w:lineRule="exact"/>
              <w:rPr>
                <w:sz w:val="20"/>
                <w:szCs w:val="20"/>
                <w:color w:val="auto"/>
              </w:rPr>
            </w:pPr>
            <w:r>
              <w:rPr>
                <w:rFonts w:ascii="Arial" w:cs="Arial" w:eastAsia="Arial" w:hAnsi="Arial"/>
                <w:sz w:val="16"/>
                <w:szCs w:val="16"/>
                <w:b w:val="1"/>
                <w:bCs w:val="1"/>
                <w:color w:val="auto"/>
                <w:w w:val="97"/>
              </w:rPr>
              <w:t>Average Shares</w:t>
            </w:r>
          </w:p>
        </w:tc>
        <w:tc>
          <w:tcPr>
            <w:tcW w:w="688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60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62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620" w:type="dxa"/>
            <w:vAlign w:val="bottom"/>
            <w:tcBorders>
              <w:bottom w:val="single" w:sz="8" w:color="E5FFFF"/>
            </w:tcBorders>
            <w:shd w:val="clear" w:color="auto" w:fill="E5FF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Weighted average shares outstanding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782.4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780.8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773.5</w:t>
            </w:r>
          </w:p>
        </w:tc>
      </w:tr>
      <w:tr>
        <w:trPr>
          <w:trHeight w:val="270"/>
        </w:trPr>
        <w:tc>
          <w:tcPr>
            <w:tcW w:w="20" w:type="dxa"/>
            <w:vAlign w:val="bottom"/>
            <w:shd w:val="clear" w:color="auto" w:fill="E5FFFF"/>
          </w:tcPr>
          <w:p>
            <w:pPr>
              <w:spacing w:after="0"/>
              <w:rPr>
                <w:sz w:val="23"/>
                <w:szCs w:val="23"/>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Dilutive securities issuable—stock plans</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9.5</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10.8</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7.4</w:t>
            </w:r>
          </w:p>
        </w:tc>
      </w:tr>
      <w:tr>
        <w:trPr>
          <w:trHeight w:val="304"/>
        </w:trPr>
        <w:tc>
          <w:tcPr>
            <w:tcW w:w="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9"/>
                <w:szCs w:val="19"/>
                <w:color w:val="auto"/>
              </w:rPr>
              <w:t>Total weighted average diluted shares outstanding</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791.9</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791.6</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780.9</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3"/>
        </w:trPr>
        <w:tc>
          <w:tcPr>
            <w:tcW w:w="20" w:type="dxa"/>
            <w:vAlign w:val="bottom"/>
            <w:shd w:val="clear" w:color="auto" w:fill="E5FFFF"/>
          </w:tcPr>
          <w:p>
            <w:pPr>
              <w:spacing w:after="0"/>
              <w:rPr>
                <w:sz w:val="21"/>
                <w:szCs w:val="21"/>
                <w:color w:val="auto"/>
              </w:rPr>
            </w:pPr>
          </w:p>
        </w:tc>
        <w:tc>
          <w:tcPr>
            <w:tcW w:w="80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share of common stock—assuming dilution:</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080" w:type="dxa"/>
            <w:vAlign w:val="bottom"/>
            <w:gridSpan w:val="2"/>
          </w:tcPr>
          <w:p>
            <w:pPr>
              <w:ind w:left="360"/>
              <w:spacing w:after="0"/>
              <w:rPr>
                <w:sz w:val="20"/>
                <w:szCs w:val="20"/>
                <w:color w:val="auto"/>
              </w:rPr>
            </w:pPr>
            <w:r>
              <w:rPr>
                <w:rFonts w:ascii="Arial" w:cs="Arial" w:eastAsia="Arial" w:hAnsi="Arial"/>
                <w:sz w:val="19"/>
                <w:szCs w:val="19"/>
                <w:color w:val="auto"/>
              </w:rPr>
              <w:t>Income from continuing operations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3.69</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2.35</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2.49</w:t>
            </w:r>
          </w:p>
        </w:tc>
      </w:tr>
      <w:tr>
        <w:trPr>
          <w:trHeight w:val="270"/>
        </w:trPr>
        <w:tc>
          <w:tcPr>
            <w:tcW w:w="20" w:type="dxa"/>
            <w:vAlign w:val="bottom"/>
            <w:shd w:val="clear" w:color="auto" w:fill="E5FFFF"/>
          </w:tcPr>
          <w:p>
            <w:pPr>
              <w:spacing w:after="0"/>
              <w:rPr>
                <w:sz w:val="23"/>
                <w:szCs w:val="23"/>
                <w:color w:val="auto"/>
              </w:rPr>
            </w:pPr>
          </w:p>
        </w:tc>
        <w:tc>
          <w:tcPr>
            <w:tcW w:w="80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Income from discontinuing operations</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0.26</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0.10</w:t>
            </w:r>
          </w:p>
        </w:tc>
      </w:tr>
      <w:tr>
        <w:trPr>
          <w:trHeight w:val="304"/>
        </w:trPr>
        <w:tc>
          <w:tcPr>
            <w:tcW w:w="20" w:type="dxa"/>
            <w:vAlign w:val="bottom"/>
          </w:tcPr>
          <w:p>
            <w:pPr>
              <w:spacing w:after="0"/>
              <w:rPr>
                <w:sz w:val="24"/>
                <w:szCs w:val="24"/>
                <w:color w:val="auto"/>
              </w:rPr>
            </w:pPr>
          </w:p>
        </w:tc>
        <w:tc>
          <w:tcPr>
            <w:tcW w:w="8080" w:type="dxa"/>
            <w:vAlign w:val="bottom"/>
            <w:gridSpan w:val="2"/>
          </w:tcPr>
          <w:p>
            <w:pPr>
              <w:ind w:left="360"/>
              <w:spacing w:after="0"/>
              <w:rPr>
                <w:sz w:val="20"/>
                <w:szCs w:val="20"/>
                <w:color w:val="auto"/>
              </w:rPr>
            </w:pPr>
            <w:r>
              <w:rPr>
                <w:rFonts w:ascii="Arial" w:cs="Arial" w:eastAsia="Arial" w:hAnsi="Arial"/>
                <w:sz w:val="19"/>
                <w:szCs w:val="19"/>
                <w:color w:val="auto"/>
              </w:rPr>
              <w:t>Net income attributable to Honeywell</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3.69</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2.61</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5"/>
              <w:spacing w:after="0"/>
              <w:rPr>
                <w:sz w:val="20"/>
                <w:szCs w:val="20"/>
                <w:color w:val="auto"/>
              </w:rPr>
            </w:pPr>
            <w:r>
              <w:rPr>
                <w:rFonts w:ascii="Arial" w:cs="Arial" w:eastAsia="Arial" w:hAnsi="Arial"/>
                <w:sz w:val="19"/>
                <w:szCs w:val="19"/>
                <w:color w:val="auto"/>
              </w:rPr>
              <w:t>2.59</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The diluted earnings per share calculations exclude the effect of stock options when the options’ assumed proceeds exceed the average market price of the common shares during the period. In 2012, 2011, and 2010 the weighted number of stock options excluded from the computations were 12.5, 9.5, and 14.8 million, respectively. These stock options were outstanding at the end of each of the respective periods.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8—Accounts, Notes and Other Receivables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2011</w:t>
            </w:r>
          </w:p>
        </w:tc>
      </w:tr>
      <w:tr>
        <w:trPr>
          <w:trHeight w:val="264"/>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Trade</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6,940</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6,926</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715</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555</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7,655</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7,481</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Less—Allowance for doubtful accounts</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(226 )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(253 )</w:t>
            </w:r>
          </w:p>
        </w:tc>
      </w:tr>
      <w:tr>
        <w:trPr>
          <w:trHeight w:val="34"/>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28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7,429</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7,228</w:t>
            </w:r>
          </w:p>
        </w:tc>
      </w:tr>
      <w:tr>
        <w:trPr>
          <w:trHeight w:val="20"/>
        </w:trPr>
        <w:tc>
          <w:tcPr>
            <w:tcW w:w="8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Trade Receivables includes $1,495, and $1,404 million of unbilled balances under long-term contracts as of December 31, 2012 and December 31, 2011, respectively. These amounts are billed in accordance with the terms of customer contracts to which they relate.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9—Inventories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2011</w:t>
            </w:r>
          </w:p>
        </w:tc>
      </w:tr>
      <w:tr>
        <w:trPr>
          <w:trHeight w:val="264"/>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Raw materials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1,152</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1,222</w:t>
            </w:r>
          </w:p>
        </w:tc>
      </w:tr>
      <w:tr>
        <w:trPr>
          <w:trHeight w:val="270"/>
        </w:trPr>
        <w:tc>
          <w:tcPr>
            <w:tcW w:w="8280" w:type="dxa"/>
            <w:vAlign w:val="bottom"/>
          </w:tcPr>
          <w:p>
            <w:pPr>
              <w:ind w:left="20"/>
              <w:spacing w:after="0"/>
              <w:rPr>
                <w:sz w:val="20"/>
                <w:szCs w:val="20"/>
                <w:color w:val="auto"/>
              </w:rPr>
            </w:pPr>
            <w:r>
              <w:rPr>
                <w:rFonts w:ascii="Arial" w:cs="Arial" w:eastAsia="Arial" w:hAnsi="Arial"/>
                <w:sz w:val="19"/>
                <w:szCs w:val="19"/>
                <w:color w:val="auto"/>
              </w:rPr>
              <w:t>Work in process</w:t>
            </w:r>
          </w:p>
        </w:tc>
        <w:tc>
          <w:tcPr>
            <w:tcW w:w="24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9"/>
                <w:szCs w:val="19"/>
                <w:color w:val="auto"/>
              </w:rPr>
              <w:t>859</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958</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Finished products</w:t>
            </w:r>
          </w:p>
        </w:tc>
        <w:tc>
          <w:tcPr>
            <w:tcW w:w="2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2,421</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2,253</w:t>
            </w:r>
          </w:p>
        </w:tc>
      </w:tr>
      <w:tr>
        <w:trPr>
          <w:trHeight w:val="304"/>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9"/>
                <w:szCs w:val="19"/>
                <w:color w:val="auto"/>
              </w:rPr>
              <w:t>4,432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4,433</w:t>
            </w:r>
          </w:p>
        </w:tc>
      </w:tr>
      <w:tr>
        <w:trPr>
          <w:trHeight w:val="270"/>
        </w:trPr>
        <w:tc>
          <w:tcPr>
            <w:tcW w:w="8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Reduction to LIFO cost basis</w:t>
            </w:r>
          </w:p>
        </w:tc>
        <w:tc>
          <w:tcPr>
            <w:tcW w:w="2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(197 )</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(169 )</w:t>
            </w:r>
          </w:p>
        </w:tc>
      </w:tr>
      <w:tr>
        <w:trPr>
          <w:trHeight w:val="304"/>
        </w:trPr>
        <w:tc>
          <w:tcPr>
            <w:tcW w:w="8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8"/>
              <w:spacing w:after="0"/>
              <w:rPr>
                <w:sz w:val="20"/>
                <w:szCs w:val="20"/>
                <w:color w:val="auto"/>
              </w:rPr>
            </w:pPr>
            <w:r>
              <w:rPr>
                <w:rFonts w:ascii="Arial" w:cs="Arial" w:eastAsia="Arial" w:hAnsi="Arial"/>
                <w:sz w:val="19"/>
                <w:szCs w:val="19"/>
                <w:color w:val="auto"/>
              </w:rPr>
              <w:t>4,235</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66"/>
              <w:spacing w:after="0"/>
              <w:rPr>
                <w:sz w:val="20"/>
                <w:szCs w:val="20"/>
                <w:color w:val="auto"/>
              </w:rPr>
            </w:pPr>
            <w:r>
              <w:rPr>
                <w:rFonts w:ascii="Arial" w:cs="Arial" w:eastAsia="Arial" w:hAnsi="Arial"/>
                <w:sz w:val="19"/>
                <w:szCs w:val="19"/>
                <w:color w:val="auto"/>
              </w:rPr>
              <w:t>4,264</w:t>
            </w:r>
          </w:p>
        </w:tc>
      </w:tr>
      <w:tr>
        <w:trPr>
          <w:trHeight w:val="20"/>
        </w:trPr>
        <w:tc>
          <w:tcPr>
            <w:tcW w:w="8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300" w:firstLine="357"/>
        <w:spacing w:after="0" w:line="245" w:lineRule="auto"/>
        <w:rPr>
          <w:sz w:val="20"/>
          <w:szCs w:val="20"/>
          <w:color w:val="auto"/>
        </w:rPr>
      </w:pPr>
      <w:r>
        <w:rPr>
          <w:rFonts w:ascii="Arial" w:cs="Arial" w:eastAsia="Arial" w:hAnsi="Arial"/>
          <w:sz w:val="19"/>
          <w:szCs w:val="19"/>
          <w:color w:val="auto"/>
        </w:rPr>
        <w:t>Inventories valued at LIFO amounted to $ 325 and $302 million at December 31, 2012 and 2011, respectively. Had such LIFO inventories been valued at current costs, their carrying values would have been approximately $197 and $169 million higher at December 31, 2012 and 2011,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10—Investments and Long-Term Receivables</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8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w w:val="95"/>
              </w:rPr>
              <w:t>2012</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2011</w:t>
            </w:r>
          </w:p>
        </w:tc>
      </w:tr>
      <w:tr>
        <w:trPr>
          <w:trHeight w:val="264"/>
        </w:trPr>
        <w:tc>
          <w:tcPr>
            <w:tcW w:w="876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Investments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424</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27"/>
              <w:spacing w:after="0"/>
              <w:rPr>
                <w:sz w:val="20"/>
                <w:szCs w:val="20"/>
                <w:color w:val="auto"/>
              </w:rPr>
            </w:pPr>
            <w:r>
              <w:rPr>
                <w:rFonts w:ascii="Arial" w:cs="Arial" w:eastAsia="Arial" w:hAnsi="Arial"/>
                <w:sz w:val="19"/>
                <w:szCs w:val="19"/>
                <w:color w:val="auto"/>
              </w:rPr>
              <w:t>362</w:t>
            </w:r>
          </w:p>
        </w:tc>
      </w:tr>
      <w:tr>
        <w:trPr>
          <w:trHeight w:val="270"/>
        </w:trPr>
        <w:tc>
          <w:tcPr>
            <w:tcW w:w="8760" w:type="dxa"/>
            <w:vAlign w:val="bottom"/>
          </w:tcPr>
          <w:p>
            <w:pPr>
              <w:ind w:left="20"/>
              <w:spacing w:after="0"/>
              <w:rPr>
                <w:sz w:val="20"/>
                <w:szCs w:val="20"/>
                <w:color w:val="auto"/>
              </w:rPr>
            </w:pPr>
            <w:r>
              <w:rPr>
                <w:rFonts w:ascii="Arial" w:cs="Arial" w:eastAsia="Arial" w:hAnsi="Arial"/>
                <w:sz w:val="19"/>
                <w:szCs w:val="19"/>
                <w:color w:val="auto"/>
              </w:rPr>
              <w:t>Long-term trade and other receivables</w:t>
            </w: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168</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27"/>
              <w:spacing w:after="0"/>
              <w:rPr>
                <w:sz w:val="20"/>
                <w:szCs w:val="20"/>
                <w:color w:val="auto"/>
              </w:rPr>
            </w:pPr>
            <w:r>
              <w:rPr>
                <w:rFonts w:ascii="Arial" w:cs="Arial" w:eastAsia="Arial" w:hAnsi="Arial"/>
                <w:sz w:val="19"/>
                <w:szCs w:val="19"/>
                <w:color w:val="auto"/>
              </w:rPr>
              <w:t>81</w:t>
            </w:r>
          </w:p>
        </w:tc>
      </w:tr>
      <w:tr>
        <w:trPr>
          <w:trHeight w:val="270"/>
        </w:trPr>
        <w:tc>
          <w:tcPr>
            <w:tcW w:w="876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Long-term financing receivables</w:t>
            </w:r>
          </w:p>
        </w:tc>
        <w:tc>
          <w:tcPr>
            <w:tcW w:w="16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32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9"/>
                <w:szCs w:val="19"/>
                <w:color w:val="auto"/>
              </w:rPr>
              <w:t>51</w:t>
            </w:r>
          </w:p>
        </w:tc>
      </w:tr>
      <w:tr>
        <w:trPr>
          <w:trHeight w:val="304"/>
        </w:trPr>
        <w:tc>
          <w:tcPr>
            <w:tcW w:w="87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623</w:t>
            </w:r>
          </w:p>
        </w:tc>
        <w:tc>
          <w:tcPr>
            <w:tcW w:w="5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27"/>
              <w:spacing w:after="0"/>
              <w:rPr>
                <w:sz w:val="20"/>
                <w:szCs w:val="20"/>
                <w:color w:val="auto"/>
              </w:rPr>
            </w:pPr>
            <w:r>
              <w:rPr>
                <w:rFonts w:ascii="Arial" w:cs="Arial" w:eastAsia="Arial" w:hAnsi="Arial"/>
                <w:sz w:val="19"/>
                <w:szCs w:val="19"/>
                <w:color w:val="auto"/>
              </w:rPr>
              <w:t>494</w:t>
            </w:r>
          </w:p>
        </w:tc>
      </w:tr>
      <w:tr>
        <w:trPr>
          <w:trHeight w:val="20"/>
        </w:trPr>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Long-Term Trade and Other Receivables include $31 million and $29 million of unbilled balances under long-term contracts as of December 31, 2012 and 2011, respectively. These amounts are billed in accordance with the terms of the customer contracts to which they relate.</w:t>
      </w:r>
    </w:p>
    <w:p>
      <w:pPr>
        <w:spacing w:after="0" w:line="87" w:lineRule="exact"/>
        <w:rPr>
          <w:sz w:val="20"/>
          <w:szCs w:val="20"/>
          <w:color w:val="auto"/>
        </w:rPr>
      </w:pPr>
    </w:p>
    <w:p>
      <w:pPr>
        <w:ind w:right="440" w:firstLine="357"/>
        <w:spacing w:after="0" w:line="253" w:lineRule="auto"/>
        <w:rPr>
          <w:sz w:val="20"/>
          <w:szCs w:val="20"/>
          <w:color w:val="auto"/>
        </w:rPr>
      </w:pPr>
      <w:r>
        <w:rPr>
          <w:rFonts w:ascii="Arial" w:cs="Arial" w:eastAsia="Arial" w:hAnsi="Arial"/>
          <w:sz w:val="19"/>
          <w:szCs w:val="19"/>
          <w:color w:val="auto"/>
        </w:rPr>
        <w:t>The following table summarizes long term trade, financing and other receivables by segment, including current portions and allowances for credit losses.</w:t>
      </w:r>
    </w:p>
    <w:p>
      <w:pPr>
        <w:spacing w:after="0" w:line="1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8560" w:type="dxa"/>
            <w:vAlign w:val="bottom"/>
          </w:tcPr>
          <w:p>
            <w:pPr>
              <w:spacing w:after="0"/>
              <w:rPr>
                <w:sz w:val="16"/>
                <w:szCs w:val="16"/>
                <w:color w:val="auto"/>
              </w:rPr>
            </w:pPr>
          </w:p>
        </w:tc>
        <w:tc>
          <w:tcPr>
            <w:tcW w:w="1340" w:type="dxa"/>
            <w:vAlign w:val="bottom"/>
            <w:gridSpan w:val="2"/>
          </w:tcPr>
          <w:p>
            <w:pPr>
              <w:jc w:val="right"/>
              <w:ind w:right="66"/>
              <w:spacing w:after="0"/>
              <w:rPr>
                <w:sz w:val="20"/>
                <w:szCs w:val="20"/>
                <w:color w:val="auto"/>
              </w:rPr>
            </w:pPr>
            <w:r>
              <w:rPr>
                <w:rFonts w:ascii="Arial" w:cs="Arial" w:eastAsia="Arial" w:hAnsi="Arial"/>
                <w:sz w:val="16"/>
                <w:szCs w:val="16"/>
                <w:b w:val="1"/>
                <w:bCs w:val="1"/>
                <w:color w:val="auto"/>
              </w:rPr>
              <w:t>December 31,</w:t>
            </w:r>
          </w:p>
        </w:tc>
      </w:tr>
      <w:tr>
        <w:trPr>
          <w:trHeight w:val="204"/>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2012</w:t>
            </w:r>
          </w:p>
        </w:tc>
      </w:tr>
      <w:tr>
        <w:trPr>
          <w:trHeight w:val="264"/>
        </w:trPr>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32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11</w:t>
            </w:r>
          </w:p>
        </w:tc>
      </w:tr>
      <w:tr>
        <w:trPr>
          <w:trHeight w:val="270"/>
        </w:trPr>
        <w:tc>
          <w:tcPr>
            <w:tcW w:w="856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320" w:type="dxa"/>
            <w:vAlign w:val="bottom"/>
          </w:tcPr>
          <w:p>
            <w:pPr>
              <w:spacing w:after="0"/>
              <w:rPr>
                <w:sz w:val="23"/>
                <w:szCs w:val="23"/>
                <w:color w:val="auto"/>
              </w:rPr>
            </w:pPr>
          </w:p>
        </w:tc>
        <w:tc>
          <w:tcPr>
            <w:tcW w:w="1020" w:type="dxa"/>
            <w:vAlign w:val="bottom"/>
          </w:tcPr>
          <w:p>
            <w:pPr>
              <w:jc w:val="right"/>
              <w:ind w:right="106"/>
              <w:spacing w:after="0"/>
              <w:rPr>
                <w:sz w:val="20"/>
                <w:szCs w:val="20"/>
                <w:color w:val="auto"/>
              </w:rPr>
            </w:pPr>
            <w:r>
              <w:rPr>
                <w:rFonts w:ascii="Arial" w:cs="Arial" w:eastAsia="Arial" w:hAnsi="Arial"/>
                <w:sz w:val="19"/>
                <w:szCs w:val="19"/>
                <w:color w:val="auto"/>
              </w:rPr>
              <w:t>89</w:t>
            </w:r>
          </w:p>
        </w:tc>
      </w:tr>
      <w:tr>
        <w:trPr>
          <w:trHeight w:val="270"/>
        </w:trPr>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Performance Materials and Technologies</w:t>
            </w:r>
          </w:p>
        </w:tc>
        <w:tc>
          <w:tcPr>
            <w:tcW w:w="3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106"/>
              <w:spacing w:after="0"/>
              <w:rPr>
                <w:sz w:val="20"/>
                <w:szCs w:val="20"/>
                <w:color w:val="auto"/>
              </w:rPr>
            </w:pPr>
            <w:r>
              <w:rPr>
                <w:rFonts w:ascii="Arial" w:cs="Arial" w:eastAsia="Arial" w:hAnsi="Arial"/>
                <w:sz w:val="19"/>
                <w:szCs w:val="19"/>
                <w:color w:val="auto"/>
              </w:rPr>
              <w:t>9</w:t>
            </w:r>
          </w:p>
        </w:tc>
      </w:tr>
      <w:tr>
        <w:trPr>
          <w:trHeight w:val="270"/>
        </w:trPr>
        <w:tc>
          <w:tcPr>
            <w:tcW w:w="856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320" w:type="dxa"/>
            <w:vAlign w:val="bottom"/>
          </w:tcPr>
          <w:p>
            <w:pPr>
              <w:spacing w:after="0"/>
              <w:rPr>
                <w:sz w:val="23"/>
                <w:szCs w:val="23"/>
                <w:color w:val="auto"/>
              </w:rPr>
            </w:pPr>
          </w:p>
        </w:tc>
        <w:tc>
          <w:tcPr>
            <w:tcW w:w="1020" w:type="dxa"/>
            <w:vAlign w:val="bottom"/>
          </w:tcPr>
          <w:p>
            <w:pPr>
              <w:jc w:val="right"/>
              <w:ind w:right="106"/>
              <w:spacing w:after="0"/>
              <w:rPr>
                <w:sz w:val="20"/>
                <w:szCs w:val="20"/>
                <w:color w:val="auto"/>
              </w:rPr>
            </w:pPr>
            <w:r>
              <w:rPr>
                <w:rFonts w:ascii="Arial" w:cs="Arial" w:eastAsia="Arial" w:hAnsi="Arial"/>
                <w:sz w:val="19"/>
                <w:szCs w:val="19"/>
                <w:color w:val="auto"/>
              </w:rPr>
              <w:t>15</w:t>
            </w:r>
          </w:p>
        </w:tc>
      </w:tr>
      <w:tr>
        <w:trPr>
          <w:trHeight w:val="270"/>
        </w:trPr>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Corporate</w:t>
            </w:r>
          </w:p>
        </w:tc>
        <w:tc>
          <w:tcPr>
            <w:tcW w:w="320" w:type="dxa"/>
            <w:vAlign w:val="bottom"/>
            <w:tcBorders>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shd w:val="clear" w:color="auto" w:fill="E5FFFF"/>
          </w:tcPr>
          <w:p>
            <w:pPr>
              <w:jc w:val="right"/>
              <w:ind w:right="106"/>
              <w:spacing w:after="0"/>
              <w:rPr>
                <w:sz w:val="20"/>
                <w:szCs w:val="20"/>
                <w:color w:val="auto"/>
              </w:rPr>
            </w:pPr>
            <w:r>
              <w:rPr>
                <w:rFonts w:ascii="Arial" w:cs="Arial" w:eastAsia="Arial" w:hAnsi="Arial"/>
                <w:sz w:val="19"/>
                <w:szCs w:val="19"/>
                <w:color w:val="auto"/>
              </w:rPr>
              <w:t>73</w:t>
            </w:r>
          </w:p>
        </w:tc>
      </w:tr>
      <w:tr>
        <w:trPr>
          <w:trHeight w:val="304"/>
        </w:trPr>
        <w:tc>
          <w:tcPr>
            <w:tcW w:w="8560" w:type="dxa"/>
            <w:vAlign w:val="bottom"/>
          </w:tcPr>
          <w:p>
            <w:pPr>
              <w:spacing w:after="0"/>
              <w:rPr>
                <w:sz w:val="24"/>
                <w:szCs w:val="24"/>
                <w:color w:val="auto"/>
              </w:rPr>
            </w:pPr>
          </w:p>
        </w:tc>
        <w:tc>
          <w:tcPr>
            <w:tcW w:w="320" w:type="dxa"/>
            <w:vAlign w:val="bottom"/>
            <w:tcBorders>
              <w:bottom w:val="single" w:sz="8" w:color="auto"/>
            </w:tcBorders>
          </w:tcPr>
          <w:p>
            <w:pPr>
              <w:jc w:val="right"/>
              <w:ind w:right="69"/>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rPr>
              <w:t>197</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1">
            <w:col w:w="11380"/>
          </w:cols>
          <w:pgMar w:left="240" w:top="105" w:right="279" w:bottom="1440" w:gutter="0" w:footer="0" w:header="0"/>
        </w:sectPr>
      </w:pPr>
    </w:p>
    <w:p>
      <w:pPr>
        <w:jc w:val="center"/>
        <w:ind w:right="-3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 w:right="27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500" w:firstLine="357"/>
        <w:spacing w:after="0" w:line="242" w:lineRule="auto"/>
        <w:rPr>
          <w:sz w:val="20"/>
          <w:szCs w:val="20"/>
          <w:color w:val="auto"/>
        </w:rPr>
      </w:pPr>
      <w:r>
        <w:rPr>
          <w:rFonts w:ascii="Arial" w:cs="Arial" w:eastAsia="Arial" w:hAnsi="Arial"/>
          <w:sz w:val="19"/>
          <w:szCs w:val="19"/>
          <w:color w:val="auto"/>
        </w:rPr>
        <w:t>Allowance for credit losses for the above detailed long-term trade, financing and other receivables totaled $ 4 million and $5 million as of December 31, 2012 and 2011, respectively. The receivables are evaluated for recoverability on an individual basis, including consideration of credit quality. The above detailed financing receivables are predominately with commercial and governmental counterparties of investment grade credit quality.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11—Property, Plant and Equipment—Net</w:t>
      </w:r>
    </w:p>
    <w:p>
      <w:pPr>
        <w:spacing w:after="0" w:line="7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0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80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Land and improvements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368</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376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tcPr>
          <w:p>
            <w:pPr>
              <w:ind w:left="20"/>
              <w:spacing w:after="0"/>
              <w:rPr>
                <w:sz w:val="20"/>
                <w:szCs w:val="20"/>
                <w:color w:val="auto"/>
              </w:rPr>
            </w:pPr>
            <w:r>
              <w:rPr>
                <w:rFonts w:ascii="Arial" w:cs="Arial" w:eastAsia="Arial" w:hAnsi="Arial"/>
                <w:sz w:val="19"/>
                <w:szCs w:val="19"/>
                <w:color w:val="auto"/>
              </w:rPr>
              <w:t>Machinery and equipment</w:t>
            </w:r>
          </w:p>
        </w:tc>
        <w:tc>
          <w:tcPr>
            <w:tcW w:w="240" w:type="dxa"/>
            <w:vAlign w:val="bottom"/>
          </w:tcPr>
          <w:p>
            <w:pPr>
              <w:spacing w:after="0"/>
              <w:rPr>
                <w:sz w:val="23"/>
                <w:szCs w:val="23"/>
                <w:color w:val="auto"/>
              </w:rPr>
            </w:pPr>
          </w:p>
        </w:tc>
        <w:tc>
          <w:tcPr>
            <w:tcW w:w="820" w:type="dxa"/>
            <w:vAlign w:val="bottom"/>
          </w:tcPr>
          <w:p>
            <w:pPr>
              <w:jc w:val="right"/>
              <w:ind w:right="47"/>
              <w:spacing w:after="0"/>
              <w:rPr>
                <w:sz w:val="20"/>
                <w:szCs w:val="20"/>
                <w:color w:val="auto"/>
              </w:rPr>
            </w:pPr>
            <w:r>
              <w:rPr>
                <w:rFonts w:ascii="Arial" w:cs="Arial" w:eastAsia="Arial" w:hAnsi="Arial"/>
                <w:sz w:val="19"/>
                <w:szCs w:val="19"/>
                <w:color w:val="auto"/>
              </w:rPr>
              <w:t>10,174</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5"/>
              <w:spacing w:after="0"/>
              <w:rPr>
                <w:sz w:val="20"/>
                <w:szCs w:val="20"/>
                <w:color w:val="auto"/>
              </w:rPr>
            </w:pPr>
            <w:r>
              <w:rPr>
                <w:rFonts w:ascii="Arial" w:cs="Arial" w:eastAsia="Arial" w:hAnsi="Arial"/>
                <w:sz w:val="19"/>
                <w:szCs w:val="19"/>
                <w:color w:val="auto"/>
              </w:rPr>
              <w:t>9,937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shd w:val="clear" w:color="auto" w:fill="E5FFFF"/>
          </w:tcPr>
          <w:p>
            <w:pPr>
              <w:ind w:left="20"/>
              <w:spacing w:after="0"/>
              <w:rPr>
                <w:sz w:val="20"/>
                <w:szCs w:val="20"/>
                <w:color w:val="auto"/>
              </w:rPr>
            </w:pPr>
            <w:r>
              <w:rPr>
                <w:rFonts w:ascii="Arial" w:cs="Arial" w:eastAsia="Arial" w:hAnsi="Arial"/>
                <w:sz w:val="19"/>
                <w:szCs w:val="19"/>
                <w:color w:val="auto"/>
              </w:rPr>
              <w:t>Buildings and improvements</w:t>
            </w:r>
          </w:p>
        </w:tc>
        <w:tc>
          <w:tcPr>
            <w:tcW w:w="24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3,078</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2,897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tcPr>
          <w:p>
            <w:pPr>
              <w:ind w:left="20"/>
              <w:spacing w:after="0"/>
              <w:rPr>
                <w:sz w:val="20"/>
                <w:szCs w:val="20"/>
                <w:color w:val="auto"/>
              </w:rPr>
            </w:pPr>
            <w:r>
              <w:rPr>
                <w:rFonts w:ascii="Arial" w:cs="Arial" w:eastAsia="Arial" w:hAnsi="Arial"/>
                <w:sz w:val="19"/>
                <w:szCs w:val="19"/>
                <w:color w:val="auto"/>
              </w:rPr>
              <w:t>Construction in progress</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592</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513</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14,212</w:t>
            </w:r>
          </w:p>
        </w:tc>
        <w:tc>
          <w:tcPr>
            <w:tcW w:w="30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13,723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tcPr>
          <w:p>
            <w:pPr>
              <w:ind w:left="20"/>
              <w:spacing w:after="0"/>
              <w:rPr>
                <w:sz w:val="20"/>
                <w:szCs w:val="20"/>
                <w:color w:val="auto"/>
              </w:rPr>
            </w:pPr>
            <w:r>
              <w:rPr>
                <w:rFonts w:ascii="Arial" w:cs="Arial" w:eastAsia="Arial" w:hAnsi="Arial"/>
                <w:sz w:val="19"/>
                <w:szCs w:val="19"/>
                <w:color w:val="auto"/>
              </w:rPr>
              <w:t>Less—Accumulated depreciation</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(9,211 )</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(8,919 )</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8040" w:type="dxa"/>
            <w:vAlign w:val="bottom"/>
            <w:shd w:val="clear" w:color="auto" w:fill="E5FFFF"/>
          </w:tcPr>
          <w:p>
            <w:pPr>
              <w:spacing w:after="0"/>
              <w:rPr>
                <w:sz w:val="23"/>
                <w:szCs w:val="23"/>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5,001</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4,804</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9"/>
                <w:szCs w:val="19"/>
                <w:color w:val="auto"/>
              </w:rPr>
              <w:t>Depreciation expense was $660, $699 and $707 million in 2012, 2011 and 2010, respectively.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12—Goodwill and Other Intangible Assets—Net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change in the carrying amount of goodwill for the years ended December 31, 2012 and 2011 by segment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3"/>
              <w:spacing w:after="0"/>
              <w:rPr>
                <w:sz w:val="20"/>
                <w:szCs w:val="20"/>
                <w:color w:val="auto"/>
              </w:rPr>
            </w:pPr>
            <w:r>
              <w:rPr>
                <w:rFonts w:ascii="Arial" w:cs="Arial" w:eastAsia="Arial" w:hAnsi="Arial"/>
                <w:sz w:val="16"/>
                <w:szCs w:val="16"/>
                <w:b w:val="1"/>
                <w:bCs w:val="1"/>
                <w:color w:val="auto"/>
              </w:rPr>
              <w:t>Currency</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6"/>
        </w:trPr>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5"/>
          </w:tcPr>
          <w:p>
            <w:pPr>
              <w:ind w:left="120"/>
              <w:spacing w:after="0" w:line="176" w:lineRule="exact"/>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right"/>
              <w:spacing w:after="0" w:line="176" w:lineRule="exact"/>
              <w:rPr>
                <w:sz w:val="20"/>
                <w:szCs w:val="20"/>
                <w:color w:val="auto"/>
              </w:rPr>
            </w:pPr>
            <w:r>
              <w:rPr>
                <w:rFonts w:ascii="Arial" w:cs="Arial" w:eastAsia="Arial" w:hAnsi="Arial"/>
                <w:sz w:val="16"/>
                <w:szCs w:val="16"/>
                <w:b w:val="1"/>
                <w:bCs w:val="1"/>
                <w:color w:val="auto"/>
              </w:rPr>
              <w:t>Translation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5"/>
              <w:spacing w:after="0" w:line="176" w:lineRule="exact"/>
              <w:rPr>
                <w:sz w:val="20"/>
                <w:szCs w:val="20"/>
                <w:color w:val="auto"/>
              </w:rPr>
            </w:pPr>
            <w:r>
              <w:rPr>
                <w:rFonts w:ascii="Arial" w:cs="Arial" w:eastAsia="Arial" w:hAnsi="Arial"/>
                <w:sz w:val="16"/>
                <w:szCs w:val="16"/>
                <w:b w:val="1"/>
                <w:bCs w:val="1"/>
                <w:color w:val="auto"/>
                <w:w w:val="96"/>
              </w:rPr>
              <w:t>December 31,</w:t>
            </w:r>
          </w:p>
        </w:tc>
      </w:tr>
      <w:tr>
        <w:trPr>
          <w:trHeight w:val="204"/>
        </w:trPr>
        <w:tc>
          <w:tcPr>
            <w:tcW w:w="4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2011</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7"/>
              </w:rPr>
              <w:t>Acquisitions</w:t>
            </w:r>
          </w:p>
        </w:tc>
        <w:tc>
          <w:tcPr>
            <w:tcW w:w="1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Divestitures</w:t>
            </w:r>
          </w:p>
        </w:tc>
        <w:tc>
          <w:tcPr>
            <w:tcW w:w="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7"/>
              </w:rPr>
              <w:t>Adjustment</w:t>
            </w:r>
          </w:p>
        </w:tc>
        <w:tc>
          <w:tcPr>
            <w:tcW w:w="1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6"/>
                <w:szCs w:val="16"/>
                <w:b w:val="1"/>
                <w:bCs w:val="1"/>
                <w:color w:val="auto"/>
              </w:rPr>
              <w:t>2012</w:t>
            </w:r>
          </w:p>
        </w:tc>
      </w:tr>
      <w:tr>
        <w:trPr>
          <w:trHeight w:val="264"/>
        </w:trPr>
        <w:tc>
          <w:tcPr>
            <w:tcW w:w="4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Aerospace</w:t>
            </w:r>
          </w:p>
        </w:tc>
        <w:tc>
          <w:tcPr>
            <w:tcW w:w="180" w:type="dxa"/>
            <w:vAlign w:val="bottom"/>
            <w:shd w:val="clear" w:color="auto" w:fill="E5FFFF"/>
          </w:tcPr>
          <w:p>
            <w:pPr>
              <w:ind w:left="40"/>
              <w:spacing w:after="0"/>
              <w:rPr>
                <w:sz w:val="20"/>
                <w:szCs w:val="20"/>
                <w:color w:val="auto"/>
              </w:rPr>
            </w:pPr>
            <w:r>
              <w:rPr>
                <w:rFonts w:ascii="Arial" w:cs="Arial" w:eastAsia="Arial" w:hAnsi="Arial"/>
                <w:sz w:val="19"/>
                <w:szCs w:val="19"/>
                <w:color w:val="auto"/>
              </w:rPr>
              <w:t>$</w:t>
            </w:r>
          </w:p>
        </w:tc>
        <w:tc>
          <w:tcPr>
            <w:tcW w:w="1100" w:type="dxa"/>
            <w:vAlign w:val="bottom"/>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2,095</w:t>
            </w:r>
          </w:p>
        </w:tc>
        <w:tc>
          <w:tcPr>
            <w:tcW w:w="880" w:type="dxa"/>
            <w:vAlign w:val="bottom"/>
            <w:gridSpan w:val="2"/>
            <w:shd w:val="clear" w:color="auto" w:fill="E5FFFF"/>
          </w:tcPr>
          <w:p>
            <w:pPr>
              <w:jc w:val="center"/>
              <w:spacing w:after="0"/>
              <w:rPr>
                <w:sz w:val="20"/>
                <w:szCs w:val="20"/>
                <w:color w:val="auto"/>
              </w:rPr>
            </w:pPr>
            <w:r>
              <w:rPr>
                <w:rFonts w:ascii="Arial" w:cs="Arial" w:eastAsia="Arial" w:hAnsi="Arial"/>
                <w:sz w:val="19"/>
                <w:szCs w:val="19"/>
                <w:color w:val="auto"/>
              </w:rPr>
              <w:t>$</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(23 )</w:t>
            </w:r>
          </w:p>
        </w:tc>
        <w:tc>
          <w:tcPr>
            <w:tcW w:w="60" w:type="dxa"/>
            <w:vAlign w:val="bottom"/>
            <w:shd w:val="clear" w:color="auto" w:fill="E5FFFF"/>
          </w:tcPr>
          <w:p>
            <w:pPr>
              <w:spacing w:after="0"/>
              <w:rPr>
                <w:sz w:val="22"/>
                <w:szCs w:val="22"/>
                <w:color w:val="auto"/>
              </w:rPr>
            </w:pPr>
          </w:p>
        </w:tc>
        <w:tc>
          <w:tcPr>
            <w:tcW w:w="760" w:type="dxa"/>
            <w:vAlign w:val="bottom"/>
            <w:gridSpan w:val="3"/>
            <w:shd w:val="clear" w:color="auto" w:fill="E5FFFF"/>
          </w:tcPr>
          <w:p>
            <w:pPr>
              <w:jc w:val="right"/>
              <w:ind w:right="92"/>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(3 )</w:t>
            </w:r>
          </w:p>
        </w:tc>
        <w:tc>
          <w:tcPr>
            <w:tcW w:w="300" w:type="dxa"/>
            <w:vAlign w:val="bottom"/>
            <w:shd w:val="clear" w:color="auto" w:fill="E5FFFF"/>
          </w:tcPr>
          <w:p>
            <w:pPr>
              <w:spacing w:after="0"/>
              <w:rPr>
                <w:sz w:val="22"/>
                <w:szCs w:val="22"/>
                <w:color w:val="auto"/>
              </w:rPr>
            </w:pPr>
          </w:p>
        </w:tc>
        <w:tc>
          <w:tcPr>
            <w:tcW w:w="360" w:type="dxa"/>
            <w:vAlign w:val="bottom"/>
            <w:gridSpan w:val="2"/>
            <w:shd w:val="clear" w:color="auto" w:fill="E5FFFF"/>
          </w:tcPr>
          <w:p>
            <w:pPr>
              <w:ind w:left="100"/>
              <w:spacing w:after="0"/>
              <w:rPr>
                <w:sz w:val="20"/>
                <w:szCs w:val="20"/>
                <w:color w:val="auto"/>
              </w:rPr>
            </w:pPr>
            <w:r>
              <w:rPr>
                <w:rFonts w:ascii="Arial" w:cs="Arial" w:eastAsia="Arial" w:hAnsi="Arial"/>
                <w:sz w:val="19"/>
                <w:szCs w:val="19"/>
                <w:color w:val="auto"/>
              </w:rPr>
              <w:t>$</w:t>
            </w:r>
          </w:p>
        </w:tc>
        <w:tc>
          <w:tcPr>
            <w:tcW w:w="240" w:type="dxa"/>
            <w:vAlign w:val="bottom"/>
            <w:shd w:val="clear" w:color="auto" w:fill="E5FFFF"/>
          </w:tcPr>
          <w:p>
            <w:pPr>
              <w:spacing w:after="0"/>
              <w:rPr>
                <w:sz w:val="22"/>
                <w:szCs w:val="22"/>
                <w:color w:val="auto"/>
              </w:rPr>
            </w:pPr>
          </w:p>
        </w:tc>
        <w:tc>
          <w:tcPr>
            <w:tcW w:w="4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w:t>
            </w: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2,075</w:t>
            </w: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9"/>
                <w:szCs w:val="19"/>
                <w:color w:val="auto"/>
              </w:rPr>
              <w:t>Automation and Control Solutions</w:t>
            </w:r>
          </w:p>
        </w:tc>
        <w:tc>
          <w:tcPr>
            <w:tcW w:w="180" w:type="dxa"/>
            <w:vAlign w:val="bottom"/>
          </w:tcPr>
          <w:p>
            <w:pPr>
              <w:spacing w:after="0"/>
              <w:rPr>
                <w:sz w:val="23"/>
                <w:szCs w:val="23"/>
                <w:color w:val="auto"/>
              </w:rPr>
            </w:pPr>
          </w:p>
        </w:tc>
        <w:tc>
          <w:tcPr>
            <w:tcW w:w="1100" w:type="dxa"/>
            <w:vAlign w:val="bottom"/>
            <w:gridSpan w:val="4"/>
          </w:tcPr>
          <w:p>
            <w:pPr>
              <w:jc w:val="right"/>
              <w:ind w:right="61"/>
              <w:spacing w:after="0"/>
              <w:rPr>
                <w:sz w:val="20"/>
                <w:szCs w:val="20"/>
                <w:color w:val="auto"/>
              </w:rPr>
            </w:pPr>
            <w:r>
              <w:rPr>
                <w:rFonts w:ascii="Arial" w:cs="Arial" w:eastAsia="Arial" w:hAnsi="Arial"/>
                <w:sz w:val="19"/>
                <w:szCs w:val="19"/>
                <w:color w:val="auto"/>
              </w:rPr>
              <w:t>8,260</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62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9"/>
                <w:szCs w:val="19"/>
                <w:color w:val="auto"/>
              </w:rPr>
              <w:t>(62 )</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jc w:val="right"/>
              <w:ind w:right="3"/>
              <w:spacing w:after="0"/>
              <w:rPr>
                <w:sz w:val="20"/>
                <w:szCs w:val="20"/>
                <w:color w:val="auto"/>
              </w:rPr>
            </w:pPr>
            <w:r>
              <w:rPr>
                <w:rFonts w:ascii="Arial" w:cs="Arial" w:eastAsia="Arial" w:hAnsi="Arial"/>
                <w:sz w:val="19"/>
                <w:szCs w:val="19"/>
                <w:color w:val="auto"/>
              </w:rPr>
              <w:t>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9"/>
                <w:szCs w:val="19"/>
                <w:color w:val="auto"/>
              </w:rPr>
              <w:t>8,343</w:t>
            </w:r>
          </w:p>
        </w:tc>
      </w:tr>
      <w:tr>
        <w:trPr>
          <w:trHeight w:val="270"/>
        </w:trPr>
        <w:tc>
          <w:tcPr>
            <w:tcW w:w="4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Performance Materials and Technologies</w:t>
            </w:r>
          </w:p>
        </w:tc>
        <w:tc>
          <w:tcPr>
            <w:tcW w:w="180" w:type="dxa"/>
            <w:vAlign w:val="bottom"/>
            <w:shd w:val="clear" w:color="auto" w:fill="E5FFFF"/>
          </w:tcPr>
          <w:p>
            <w:pPr>
              <w:spacing w:after="0"/>
              <w:rPr>
                <w:sz w:val="23"/>
                <w:szCs w:val="23"/>
                <w:color w:val="auto"/>
              </w:rPr>
            </w:pPr>
          </w:p>
        </w:tc>
        <w:tc>
          <w:tcPr>
            <w:tcW w:w="1100" w:type="dxa"/>
            <w:vAlign w:val="bottom"/>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1,306</w:t>
            </w:r>
          </w:p>
        </w:tc>
        <w:tc>
          <w:tcPr>
            <w:tcW w:w="30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501</w:t>
            </w:r>
          </w:p>
        </w:tc>
        <w:tc>
          <w:tcPr>
            <w:tcW w:w="6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540"/>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w:t>
            </w:r>
          </w:p>
        </w:tc>
        <w:tc>
          <w:tcPr>
            <w:tcW w:w="1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1,810</w:t>
            </w: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9"/>
                <w:szCs w:val="19"/>
                <w:color w:val="auto"/>
              </w:rPr>
              <w:t>Transportation Systems</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ind w:right="61"/>
              <w:spacing w:after="0"/>
              <w:rPr>
                <w:sz w:val="20"/>
                <w:szCs w:val="20"/>
                <w:color w:val="auto"/>
              </w:rPr>
            </w:pPr>
            <w:r>
              <w:rPr>
                <w:rFonts w:ascii="Arial" w:cs="Arial" w:eastAsia="Arial" w:hAnsi="Arial"/>
                <w:sz w:val="19"/>
                <w:szCs w:val="19"/>
                <w:color w:val="auto"/>
                <w:w w:val="94"/>
              </w:rPr>
              <w:t>197</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w w:val="94"/>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9"/>
                <w:szCs w:val="19"/>
                <w:color w:val="auto"/>
              </w:rPr>
              <w:t>197</w:t>
            </w:r>
          </w:p>
        </w:tc>
      </w:tr>
      <w:tr>
        <w:trPr>
          <w:trHeight w:val="34"/>
        </w:trPr>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270"/>
        </w:trPr>
        <w:tc>
          <w:tcPr>
            <w:tcW w:w="4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ind w:left="40"/>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11,858</w:t>
            </w:r>
          </w:p>
        </w:tc>
        <w:tc>
          <w:tcPr>
            <w:tcW w:w="300" w:type="dxa"/>
            <w:vAlign w:val="bottom"/>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center"/>
              <w:ind w:right="249"/>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540</w:t>
            </w:r>
          </w:p>
        </w:tc>
        <w:tc>
          <w:tcPr>
            <w:tcW w:w="60" w:type="dxa"/>
            <w:vAlign w:val="bottom"/>
            <w:tcBorders>
              <w:bottom w:val="single" w:sz="8" w:color="auto"/>
            </w:tcBorders>
            <w:shd w:val="clear" w:color="auto" w:fill="E5FFFF"/>
          </w:tcPr>
          <w:p>
            <w:pPr>
              <w:spacing w:after="0"/>
              <w:rPr>
                <w:sz w:val="23"/>
                <w:szCs w:val="23"/>
                <w:color w:val="auto"/>
              </w:rPr>
            </w:pPr>
          </w:p>
        </w:tc>
        <w:tc>
          <w:tcPr>
            <w:tcW w:w="10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60" w:type="dxa"/>
            <w:vAlign w:val="bottom"/>
            <w:tcBorders>
              <w:bottom w:val="single" w:sz="8" w:color="auto"/>
            </w:tcBorders>
            <w:shd w:val="clear" w:color="auto" w:fill="E5FFFF"/>
          </w:tcPr>
          <w:p>
            <w:pPr>
              <w:jc w:val="right"/>
              <w:ind w:right="92"/>
              <w:spacing w:after="0"/>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(65 )</w:t>
            </w:r>
          </w:p>
        </w:tc>
        <w:tc>
          <w:tcPr>
            <w:tcW w:w="300" w:type="dxa"/>
            <w:vAlign w:val="bottom"/>
            <w:shd w:val="clear" w:color="auto" w:fill="E5FFFF"/>
          </w:tcPr>
          <w:p>
            <w:pPr>
              <w:spacing w:after="0"/>
              <w:rPr>
                <w:sz w:val="23"/>
                <w:szCs w:val="23"/>
                <w:color w:val="auto"/>
              </w:rPr>
            </w:pPr>
          </w:p>
        </w:tc>
        <w:tc>
          <w:tcPr>
            <w:tcW w:w="360" w:type="dxa"/>
            <w:vAlign w:val="bottom"/>
            <w:tcBorders>
              <w:bottom w:val="single" w:sz="8" w:color="auto"/>
            </w:tcBorders>
            <w:gridSpan w:val="2"/>
            <w:shd w:val="clear" w:color="auto" w:fill="E5FFFF"/>
          </w:tcPr>
          <w:p>
            <w:pPr>
              <w:ind w:left="100"/>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auto"/>
            </w:tcBorders>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92</w:t>
            </w:r>
          </w:p>
        </w:tc>
        <w:tc>
          <w:tcPr>
            <w:tcW w:w="10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gridSpan w:val="3"/>
            <w:shd w:val="clear" w:color="auto" w:fill="E5FFFF"/>
          </w:tcPr>
          <w:p>
            <w:pPr>
              <w:jc w:val="right"/>
              <w:ind w:right="45"/>
              <w:spacing w:after="0"/>
              <w:rPr>
                <w:sz w:val="20"/>
                <w:szCs w:val="20"/>
                <w:color w:val="auto"/>
              </w:rPr>
            </w:pPr>
            <w:r>
              <w:rPr>
                <w:rFonts w:ascii="Arial" w:cs="Arial" w:eastAsia="Arial" w:hAnsi="Arial"/>
                <w:sz w:val="19"/>
                <w:szCs w:val="19"/>
                <w:color w:val="auto"/>
              </w:rPr>
              <w:t>12,425</w:t>
            </w: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78"/>
        </w:trPr>
        <w:tc>
          <w:tcPr>
            <w:tcW w:w="4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b w:val="1"/>
                <w:bCs w:val="1"/>
                <w:color w:val="auto"/>
                <w:w w:val="98"/>
              </w:rPr>
              <w:t>December 31, 2012</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321"/>
              <w:spacing w:after="0"/>
              <w:rPr>
                <w:sz w:val="20"/>
                <w:szCs w:val="20"/>
                <w:color w:val="auto"/>
              </w:rPr>
            </w:pPr>
            <w:r>
              <w:rPr>
                <w:rFonts w:ascii="Arial" w:cs="Arial" w:eastAsia="Arial" w:hAnsi="Arial"/>
                <w:sz w:val="16"/>
                <w:szCs w:val="16"/>
                <w:b w:val="1"/>
                <w:bCs w:val="1"/>
                <w:color w:val="auto"/>
              </w:rPr>
              <w:t>December 31, 2011</w:t>
            </w:r>
          </w:p>
        </w:tc>
        <w:tc>
          <w:tcPr>
            <w:tcW w:w="660" w:type="dxa"/>
            <w:vAlign w:val="bottom"/>
            <w:tcBorders>
              <w:bottom w:val="single" w:sz="8" w:color="auto"/>
            </w:tcBorders>
          </w:tcPr>
          <w:p>
            <w:pPr>
              <w:spacing w:after="0"/>
              <w:rPr>
                <w:sz w:val="24"/>
                <w:szCs w:val="24"/>
                <w:color w:val="auto"/>
              </w:rPr>
            </w:pPr>
          </w:p>
        </w:tc>
      </w:tr>
      <w:tr>
        <w:trPr>
          <w:trHeight w:val="168"/>
        </w:trPr>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140"/>
              <w:spacing w:after="0" w:line="168" w:lineRule="exact"/>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72"/>
              <w:spacing w:after="0" w:line="168" w:lineRule="exact"/>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4"/>
                <w:szCs w:val="14"/>
                <w:color w:val="auto"/>
              </w:rPr>
            </w:pPr>
          </w:p>
        </w:tc>
        <w:tc>
          <w:tcPr>
            <w:tcW w:w="7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99"/>
              </w:rPr>
              <w:t>Gross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05"/>
              <w:spacing w:after="0" w:line="168" w:lineRule="exact"/>
              <w:rPr>
                <w:sz w:val="20"/>
                <w:szCs w:val="20"/>
                <w:color w:val="auto"/>
              </w:rPr>
            </w:pPr>
            <w:r>
              <w:rPr>
                <w:rFonts w:ascii="Arial" w:cs="Arial" w:eastAsia="Arial" w:hAnsi="Arial"/>
                <w:sz w:val="16"/>
                <w:szCs w:val="16"/>
                <w:b w:val="1"/>
                <w:bCs w:val="1"/>
                <w:color w:val="auto"/>
              </w:rPr>
              <w:t>Net</w:t>
            </w:r>
          </w:p>
        </w:tc>
      </w:tr>
      <w:tr>
        <w:trPr>
          <w:trHeight w:val="176"/>
        </w:trPr>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Carrying</w:t>
            </w:r>
          </w:p>
        </w:tc>
        <w:tc>
          <w:tcPr>
            <w:tcW w:w="260" w:type="dxa"/>
            <w:vAlign w:val="bottom"/>
          </w:tcPr>
          <w:p>
            <w:pPr>
              <w:spacing w:after="0"/>
              <w:rPr>
                <w:sz w:val="15"/>
                <w:szCs w:val="15"/>
                <w:color w:val="auto"/>
              </w:rPr>
            </w:pPr>
          </w:p>
        </w:tc>
        <w:tc>
          <w:tcPr>
            <w:tcW w:w="1560" w:type="dxa"/>
            <w:vAlign w:val="bottom"/>
            <w:gridSpan w:val="6"/>
          </w:tcPr>
          <w:p>
            <w:pPr>
              <w:jc w:val="center"/>
              <w:ind w:right="36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7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7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5"/>
          </w:tcPr>
          <w:p>
            <w:pPr>
              <w:jc w:val="right"/>
              <w:ind w:right="23"/>
              <w:spacing w:after="0" w:line="176" w:lineRule="exact"/>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5"/>
                <w:szCs w:val="15"/>
                <w:color w:val="auto"/>
              </w:rPr>
            </w:pPr>
          </w:p>
        </w:tc>
        <w:tc>
          <w:tcPr>
            <w:tcW w:w="8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r>
      <w:tr>
        <w:trPr>
          <w:trHeight w:val="204"/>
        </w:trPr>
        <w:tc>
          <w:tcPr>
            <w:tcW w:w="4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6"/>
                <w:szCs w:val="16"/>
                <w:b w:val="1"/>
                <w:bCs w:val="1"/>
                <w:color w:val="auto"/>
                <w:w w:val="98"/>
              </w:rPr>
              <w:t>Amortization</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r>
      <w:tr>
        <w:trPr>
          <w:trHeight w:val="237"/>
        </w:trPr>
        <w:tc>
          <w:tcPr>
            <w:tcW w:w="4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Determinable life intangibles:</w:t>
            </w:r>
          </w:p>
        </w:tc>
        <w:tc>
          <w:tcPr>
            <w:tcW w:w="18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70"/>
        </w:trPr>
        <w:tc>
          <w:tcPr>
            <w:tcW w:w="4200" w:type="dxa"/>
            <w:vAlign w:val="bottom"/>
            <w:gridSpan w:val="2"/>
          </w:tcPr>
          <w:p>
            <w:pPr>
              <w:ind w:left="380"/>
              <w:spacing w:after="0"/>
              <w:rPr>
                <w:sz w:val="20"/>
                <w:szCs w:val="20"/>
                <w:color w:val="auto"/>
              </w:rPr>
            </w:pPr>
            <w:r>
              <w:rPr>
                <w:rFonts w:ascii="Arial" w:cs="Arial" w:eastAsia="Arial" w:hAnsi="Arial"/>
                <w:sz w:val="19"/>
                <w:szCs w:val="19"/>
                <w:color w:val="auto"/>
              </w:rPr>
              <w:t>Patents and technology</w:t>
            </w:r>
          </w:p>
        </w:tc>
        <w:tc>
          <w:tcPr>
            <w:tcW w:w="780" w:type="dxa"/>
            <w:vAlign w:val="bottom"/>
            <w:gridSpan w:val="2"/>
          </w:tcPr>
          <w:p>
            <w:pPr>
              <w:jc w:val="right"/>
              <w:ind w:right="5"/>
              <w:spacing w:after="0"/>
              <w:rPr>
                <w:sz w:val="20"/>
                <w:szCs w:val="20"/>
                <w:color w:val="auto"/>
              </w:rPr>
            </w:pPr>
            <w:r>
              <w:rPr>
                <w:rFonts w:ascii="Arial" w:cs="Arial" w:eastAsia="Arial" w:hAnsi="Arial"/>
                <w:sz w:val="19"/>
                <w:szCs w:val="19"/>
                <w:color w:val="auto"/>
              </w:rPr>
              <w:t>$ 1,224</w:t>
            </w: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3"/>
          </w:tcPr>
          <w:p>
            <w:pPr>
              <w:jc w:val="right"/>
              <w:ind w:right="3"/>
              <w:spacing w:after="0"/>
              <w:rPr>
                <w:sz w:val="20"/>
                <w:szCs w:val="20"/>
                <w:color w:val="auto"/>
              </w:rPr>
            </w:pPr>
            <w:r>
              <w:rPr>
                <w:rFonts w:ascii="Arial" w:cs="Arial" w:eastAsia="Arial" w:hAnsi="Arial"/>
                <w:sz w:val="19"/>
                <w:szCs w:val="19"/>
                <w:color w:val="auto"/>
              </w:rPr>
              <w:t>(841 )</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9"/>
                <w:szCs w:val="19"/>
                <w:color w:val="auto"/>
              </w:rPr>
              <w:t>$  383</w:t>
            </w:r>
          </w:p>
        </w:tc>
        <w:tc>
          <w:tcPr>
            <w:tcW w:w="1060" w:type="dxa"/>
            <w:vAlign w:val="bottom"/>
            <w:gridSpan w:val="3"/>
          </w:tcPr>
          <w:p>
            <w:pPr>
              <w:jc w:val="right"/>
              <w:ind w:right="40"/>
              <w:spacing w:after="0"/>
              <w:rPr>
                <w:sz w:val="20"/>
                <w:szCs w:val="20"/>
                <w:color w:val="auto"/>
              </w:rPr>
            </w:pPr>
            <w:r>
              <w:rPr>
                <w:rFonts w:ascii="Arial" w:cs="Arial" w:eastAsia="Arial" w:hAnsi="Arial"/>
                <w:sz w:val="19"/>
                <w:szCs w:val="19"/>
                <w:color w:val="auto"/>
              </w:rPr>
              <w:t>$ 1,151</w:t>
            </w:r>
          </w:p>
        </w:tc>
        <w:tc>
          <w:tcPr>
            <w:tcW w:w="600" w:type="dxa"/>
            <w:vAlign w:val="bottom"/>
            <w:gridSpan w:val="3"/>
          </w:tcPr>
          <w:p>
            <w:pPr>
              <w:jc w:val="right"/>
              <w:ind w:right="1"/>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23"/>
                <w:szCs w:val="23"/>
                <w:color w:val="auto"/>
              </w:rPr>
            </w:pPr>
          </w:p>
        </w:tc>
        <w:tc>
          <w:tcPr>
            <w:tcW w:w="580" w:type="dxa"/>
            <w:vAlign w:val="bottom"/>
            <w:gridSpan w:val="3"/>
          </w:tcPr>
          <w:p>
            <w:pPr>
              <w:jc w:val="right"/>
              <w:ind w:right="3"/>
              <w:spacing w:after="0"/>
              <w:rPr>
                <w:sz w:val="20"/>
                <w:szCs w:val="20"/>
                <w:color w:val="auto"/>
              </w:rPr>
            </w:pPr>
            <w:r>
              <w:rPr>
                <w:rFonts w:ascii="Arial" w:cs="Arial" w:eastAsia="Arial" w:hAnsi="Arial"/>
                <w:sz w:val="19"/>
                <w:szCs w:val="19"/>
                <w:color w:val="auto"/>
                <w:w w:val="92"/>
              </w:rPr>
              <w:t>(761 )</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5"/>
              <w:spacing w:after="0"/>
              <w:rPr>
                <w:sz w:val="20"/>
                <w:szCs w:val="20"/>
                <w:color w:val="auto"/>
              </w:rPr>
            </w:pPr>
            <w:r>
              <w:rPr>
                <w:rFonts w:ascii="Arial" w:cs="Arial" w:eastAsia="Arial" w:hAnsi="Arial"/>
                <w:sz w:val="19"/>
                <w:szCs w:val="19"/>
                <w:color w:val="auto"/>
              </w:rPr>
              <w:t>390</w:t>
            </w:r>
          </w:p>
        </w:tc>
      </w:tr>
      <w:tr>
        <w:trPr>
          <w:trHeight w:val="270"/>
        </w:trPr>
        <w:tc>
          <w:tcPr>
            <w:tcW w:w="42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Customer relationships</w:t>
            </w: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1,736</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2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(625 )</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760" w:type="dxa"/>
            <w:vAlign w:val="bottom"/>
            <w:gridSpan w:val="3"/>
            <w:shd w:val="clear" w:color="auto" w:fill="E5FFFF"/>
          </w:tcPr>
          <w:p>
            <w:pPr>
              <w:jc w:val="right"/>
              <w:ind w:right="12"/>
              <w:spacing w:after="0"/>
              <w:rPr>
                <w:sz w:val="20"/>
                <w:szCs w:val="20"/>
                <w:color w:val="auto"/>
              </w:rPr>
            </w:pPr>
            <w:r>
              <w:rPr>
                <w:rFonts w:ascii="Arial" w:cs="Arial" w:eastAsia="Arial" w:hAnsi="Arial"/>
                <w:sz w:val="19"/>
                <w:szCs w:val="19"/>
                <w:color w:val="auto"/>
              </w:rPr>
              <w:t>1,111</w:t>
            </w:r>
          </w:p>
        </w:tc>
        <w:tc>
          <w:tcPr>
            <w:tcW w:w="10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1,718</w:t>
            </w:r>
          </w:p>
        </w:tc>
        <w:tc>
          <w:tcPr>
            <w:tcW w:w="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58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w w:val="92"/>
              </w:rPr>
              <w:t>(493 )</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1,225</w:t>
            </w:r>
          </w:p>
        </w:tc>
      </w:tr>
      <w:tr>
        <w:trPr>
          <w:trHeight w:val="270"/>
        </w:trPr>
        <w:tc>
          <w:tcPr>
            <w:tcW w:w="4200" w:type="dxa"/>
            <w:vAlign w:val="bottom"/>
            <w:gridSpan w:val="2"/>
          </w:tcPr>
          <w:p>
            <w:pPr>
              <w:ind w:left="380"/>
              <w:spacing w:after="0"/>
              <w:rPr>
                <w:sz w:val="20"/>
                <w:szCs w:val="20"/>
                <w:color w:val="auto"/>
              </w:rPr>
            </w:pPr>
            <w:r>
              <w:rPr>
                <w:rFonts w:ascii="Arial" w:cs="Arial" w:eastAsia="Arial" w:hAnsi="Arial"/>
                <w:sz w:val="19"/>
                <w:szCs w:val="19"/>
                <w:color w:val="auto"/>
              </w:rPr>
              <w:t>Trademarks</w:t>
            </w:r>
          </w:p>
        </w:tc>
        <w:tc>
          <w:tcPr>
            <w:tcW w:w="180" w:type="dxa"/>
            <w:vAlign w:val="bottom"/>
          </w:tcPr>
          <w:p>
            <w:pPr>
              <w:spacing w:after="0"/>
              <w:rPr>
                <w:sz w:val="23"/>
                <w:szCs w:val="23"/>
                <w:color w:val="auto"/>
              </w:rPr>
            </w:pPr>
          </w:p>
        </w:tc>
        <w:tc>
          <w:tcPr>
            <w:tcW w:w="600" w:type="dxa"/>
            <w:vAlign w:val="bottom"/>
          </w:tcPr>
          <w:p>
            <w:pPr>
              <w:jc w:val="right"/>
              <w:ind w:right="5"/>
              <w:spacing w:after="0"/>
              <w:rPr>
                <w:sz w:val="20"/>
                <w:szCs w:val="20"/>
                <w:color w:val="auto"/>
              </w:rPr>
            </w:pPr>
            <w:r>
              <w:rPr>
                <w:rFonts w:ascii="Arial" w:cs="Arial" w:eastAsia="Arial" w:hAnsi="Arial"/>
                <w:sz w:val="19"/>
                <w:szCs w:val="19"/>
                <w:color w:val="auto"/>
              </w:rPr>
              <w:t>179</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right"/>
              <w:ind w:right="3"/>
              <w:spacing w:after="0"/>
              <w:rPr>
                <w:sz w:val="20"/>
                <w:szCs w:val="20"/>
                <w:color w:val="auto"/>
              </w:rPr>
            </w:pPr>
            <w:r>
              <w:rPr>
                <w:rFonts w:ascii="Arial" w:cs="Arial" w:eastAsia="Arial" w:hAnsi="Arial"/>
                <w:sz w:val="19"/>
                <w:szCs w:val="19"/>
                <w:color w:val="auto"/>
              </w:rPr>
              <w:t>(103 )</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9"/>
                <w:szCs w:val="19"/>
                <w:color w:val="auto"/>
              </w:rPr>
              <w:t>76</w:t>
            </w:r>
          </w:p>
        </w:tc>
        <w:tc>
          <w:tcPr>
            <w:tcW w:w="1060" w:type="dxa"/>
            <w:vAlign w:val="bottom"/>
            <w:gridSpan w:val="3"/>
          </w:tcPr>
          <w:p>
            <w:pPr>
              <w:jc w:val="right"/>
              <w:ind w:right="40"/>
              <w:spacing w:after="0"/>
              <w:rPr>
                <w:sz w:val="20"/>
                <w:szCs w:val="20"/>
                <w:color w:val="auto"/>
              </w:rPr>
            </w:pPr>
            <w:r>
              <w:rPr>
                <w:rFonts w:ascii="Arial" w:cs="Arial" w:eastAsia="Arial" w:hAnsi="Arial"/>
                <w:sz w:val="19"/>
                <w:szCs w:val="19"/>
                <w:color w:val="auto"/>
              </w:rPr>
              <w:t>155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gridSpan w:val="3"/>
          </w:tcPr>
          <w:p>
            <w:pPr>
              <w:jc w:val="right"/>
              <w:ind w:right="3"/>
              <w:spacing w:after="0"/>
              <w:rPr>
                <w:sz w:val="20"/>
                <w:szCs w:val="20"/>
                <w:color w:val="auto"/>
              </w:rPr>
            </w:pPr>
            <w:r>
              <w:rPr>
                <w:rFonts w:ascii="Arial" w:cs="Arial" w:eastAsia="Arial" w:hAnsi="Arial"/>
                <w:sz w:val="19"/>
                <w:szCs w:val="19"/>
                <w:color w:val="auto"/>
              </w:rPr>
              <w:t>(84 )</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5"/>
              <w:spacing w:after="0"/>
              <w:rPr>
                <w:sz w:val="20"/>
                <w:szCs w:val="20"/>
                <w:color w:val="auto"/>
              </w:rPr>
            </w:pPr>
            <w:r>
              <w:rPr>
                <w:rFonts w:ascii="Arial" w:cs="Arial" w:eastAsia="Arial" w:hAnsi="Arial"/>
                <w:sz w:val="19"/>
                <w:szCs w:val="19"/>
                <w:color w:val="auto"/>
              </w:rPr>
              <w:t>71</w:t>
            </w:r>
          </w:p>
        </w:tc>
      </w:tr>
      <w:tr>
        <w:trPr>
          <w:trHeight w:val="270"/>
        </w:trPr>
        <w:tc>
          <w:tcPr>
            <w:tcW w:w="41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311</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3"/>
            <w:shd w:val="clear" w:color="auto" w:fill="E5FFFF"/>
          </w:tcPr>
          <w:p>
            <w:pPr>
              <w:jc w:val="right"/>
              <w:ind w:right="3"/>
              <w:spacing w:after="0"/>
              <w:rPr>
                <w:sz w:val="20"/>
                <w:szCs w:val="20"/>
                <w:color w:val="auto"/>
              </w:rPr>
            </w:pPr>
            <w:r>
              <w:rPr>
                <w:rFonts w:ascii="Arial" w:cs="Arial" w:eastAsia="Arial" w:hAnsi="Arial"/>
                <w:sz w:val="19"/>
                <w:szCs w:val="19"/>
                <w:color w:val="auto"/>
              </w:rPr>
              <w:t>(157 )</w:t>
            </w:r>
          </w:p>
        </w:tc>
        <w:tc>
          <w:tcPr>
            <w:tcW w:w="28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gridSpan w:val="3"/>
            <w:shd w:val="clear" w:color="auto" w:fill="E5FFFF"/>
          </w:tcPr>
          <w:p>
            <w:pPr>
              <w:jc w:val="right"/>
              <w:ind w:right="12"/>
              <w:spacing w:after="0"/>
              <w:rPr>
                <w:sz w:val="20"/>
                <w:szCs w:val="20"/>
                <w:color w:val="auto"/>
              </w:rPr>
            </w:pPr>
            <w:r>
              <w:rPr>
                <w:rFonts w:ascii="Arial" w:cs="Arial" w:eastAsia="Arial" w:hAnsi="Arial"/>
                <w:sz w:val="19"/>
                <w:szCs w:val="19"/>
                <w:color w:val="auto"/>
              </w:rPr>
              <w:t>154</w:t>
            </w:r>
          </w:p>
        </w:tc>
        <w:tc>
          <w:tcPr>
            <w:tcW w:w="300" w:type="dxa"/>
            <w:vAlign w:val="bottom"/>
            <w:shd w:val="clear" w:color="auto" w:fill="E5FFFF"/>
          </w:tcPr>
          <w:p>
            <w:pPr>
              <w:spacing w:after="0"/>
              <w:rPr>
                <w:sz w:val="23"/>
                <w:szCs w:val="23"/>
                <w:color w:val="auto"/>
              </w:rPr>
            </w:pPr>
          </w:p>
        </w:tc>
        <w:tc>
          <w:tcPr>
            <w:tcW w:w="7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211</w:t>
            </w:r>
          </w:p>
        </w:tc>
        <w:tc>
          <w:tcPr>
            <w:tcW w:w="6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gridSpan w:val="3"/>
            <w:shd w:val="clear" w:color="auto" w:fill="E5FFFF"/>
          </w:tcPr>
          <w:p>
            <w:pPr>
              <w:jc w:val="right"/>
              <w:ind w:right="3"/>
              <w:spacing w:after="0"/>
              <w:rPr>
                <w:sz w:val="20"/>
                <w:szCs w:val="20"/>
                <w:color w:val="auto"/>
              </w:rPr>
            </w:pPr>
            <w:r>
              <w:rPr>
                <w:rFonts w:ascii="Arial" w:cs="Arial" w:eastAsia="Arial" w:hAnsi="Arial"/>
                <w:sz w:val="19"/>
                <w:szCs w:val="19"/>
                <w:color w:val="auto"/>
                <w:w w:val="92"/>
              </w:rPr>
              <w:t>(145 )</w:t>
            </w:r>
          </w:p>
        </w:tc>
        <w:tc>
          <w:tcPr>
            <w:tcW w:w="3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66</w:t>
            </w:r>
          </w:p>
        </w:tc>
      </w:tr>
      <w:tr>
        <w:trPr>
          <w:trHeight w:val="304"/>
        </w:trPr>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5"/>
              <w:spacing w:after="0"/>
              <w:rPr>
                <w:sz w:val="20"/>
                <w:szCs w:val="20"/>
                <w:color w:val="auto"/>
              </w:rPr>
            </w:pPr>
            <w:r>
              <w:rPr>
                <w:rFonts w:ascii="Arial" w:cs="Arial" w:eastAsia="Arial" w:hAnsi="Arial"/>
                <w:sz w:val="19"/>
                <w:szCs w:val="19"/>
                <w:color w:val="auto"/>
              </w:rPr>
              <w:t>3,450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3"/>
              <w:spacing w:after="0"/>
              <w:rPr>
                <w:sz w:val="20"/>
                <w:szCs w:val="20"/>
                <w:color w:val="auto"/>
              </w:rPr>
            </w:pPr>
            <w:r>
              <w:rPr>
                <w:rFonts w:ascii="Arial" w:cs="Arial" w:eastAsia="Arial" w:hAnsi="Arial"/>
                <w:sz w:val="19"/>
                <w:szCs w:val="19"/>
                <w:color w:val="auto"/>
              </w:rPr>
              <w:t>(1,726 )</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9"/>
                <w:szCs w:val="19"/>
                <w:color w:val="auto"/>
              </w:rPr>
              <w:t>1,724</w:t>
            </w:r>
          </w:p>
        </w:tc>
        <w:tc>
          <w:tcPr>
            <w:tcW w:w="1060" w:type="dxa"/>
            <w:vAlign w:val="bottom"/>
            <w:gridSpan w:val="3"/>
          </w:tcPr>
          <w:p>
            <w:pPr>
              <w:jc w:val="right"/>
              <w:ind w:right="40"/>
              <w:spacing w:after="0"/>
              <w:rPr>
                <w:sz w:val="20"/>
                <w:szCs w:val="20"/>
                <w:color w:val="auto"/>
              </w:rPr>
            </w:pPr>
            <w:r>
              <w:rPr>
                <w:rFonts w:ascii="Arial" w:cs="Arial" w:eastAsia="Arial" w:hAnsi="Arial"/>
                <w:sz w:val="19"/>
                <w:szCs w:val="19"/>
                <w:color w:val="auto"/>
              </w:rPr>
              <w:t>3,235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4"/>
          </w:tcPr>
          <w:p>
            <w:pPr>
              <w:jc w:val="right"/>
              <w:ind w:right="3"/>
              <w:spacing w:after="0"/>
              <w:rPr>
                <w:sz w:val="20"/>
                <w:szCs w:val="20"/>
                <w:color w:val="auto"/>
              </w:rPr>
            </w:pPr>
            <w:r>
              <w:rPr>
                <w:rFonts w:ascii="Arial" w:cs="Arial" w:eastAsia="Arial" w:hAnsi="Arial"/>
                <w:sz w:val="19"/>
                <w:szCs w:val="19"/>
                <w:color w:val="auto"/>
              </w:rPr>
              <w:t>(1,483 )</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
              <w:spacing w:after="0"/>
              <w:rPr>
                <w:sz w:val="20"/>
                <w:szCs w:val="20"/>
                <w:color w:val="auto"/>
              </w:rPr>
            </w:pPr>
            <w:r>
              <w:rPr>
                <w:rFonts w:ascii="Arial" w:cs="Arial" w:eastAsia="Arial" w:hAnsi="Arial"/>
                <w:sz w:val="19"/>
                <w:szCs w:val="19"/>
                <w:color w:val="auto"/>
              </w:rPr>
              <w:t>1,752</w:t>
            </w:r>
          </w:p>
        </w:tc>
      </w:tr>
      <w:tr>
        <w:trPr>
          <w:trHeight w:val="34"/>
        </w:trPr>
        <w:tc>
          <w:tcPr>
            <w:tcW w:w="41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243"/>
        </w:trPr>
        <w:tc>
          <w:tcPr>
            <w:tcW w:w="42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Indefinite life intangibles:</w:t>
            </w: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r>
      <w:tr>
        <w:trPr>
          <w:trHeight w:val="270"/>
        </w:trPr>
        <w:tc>
          <w:tcPr>
            <w:tcW w:w="4200" w:type="dxa"/>
            <w:vAlign w:val="bottom"/>
            <w:gridSpan w:val="2"/>
          </w:tcPr>
          <w:p>
            <w:pPr>
              <w:ind w:left="380"/>
              <w:spacing w:after="0"/>
              <w:rPr>
                <w:sz w:val="20"/>
                <w:szCs w:val="20"/>
                <w:color w:val="auto"/>
              </w:rPr>
            </w:pPr>
            <w:r>
              <w:rPr>
                <w:rFonts w:ascii="Arial" w:cs="Arial" w:eastAsia="Arial" w:hAnsi="Arial"/>
                <w:sz w:val="19"/>
                <w:szCs w:val="19"/>
                <w:color w:val="auto"/>
              </w:rPr>
              <w:t>Trademarks</w:t>
            </w:r>
          </w:p>
        </w:tc>
        <w:tc>
          <w:tcPr>
            <w:tcW w:w="180" w:type="dxa"/>
            <w:vAlign w:val="bottom"/>
          </w:tcPr>
          <w:p>
            <w:pPr>
              <w:spacing w:after="0"/>
              <w:rPr>
                <w:sz w:val="23"/>
                <w:szCs w:val="23"/>
                <w:color w:val="auto"/>
              </w:rPr>
            </w:pPr>
          </w:p>
        </w:tc>
        <w:tc>
          <w:tcPr>
            <w:tcW w:w="600" w:type="dxa"/>
            <w:vAlign w:val="bottom"/>
          </w:tcPr>
          <w:p>
            <w:pPr>
              <w:jc w:val="right"/>
              <w:ind w:right="5"/>
              <w:spacing w:after="0"/>
              <w:rPr>
                <w:sz w:val="20"/>
                <w:szCs w:val="20"/>
                <w:color w:val="auto"/>
              </w:rPr>
            </w:pPr>
            <w:r>
              <w:rPr>
                <w:rFonts w:ascii="Arial" w:cs="Arial" w:eastAsia="Arial" w:hAnsi="Arial"/>
                <w:sz w:val="19"/>
                <w:szCs w:val="19"/>
                <w:color w:val="auto"/>
              </w:rPr>
              <w:t>725</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9"/>
                <w:szCs w:val="19"/>
                <w:color w:val="auto"/>
              </w:rPr>
              <w:t>725</w:t>
            </w:r>
          </w:p>
        </w:tc>
        <w:tc>
          <w:tcPr>
            <w:tcW w:w="1060" w:type="dxa"/>
            <w:vAlign w:val="bottom"/>
            <w:gridSpan w:val="3"/>
          </w:tcPr>
          <w:p>
            <w:pPr>
              <w:jc w:val="right"/>
              <w:ind w:right="40"/>
              <w:spacing w:after="0"/>
              <w:rPr>
                <w:sz w:val="20"/>
                <w:szCs w:val="20"/>
                <w:color w:val="auto"/>
              </w:rPr>
            </w:pPr>
            <w:r>
              <w:rPr>
                <w:rFonts w:ascii="Arial" w:cs="Arial" w:eastAsia="Arial" w:hAnsi="Arial"/>
                <w:sz w:val="19"/>
                <w:szCs w:val="19"/>
                <w:color w:val="auto"/>
              </w:rPr>
              <w:t>725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5"/>
              <w:spacing w:after="0"/>
              <w:rPr>
                <w:sz w:val="20"/>
                <w:szCs w:val="20"/>
                <w:color w:val="auto"/>
              </w:rPr>
            </w:pPr>
            <w:r>
              <w:rPr>
                <w:rFonts w:ascii="Arial" w:cs="Arial" w:eastAsia="Arial" w:hAnsi="Arial"/>
                <w:sz w:val="19"/>
                <w:szCs w:val="19"/>
                <w:color w:val="auto"/>
              </w:rPr>
              <w:t>725</w:t>
            </w:r>
          </w:p>
        </w:tc>
      </w:tr>
      <w:tr>
        <w:trPr>
          <w:trHeight w:val="34"/>
        </w:trPr>
        <w:tc>
          <w:tcPr>
            <w:tcW w:w="41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270"/>
        </w:trPr>
        <w:tc>
          <w:tcPr>
            <w:tcW w:w="41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780" w:type="dxa"/>
            <w:vAlign w:val="bottom"/>
            <w:gridSpan w:val="2"/>
            <w:shd w:val="clear" w:color="auto" w:fill="E5FFFF"/>
          </w:tcPr>
          <w:p>
            <w:pPr>
              <w:jc w:val="right"/>
              <w:ind w:right="5"/>
              <w:spacing w:after="0"/>
              <w:rPr>
                <w:sz w:val="20"/>
                <w:szCs w:val="20"/>
                <w:color w:val="auto"/>
              </w:rPr>
            </w:pPr>
            <w:r>
              <w:rPr>
                <w:rFonts w:ascii="Arial" w:cs="Arial" w:eastAsia="Arial" w:hAnsi="Arial"/>
                <w:sz w:val="19"/>
                <w:szCs w:val="19"/>
                <w:color w:val="auto"/>
              </w:rPr>
              <w:t>$ 4,175</w:t>
            </w:r>
          </w:p>
        </w:tc>
        <w:tc>
          <w:tcPr>
            <w:tcW w:w="4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2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(1,726 )</w:t>
            </w:r>
          </w:p>
        </w:tc>
        <w:tc>
          <w:tcPr>
            <w:tcW w:w="2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760" w:type="dxa"/>
            <w:vAlign w:val="bottom"/>
            <w:gridSpan w:val="3"/>
            <w:shd w:val="clear" w:color="auto" w:fill="E5FFFF"/>
          </w:tcPr>
          <w:p>
            <w:pPr>
              <w:jc w:val="right"/>
              <w:ind w:right="12"/>
              <w:spacing w:after="0"/>
              <w:rPr>
                <w:sz w:val="20"/>
                <w:szCs w:val="20"/>
                <w:color w:val="auto"/>
              </w:rPr>
            </w:pPr>
            <w:r>
              <w:rPr>
                <w:rFonts w:ascii="Arial" w:cs="Arial" w:eastAsia="Arial" w:hAnsi="Arial"/>
                <w:sz w:val="19"/>
                <w:szCs w:val="19"/>
                <w:color w:val="auto"/>
              </w:rPr>
              <w:t>$ 2,449</w:t>
            </w:r>
          </w:p>
        </w:tc>
        <w:tc>
          <w:tcPr>
            <w:tcW w:w="10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$ 3,960</w:t>
            </w:r>
          </w:p>
        </w:tc>
        <w:tc>
          <w:tcPr>
            <w:tcW w:w="60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980" w:type="dxa"/>
            <w:vAlign w:val="bottom"/>
            <w:gridSpan w:val="4"/>
            <w:shd w:val="clear" w:color="auto" w:fill="E5FFFF"/>
          </w:tcPr>
          <w:p>
            <w:pPr>
              <w:jc w:val="right"/>
              <w:ind w:right="3"/>
              <w:spacing w:after="0"/>
              <w:rPr>
                <w:sz w:val="20"/>
                <w:szCs w:val="20"/>
                <w:color w:val="auto"/>
              </w:rPr>
            </w:pPr>
            <w:r>
              <w:rPr>
                <w:rFonts w:ascii="Arial" w:cs="Arial" w:eastAsia="Arial" w:hAnsi="Arial"/>
                <w:sz w:val="19"/>
                <w:szCs w:val="19"/>
                <w:color w:val="auto"/>
              </w:rPr>
              <w:t>(1,483 )</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2,477</w:t>
            </w:r>
          </w:p>
        </w:tc>
      </w:tr>
      <w:tr>
        <w:trPr>
          <w:trHeight w:val="20"/>
        </w:trPr>
        <w:tc>
          <w:tcPr>
            <w:tcW w:w="4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63"/>
        </w:trPr>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449"/>
              <w:spacing w:after="0"/>
              <w:rPr>
                <w:sz w:val="20"/>
                <w:szCs w:val="20"/>
                <w:color w:val="auto"/>
              </w:rPr>
            </w:pPr>
            <w:r>
              <w:rPr>
                <w:rFonts w:ascii="Arial" w:cs="Arial" w:eastAsia="Arial" w:hAnsi="Arial"/>
                <w:sz w:val="19"/>
                <w:szCs w:val="19"/>
                <w:color w:val="auto"/>
              </w:rPr>
              <w:t>81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4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Intangible assets amortization expense was $266, $249, and $263 million in 2012, 2011, 2010, respectively. Estimated intangible asset amortization expense for each of the next five years approximates $275 million in 2013, $247 million in 2014, $206 million in 2015, $152 million in 2016, and $142 million in 2017.</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13—Accrued Liabilities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Compensation, benefit and other employee related</w:t>
            </w:r>
          </w:p>
        </w:tc>
        <w:tc>
          <w:tcPr>
            <w:tcW w:w="41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1,447</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1,555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Customer advances and deferred income</w:t>
            </w: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2,127</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1,914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Asbestos related liabilities</w:t>
            </w:r>
          </w:p>
        </w:tc>
        <w:tc>
          <w:tcPr>
            <w:tcW w:w="39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Repositioning</w:t>
            </w: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323</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412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Product warranties and performance guarantees</w:t>
            </w:r>
          </w:p>
        </w:tc>
        <w:tc>
          <w:tcPr>
            <w:tcW w:w="39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375</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Environmental costs</w:t>
            </w: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304</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303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39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548</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Accrued interest</w:t>
            </w: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108</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108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taxes (payroll, sales, VAT etc.)</w:t>
            </w:r>
          </w:p>
        </w:tc>
        <w:tc>
          <w:tcPr>
            <w:tcW w:w="39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232</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233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Insurance</w:t>
            </w: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192</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180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(primarily operating expenses)</w:t>
            </w:r>
          </w:p>
        </w:tc>
        <w:tc>
          <w:tcPr>
            <w:tcW w:w="392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1,072</w:t>
            </w: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1,236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12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7,208</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6,863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vMerge w:val="restart"/>
          </w:tcPr>
          <w:p>
            <w:pPr>
              <w:jc w:val="right"/>
              <w:ind w:right="3243"/>
              <w:spacing w:after="0"/>
              <w:rPr>
                <w:sz w:val="20"/>
                <w:szCs w:val="20"/>
                <w:color w:val="auto"/>
              </w:rPr>
            </w:pPr>
            <w:r>
              <w:rPr>
                <w:rFonts w:ascii="Arial" w:cs="Arial" w:eastAsia="Arial" w:hAnsi="Arial"/>
                <w:sz w:val="19"/>
                <w:szCs w:val="19"/>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14—Long-term Debt and Credit Agreements</w:t>
      </w:r>
    </w:p>
    <w:p>
      <w:pPr>
        <w:spacing w:after="0" w:line="75"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4.25% notes due 2013</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600</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3.875% notes due 2014</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600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5.40% notes due 2016</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400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5.30% notes due 2017</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400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5.30% notes due 2018</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900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5.00% notes due 2019</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900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900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4.25% notes due 2021</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800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800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5.375% notes due 2041</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600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Industrial development bond obligations, floating rate maturing at various dates through 2037</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37</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6.625% debentures due 2028</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216</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216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9.065% debentures due 2033</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51</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5.70% notes due 2036</w:t>
            </w:r>
          </w:p>
        </w:tc>
        <w:tc>
          <w:tcPr>
            <w:tcW w:w="220" w:type="dxa"/>
            <w:vAlign w:val="bottom"/>
          </w:tcPr>
          <w:p>
            <w:pPr>
              <w:spacing w:after="0"/>
              <w:rPr>
                <w:sz w:val="23"/>
                <w:szCs w:val="23"/>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9"/>
                <w:szCs w:val="19"/>
                <w:color w:val="auto"/>
              </w:rPr>
              <w:t>550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550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5.70% notes due 2037</w:t>
            </w: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Other (including capitalized leases), 0.2%—9.5% maturing at various dates through 2023</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9"/>
                <w:szCs w:val="19"/>
                <w:color w:val="auto"/>
              </w:rPr>
              <w:t>366</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9"/>
                <w:szCs w:val="19"/>
                <w:color w:val="auto"/>
              </w:rPr>
              <w:t>242</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7,020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6,896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Less: current portion</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(625 )</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(15 )</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6,395</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E5FFFF"/>
          </w:tcPr>
          <w:p>
            <w:pPr>
              <w:jc w:val="right"/>
              <w:ind w:right="180"/>
              <w:spacing w:after="0"/>
              <w:rPr>
                <w:sz w:val="20"/>
                <w:szCs w:val="20"/>
                <w:color w:val="auto"/>
              </w:rPr>
            </w:pPr>
            <w:r>
              <w:rPr>
                <w:rFonts w:ascii="Arial" w:cs="Arial" w:eastAsia="Arial" w:hAnsi="Arial"/>
                <w:sz w:val="19"/>
                <w:szCs w:val="19"/>
                <w:color w:val="auto"/>
              </w:rPr>
              <w:t>6,881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9"/>
                <w:szCs w:val="19"/>
                <w:color w:val="auto"/>
              </w:rPr>
              <w:t>The schedule of principal payments on long-term debt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1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220" w:type="dxa"/>
            <w:vAlign w:val="bottom"/>
            <w:shd w:val="clear" w:color="auto" w:fill="E5FFFF"/>
          </w:tcPr>
          <w:p>
            <w:pPr>
              <w:spacing w:after="0"/>
              <w:rPr>
                <w:sz w:val="22"/>
                <w:szCs w:val="22"/>
                <w:color w:val="auto"/>
              </w:rPr>
            </w:pPr>
          </w:p>
        </w:tc>
        <w:tc>
          <w:tcPr>
            <w:tcW w:w="7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9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625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700" w:type="dxa"/>
            <w:vAlign w:val="bottom"/>
            <w:gridSpan w:val="2"/>
          </w:tcPr>
          <w:p>
            <w:pPr>
              <w:ind w:left="160"/>
              <w:spacing w:after="0"/>
              <w:rPr>
                <w:sz w:val="20"/>
                <w:szCs w:val="20"/>
                <w:color w:val="auto"/>
              </w:rPr>
            </w:pPr>
            <w:r>
              <w:rPr>
                <w:rFonts w:ascii="Arial" w:cs="Arial" w:eastAsia="Arial" w:hAnsi="Arial"/>
                <w:sz w:val="19"/>
                <w:szCs w:val="19"/>
                <w:color w:val="auto"/>
              </w:rPr>
              <w:t>2014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3"/>
          </w:tcPr>
          <w:p>
            <w:pPr>
              <w:jc w:val="right"/>
              <w:ind w:right="104"/>
              <w:spacing w:after="0"/>
              <w:rPr>
                <w:sz w:val="20"/>
                <w:szCs w:val="20"/>
                <w:color w:val="auto"/>
              </w:rPr>
            </w:pPr>
            <w:r>
              <w:rPr>
                <w:rFonts w:ascii="Arial" w:cs="Arial" w:eastAsia="Arial" w:hAnsi="Arial"/>
                <w:sz w:val="19"/>
                <w:szCs w:val="19"/>
                <w:color w:val="auto"/>
              </w:rPr>
              <w:t>660</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2015</w:t>
            </w:r>
          </w:p>
        </w:tc>
        <w:tc>
          <w:tcPr>
            <w:tcW w:w="22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440" w:type="dxa"/>
            <w:vAlign w:val="bottom"/>
            <w:shd w:val="clear" w:color="auto" w:fill="E5FFFF"/>
          </w:tcPr>
          <w:p>
            <w:pPr>
              <w:jc w:val="right"/>
              <w:ind w:right="104"/>
              <w:spacing w:after="0"/>
              <w:rPr>
                <w:sz w:val="20"/>
                <w:szCs w:val="20"/>
                <w:color w:val="auto"/>
              </w:rPr>
            </w:pPr>
            <w:r>
              <w:rPr>
                <w:rFonts w:ascii="Arial" w:cs="Arial" w:eastAsia="Arial" w:hAnsi="Arial"/>
                <w:sz w:val="19"/>
                <w:szCs w:val="19"/>
                <w:color w:val="auto"/>
              </w:rPr>
              <w:t>51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00" w:type="dxa"/>
            <w:vAlign w:val="bottom"/>
            <w:gridSpan w:val="2"/>
          </w:tcPr>
          <w:p>
            <w:pPr>
              <w:ind w:left="160"/>
              <w:spacing w:after="0"/>
              <w:rPr>
                <w:sz w:val="20"/>
                <w:szCs w:val="20"/>
                <w:color w:val="auto"/>
              </w:rPr>
            </w:pPr>
            <w:r>
              <w:rPr>
                <w:rFonts w:ascii="Arial" w:cs="Arial" w:eastAsia="Arial" w:hAnsi="Arial"/>
                <w:sz w:val="19"/>
                <w:szCs w:val="19"/>
                <w:color w:val="auto"/>
              </w:rPr>
              <w:t>2016</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gridSpan w:val="3"/>
          </w:tcPr>
          <w:p>
            <w:pPr>
              <w:jc w:val="right"/>
              <w:ind w:right="104"/>
              <w:spacing w:after="0"/>
              <w:rPr>
                <w:sz w:val="20"/>
                <w:szCs w:val="20"/>
                <w:color w:val="auto"/>
              </w:rPr>
            </w:pPr>
            <w:r>
              <w:rPr>
                <w:rFonts w:ascii="Arial" w:cs="Arial" w:eastAsia="Arial" w:hAnsi="Arial"/>
                <w:sz w:val="19"/>
                <w:szCs w:val="19"/>
                <w:color w:val="auto"/>
              </w:rPr>
              <w:t>454</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2017</w:t>
            </w:r>
          </w:p>
        </w:tc>
        <w:tc>
          <w:tcPr>
            <w:tcW w:w="22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409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9"/>
                <w:szCs w:val="19"/>
                <w:color w:val="auto"/>
              </w:rPr>
              <w:t>4,821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7,020</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tcPr>
          <w:p>
            <w:pPr>
              <w:ind w:left="20"/>
              <w:spacing w:after="0"/>
              <w:rPr>
                <w:sz w:val="20"/>
                <w:szCs w:val="20"/>
                <w:color w:val="auto"/>
              </w:rPr>
            </w:pPr>
            <w:r>
              <w:rPr>
                <w:rFonts w:ascii="Arial" w:cs="Arial" w:eastAsia="Arial" w:hAnsi="Arial"/>
                <w:sz w:val="19"/>
                <w:szCs w:val="19"/>
                <w:color w:val="auto"/>
              </w:rPr>
              <w:t>Less-current portion</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9"/>
                <w:szCs w:val="19"/>
                <w:color w:val="auto"/>
              </w:rPr>
              <w:t>(625 )</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5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w:t>
            </w:r>
          </w:p>
        </w:tc>
        <w:tc>
          <w:tcPr>
            <w:tcW w:w="920" w:type="dxa"/>
            <w:vAlign w:val="bottom"/>
            <w:gridSpan w:val="3"/>
            <w:shd w:val="clear" w:color="auto" w:fill="E5FFFF"/>
          </w:tcPr>
          <w:p>
            <w:pPr>
              <w:jc w:val="right"/>
              <w:ind w:right="104"/>
              <w:spacing w:after="0"/>
              <w:rPr>
                <w:sz w:val="20"/>
                <w:szCs w:val="20"/>
                <w:color w:val="auto"/>
              </w:rPr>
            </w:pPr>
            <w:r>
              <w:rPr>
                <w:rFonts w:ascii="Arial" w:cs="Arial" w:eastAsia="Arial" w:hAnsi="Arial"/>
                <w:sz w:val="19"/>
                <w:szCs w:val="19"/>
                <w:color w:val="auto"/>
              </w:rPr>
              <w:t>6,395</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On April 2, 2012, the Company entered into a $3,000 million Amended and Restated Five Year Credit Agreement (“Credit Agreement”) with a syndicate of banks. Commitments under the Credit Agreement can be increased pursuant to the terms of the Credit Agreement to an aggregate amount not to exceed $3,500 million. The Credit Agreement contains a $700 million sub-limit for the issuance of letters of credit. The Credit Agreement is maintained for general corporate purposes and amends and restates the previous $ 2,800 million five year credit agreement dated March 31, 2011 (“Prior Agreement”). There have been no borrowings under the Credit Agreement or the Prior Agreement.</w:t>
      </w:r>
    </w:p>
    <w:p>
      <w:pPr>
        <w:spacing w:after="0" w:line="94"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The Credit Agreement does not restrict our ability to pay dividends and contains no financial covenants. The failure to comply with customary conditions or the occurrence of customary events of default contained in the credit agreement would prevent any further borrowings and would generally require the repayment of any outstanding borrowings under the credit agreement. Such events of default include: (a) non-payment of credit agreement debt, interest or fees; (b) non-compliance with the terms of the credit agreement covenants; (c) cross-default to other debt in certain circumstances; (d) bankruptcy; and (e) defaults upon obligations under Employee Retirement Income Security Act.</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6" w:right="3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40"/>
        <w:spacing w:after="0" w:line="242" w:lineRule="auto"/>
        <w:rPr>
          <w:sz w:val="20"/>
          <w:szCs w:val="20"/>
          <w:color w:val="auto"/>
        </w:rPr>
      </w:pPr>
      <w:r>
        <w:rPr>
          <w:rFonts w:ascii="Arial" w:cs="Arial" w:eastAsia="Arial" w:hAnsi="Arial"/>
          <w:sz w:val="19"/>
          <w:szCs w:val="19"/>
          <w:color w:val="auto"/>
        </w:rPr>
        <w:t>Additionally, each of the banks has the right to terminate its commitment to lend additional funds or issue letters of credit under the agreement if any person or group acquires beneficial ownership of 30 percent or more of our voting stock, or, during any 12-month period, individuals who were directors of Honeywell at the beginning of the period cease to constitute a majority of the Board of Directors.</w:t>
      </w:r>
    </w:p>
    <w:p>
      <w:pPr>
        <w:spacing w:after="0" w:line="91"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Credit Agreement has substantially the same material terms and conditions as the Prior Agreement with an improvement in pricing and an extension of maturity. Loans under the Credit Agreement are required to be repaid no later than April 2, 2017, unless such date is extended pursuant to the terms of the Credit Agreement. We have agreed to pay a facility fee of 0.08 percent per annum on the aggregate commitment.</w:t>
      </w:r>
    </w:p>
    <w:p>
      <w:pPr>
        <w:spacing w:after="0" w:line="91"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Revolving credit borrowings under the Credit Agreement would bear interest, at Honeywell’s option, (A) (1) at a rate equal to the highest of (a) the floating base rate publicly announced by Citibank, N.A., (b) 0.5 percent above the Federal funds rate or (c) LIBOR plus 1.00 percent, plus (2) a margin based on Honeywell’s credit default swap mid-rate spread and subject to a floor and a cap as set forth in the Credit Agreement (the “Applicable Margin”) minus 1.00 percent, provided such margin shall not be less than zero; or (B) at a rate equal to LIBOR plus the Applicable Margin; or (C) by a competitive bidding procedure.</w:t>
      </w:r>
    </w:p>
    <w:p>
      <w:pPr>
        <w:spacing w:after="0" w:line="91"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The facility fee and the letter of credit issuance fee are subject to change, based upon a grid determined by our long term debt ratings. The Credit Agreement is not subject to termination based upon a decrease in our debt ratings or a material adverse change.</w:t>
      </w:r>
    </w:p>
    <w:p>
      <w:pPr>
        <w:spacing w:after="0" w:line="80"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In February 2011, the Company issued $800 million 4.25 percent Senior Notes due 2021 and $600 million 5.375 percent Senior Notes due 2041 (collectively, the “Notes”). The Notes are senior unsecured and unsubordinated obligations of Honeywell and rank equally with all of Honeywell’s existing and future senior unsecured debt and senior to all of Honeywell’s subordinated debt. The offering resulted in gross proceeds of $1,400 million, offset by $19 million in discount and closing costs related to the offering.</w:t>
      </w:r>
    </w:p>
    <w:p>
      <w:pPr>
        <w:spacing w:after="0" w:line="78" w:lineRule="exact"/>
        <w:rPr>
          <w:sz w:val="20"/>
          <w:szCs w:val="20"/>
          <w:color w:val="auto"/>
        </w:rPr>
      </w:pPr>
    </w:p>
    <w:p>
      <w:pPr>
        <w:ind w:right="240" w:firstLine="357"/>
        <w:spacing w:after="0" w:line="245" w:lineRule="auto"/>
        <w:rPr>
          <w:sz w:val="20"/>
          <w:szCs w:val="20"/>
          <w:color w:val="auto"/>
        </w:rPr>
      </w:pPr>
      <w:r>
        <w:rPr>
          <w:rFonts w:ascii="Arial" w:cs="Arial" w:eastAsia="Arial" w:hAnsi="Arial"/>
          <w:sz w:val="19"/>
          <w:szCs w:val="19"/>
          <w:color w:val="auto"/>
        </w:rPr>
        <w:t>In the first quarter of 2011, the Company repurchased the entire outstanding principal amount of its $400 million 5.625 percent Notes due 2012 via a cash tender offer and a subsequent optional redemption. The cost relating to the early redemption of the Notes, including the “make-whole premium”, was $29 million.</w:t>
      </w:r>
    </w:p>
    <w:p>
      <w:pPr>
        <w:spacing w:after="0" w:line="87" w:lineRule="exact"/>
        <w:rPr>
          <w:sz w:val="20"/>
          <w:szCs w:val="20"/>
          <w:color w:val="auto"/>
        </w:rPr>
      </w:pPr>
    </w:p>
    <w:p>
      <w:pPr>
        <w:ind w:right="140" w:firstLine="357"/>
        <w:spacing w:after="0" w:line="253" w:lineRule="auto"/>
        <w:rPr>
          <w:sz w:val="20"/>
          <w:szCs w:val="20"/>
          <w:color w:val="auto"/>
        </w:rPr>
      </w:pPr>
      <w:r>
        <w:rPr>
          <w:rFonts w:ascii="Arial" w:cs="Arial" w:eastAsia="Arial" w:hAnsi="Arial"/>
          <w:sz w:val="19"/>
          <w:szCs w:val="19"/>
          <w:color w:val="auto"/>
        </w:rPr>
        <w:t>In the fourth quarter of 2011, the Company repaid $500 million of its 6.125 percent notes. The repayment was funded with cash provided by operating activities.</w:t>
      </w:r>
    </w:p>
    <w:p>
      <w:pPr>
        <w:spacing w:after="0" w:line="80"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As a source of liquidity, we sell interests in designated pools of trade accounts receivables to third parties. As of December 31, 2012 and December 31, 2011, none of the receivables in the designated pools had been sold to third parties. When we sell receivables, they are over-collateralized and we retain a subordinated interest in the pool of receivables representing that over-collateralization as well as an undivided interest in the balance of the receivables pools. The terms of the trade accounts receivable program permit the repurchase of receivables from the third parties at our discretion, providing us with an additional source of revolving credit. As a result, program receivables remain on the Company’s balance sheet with a corresponding amount recorded as Short-term borrowings.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15—Lease Commitments</w:t>
      </w:r>
    </w:p>
    <w:p>
      <w:pPr>
        <w:spacing w:after="0" w:line="130" w:lineRule="exact"/>
        <w:rPr>
          <w:sz w:val="20"/>
          <w:szCs w:val="20"/>
          <w:color w:val="auto"/>
        </w:rPr>
      </w:pPr>
    </w:p>
    <w:p>
      <w:pPr>
        <w:ind w:right="100" w:firstLine="357"/>
        <w:spacing w:after="0" w:line="253" w:lineRule="auto"/>
        <w:rPr>
          <w:sz w:val="20"/>
          <w:szCs w:val="20"/>
          <w:color w:val="auto"/>
        </w:rPr>
      </w:pPr>
      <w:r>
        <w:rPr>
          <w:rFonts w:ascii="Arial" w:cs="Arial" w:eastAsia="Arial" w:hAnsi="Arial"/>
          <w:sz w:val="19"/>
          <w:szCs w:val="19"/>
          <w:color w:val="auto"/>
        </w:rPr>
        <w:t>Future minimum lease payments under operating leases having initial or remaining noncancellable lease terms in excess of one year are as follows:</w:t>
      </w:r>
    </w:p>
    <w:p>
      <w:pPr>
        <w:spacing w:after="0" w:line="1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15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At December 31,</w:t>
            </w:r>
          </w:p>
        </w:tc>
      </w:tr>
      <w:tr>
        <w:trPr>
          <w:trHeight w:val="204"/>
        </w:trPr>
        <w:tc>
          <w:tcPr>
            <w:tcW w:w="8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2012</w:t>
            </w:r>
          </w:p>
        </w:tc>
      </w:tr>
      <w:tr>
        <w:trPr>
          <w:trHeight w:val="264"/>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400" w:type="dxa"/>
            <w:vAlign w:val="bottom"/>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305</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2014</w:t>
            </w:r>
          </w:p>
        </w:tc>
        <w:tc>
          <w:tcPr>
            <w:tcW w:w="400" w:type="dxa"/>
            <w:vAlign w:val="bottom"/>
          </w:tcPr>
          <w:p>
            <w:pPr>
              <w:spacing w:after="0"/>
              <w:rPr>
                <w:sz w:val="23"/>
                <w:szCs w:val="23"/>
                <w:color w:val="auto"/>
              </w:rPr>
            </w:pPr>
          </w:p>
        </w:tc>
        <w:tc>
          <w:tcPr>
            <w:tcW w:w="1180" w:type="dxa"/>
            <w:vAlign w:val="bottom"/>
          </w:tcPr>
          <w:p>
            <w:pPr>
              <w:jc w:val="right"/>
              <w:ind w:right="65"/>
              <w:spacing w:after="0"/>
              <w:rPr>
                <w:sz w:val="20"/>
                <w:szCs w:val="20"/>
                <w:color w:val="auto"/>
              </w:rPr>
            </w:pPr>
            <w:r>
              <w:rPr>
                <w:rFonts w:ascii="Arial" w:cs="Arial" w:eastAsia="Arial" w:hAnsi="Arial"/>
                <w:sz w:val="19"/>
                <w:szCs w:val="19"/>
                <w:color w:val="auto"/>
              </w:rPr>
              <w:t>251</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2015</w:t>
            </w:r>
          </w:p>
        </w:tc>
        <w:tc>
          <w:tcPr>
            <w:tcW w:w="400" w:type="dxa"/>
            <w:vAlign w:val="bottom"/>
            <w:shd w:val="clear" w:color="auto" w:fill="E5FFFF"/>
          </w:tcPr>
          <w:p>
            <w:pPr>
              <w:spacing w:after="0"/>
              <w:rPr>
                <w:sz w:val="23"/>
                <w:szCs w:val="23"/>
                <w:color w:val="auto"/>
              </w:rPr>
            </w:pP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191</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2016</w:t>
            </w:r>
          </w:p>
        </w:tc>
        <w:tc>
          <w:tcPr>
            <w:tcW w:w="400" w:type="dxa"/>
            <w:vAlign w:val="bottom"/>
          </w:tcPr>
          <w:p>
            <w:pPr>
              <w:spacing w:after="0"/>
              <w:rPr>
                <w:sz w:val="23"/>
                <w:szCs w:val="23"/>
                <w:color w:val="auto"/>
              </w:rPr>
            </w:pPr>
          </w:p>
        </w:tc>
        <w:tc>
          <w:tcPr>
            <w:tcW w:w="1180" w:type="dxa"/>
            <w:vAlign w:val="bottom"/>
          </w:tcPr>
          <w:p>
            <w:pPr>
              <w:jc w:val="right"/>
              <w:ind w:right="65"/>
              <w:spacing w:after="0"/>
              <w:rPr>
                <w:sz w:val="20"/>
                <w:szCs w:val="20"/>
                <w:color w:val="auto"/>
              </w:rPr>
            </w:pPr>
            <w:r>
              <w:rPr>
                <w:rFonts w:ascii="Arial" w:cs="Arial" w:eastAsia="Arial" w:hAnsi="Arial"/>
                <w:sz w:val="19"/>
                <w:szCs w:val="19"/>
                <w:color w:val="auto"/>
              </w:rPr>
              <w:t>133</w:t>
            </w:r>
          </w:p>
        </w:tc>
      </w:tr>
      <w:tr>
        <w:trPr>
          <w:trHeight w:val="270"/>
        </w:trPr>
        <w:tc>
          <w:tcPr>
            <w:tcW w:w="8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2017</w:t>
            </w:r>
          </w:p>
        </w:tc>
        <w:tc>
          <w:tcPr>
            <w:tcW w:w="400" w:type="dxa"/>
            <w:vAlign w:val="bottom"/>
            <w:shd w:val="clear" w:color="auto" w:fill="E5FFFF"/>
          </w:tcPr>
          <w:p>
            <w:pPr>
              <w:spacing w:after="0"/>
              <w:rPr>
                <w:sz w:val="23"/>
                <w:szCs w:val="23"/>
                <w:color w:val="auto"/>
              </w:rPr>
            </w:pPr>
          </w:p>
        </w:tc>
        <w:tc>
          <w:tcPr>
            <w:tcW w:w="11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96</w:t>
            </w:r>
          </w:p>
        </w:tc>
      </w:tr>
      <w:tr>
        <w:trPr>
          <w:trHeight w:val="270"/>
        </w:trPr>
        <w:tc>
          <w:tcPr>
            <w:tcW w:w="882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312</w:t>
            </w:r>
          </w:p>
        </w:tc>
      </w:tr>
      <w:tr>
        <w:trPr>
          <w:trHeight w:val="34"/>
        </w:trPr>
        <w:tc>
          <w:tcPr>
            <w:tcW w:w="8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82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jc w:val="right"/>
              <w:ind w:right="129"/>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1,288</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00" w:firstLine="357"/>
        <w:spacing w:after="0" w:line="241" w:lineRule="auto"/>
        <w:rPr>
          <w:sz w:val="20"/>
          <w:szCs w:val="20"/>
          <w:color w:val="auto"/>
        </w:rPr>
      </w:pPr>
      <w:r>
        <w:rPr>
          <w:rFonts w:ascii="Arial" w:cs="Arial" w:eastAsia="Arial" w:hAnsi="Arial"/>
          <w:sz w:val="19"/>
          <w:szCs w:val="19"/>
          <w:color w:val="auto"/>
        </w:rPr>
        <w:t>We have entered into agreements to lease land, equipment and buildings. Principally all our operating leases have initial terms of up to 25 years, and some contain renewal options subject to customary conditions. At any time during the terms of some of our leases, we may at our option purchase the leased assets for amounts that approximate fair value. We do not expect that any of our commitments under the lease agreements will have a material adverse effect on our consolidated results of operations, financial position or liquidity.</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Rent expense was $390, $386 and $369 million in 2012, 2011 and 2010,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16—Financial Instruments and Fair Value Measures</w:t>
      </w:r>
    </w:p>
    <w:p>
      <w:pPr>
        <w:spacing w:after="0" w:line="106" w:lineRule="exact"/>
        <w:rPr>
          <w:sz w:val="20"/>
          <w:szCs w:val="20"/>
          <w:color w:val="auto"/>
        </w:rPr>
      </w:pPr>
    </w:p>
    <w:p>
      <w:pPr>
        <w:ind w:right="40" w:firstLine="357"/>
        <w:spacing w:after="0" w:line="244" w:lineRule="auto"/>
        <w:rPr>
          <w:sz w:val="20"/>
          <w:szCs w:val="20"/>
          <w:color w:val="auto"/>
        </w:rPr>
      </w:pPr>
      <w:r>
        <w:rPr>
          <w:rFonts w:ascii="Arial" w:cs="Arial" w:eastAsia="Arial" w:hAnsi="Arial"/>
          <w:sz w:val="19"/>
          <w:szCs w:val="19"/>
          <w:b w:val="1"/>
          <w:bCs w:val="1"/>
          <w:i w:val="1"/>
          <w:iCs w:val="1"/>
          <w:color w:val="auto"/>
        </w:rPr>
        <w:t>Credit and Market Risk</w:t>
      </w:r>
      <w:r>
        <w:rPr>
          <w:rFonts w:ascii="Arial" w:cs="Arial" w:eastAsia="Arial" w:hAnsi="Arial"/>
          <w:sz w:val="19"/>
          <w:szCs w:val="19"/>
          <w:color w:val="auto"/>
        </w:rPr>
        <w:t>—Financial instruments, including derivatives, expose us to counterparty credit risk for nonperformance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to 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currency exchange rates and commodity prices and restrict the use of derivative financial instruments to hedging activities.</w:t>
      </w:r>
    </w:p>
    <w:p>
      <w:pPr>
        <w:spacing w:after="0" w:line="90" w:lineRule="exact"/>
        <w:rPr>
          <w:sz w:val="20"/>
          <w:szCs w:val="20"/>
          <w:color w:val="auto"/>
        </w:rPr>
      </w:pPr>
    </w:p>
    <w:p>
      <w:pPr>
        <w:ind w:right="300" w:firstLine="357"/>
        <w:spacing w:after="0" w:line="245" w:lineRule="auto"/>
        <w:rPr>
          <w:sz w:val="20"/>
          <w:szCs w:val="20"/>
          <w:color w:val="auto"/>
        </w:rPr>
      </w:pPr>
      <w:r>
        <w:rPr>
          <w:rFonts w:ascii="Arial" w:cs="Arial" w:eastAsia="Arial" w:hAnsi="Arial"/>
          <w:sz w:val="19"/>
          <w:szCs w:val="19"/>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63"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Foreign Currency Risk Management</w:t>
      </w:r>
      <w:r>
        <w:rPr>
          <w:rFonts w:ascii="Arial" w:cs="Arial" w:eastAsia="Arial" w:hAnsi="Arial"/>
          <w:sz w:val="19"/>
          <w:szCs w:val="19"/>
          <w:color w:val="auto"/>
        </w:rPr>
        <w:t>—We conduct our business on a multinational basis in a wide variety of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currencies. Our exposure to market risk for changes in foreign currency exchange rates arises from international financing activities between subsidiaries, foreign currency denominated monetary assets and liabilities and transactions arising from international trade. Our objective is to preserve the economic value of non-functional currency denominated cash flows. We attempt to hedge transaction exposures with natural offsets to the fullest extent possible and, once these opportunities have been exhausted, through foreign currency exchange forward and option contracts with third parties.</w:t>
      </w:r>
    </w:p>
    <w:p>
      <w:pPr>
        <w:spacing w:after="0" w:line="9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predominantly occur in the next twelve months and are denominated in non-functional currencies, with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9"/>
          <w:szCs w:val="19"/>
          <w:color w:val="auto"/>
        </w:rPr>
        <w:t>currency forward contracts. Changes in the forecasted non-functional currency cash flows due to movements in exchange rates are substantially offset by changes in the fair value of the currency forward contracts designated as hedges. Market value gains and losses on these contracts are recognized in earnings when the hedged transaction is recognized. Open foreign currency exchange forward contracts mature predominantly in the next twelve months. At December 31, 2012 and 2011, we had contracts with notional amounts of $8,506 million and $7,108 million, respectively, to exchange foreign currencies, principally the U.S. dollar, Euro, British pound, Canadian dollar, Chinese renminbi, Mexican peso, Indian rupee, Korean won, Czech koruna, Hong Kong dollar, Singapore dollar, Romanian leu, Swiss franc, Swedish krona, and Thai baht.</w:t>
      </w:r>
    </w:p>
    <w:p>
      <w:pPr>
        <w:spacing w:after="0" w:line="67" w:lineRule="exact"/>
        <w:rPr>
          <w:sz w:val="20"/>
          <w:szCs w:val="20"/>
          <w:color w:val="auto"/>
        </w:rPr>
      </w:pPr>
    </w:p>
    <w:p>
      <w:pPr>
        <w:ind w:right="60" w:firstLine="357"/>
        <w:spacing w:after="0" w:line="244" w:lineRule="auto"/>
        <w:rPr>
          <w:sz w:val="20"/>
          <w:szCs w:val="20"/>
          <w:color w:val="auto"/>
        </w:rPr>
      </w:pPr>
      <w:r>
        <w:rPr>
          <w:rFonts w:ascii="Arial" w:cs="Arial" w:eastAsia="Arial" w:hAnsi="Arial"/>
          <w:sz w:val="19"/>
          <w:szCs w:val="19"/>
          <w:b w:val="1"/>
          <w:bCs w:val="1"/>
          <w:i w:val="1"/>
          <w:iCs w:val="1"/>
          <w:color w:val="auto"/>
        </w:rPr>
        <w:t>Commodity Price Risk Management</w:t>
      </w:r>
      <w:r>
        <w:rPr>
          <w:rFonts w:ascii="Arial" w:cs="Arial" w:eastAsia="Arial" w:hAnsi="Arial"/>
          <w:sz w:val="19"/>
          <w:szCs w:val="19"/>
          <w:color w:val="auto"/>
        </w:rPr>
        <w:t>—Our exposure to market risk for commodity prices can result in changes in our cost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production. We primarily mitigate our exposure to commodity price risk through the use of long-term, fixed-price contracts with our suppliers and formula price agreements with suppliers and customers. We also enter into forward commodity contracts with third parties designated as hedges of anticipated purchases of several commodities. Forward commodity contracts are marked-to-market, with the resulting gains and losses recognized in earnings when the hedged transaction is recognized. At December 31, 2012 and 2011, we had contracts with notional amounts of $17 million and $59 million, respectively, related to forward commodity agreements, principally base metals and natural gas.</w:t>
      </w:r>
    </w:p>
    <w:p>
      <w:pPr>
        <w:spacing w:after="0" w:line="66"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Interest Rate Risk Management</w:t>
      </w:r>
      <w:r>
        <w:rPr>
          <w:rFonts w:ascii="Arial" w:cs="Arial" w:eastAsia="Arial" w:hAnsi="Arial"/>
          <w:sz w:val="19"/>
          <w:szCs w:val="19"/>
          <w:color w:val="auto"/>
        </w:rPr>
        <w:t>—We use a combination of financial instruments, including long-term, medium-term and short-term financing, variable-rate commercial paper, and interest rate swaps to manage the interest rate mix of our total debt portfolio and related overall cost of borrowing. At December 31, 2012 and 2011, interest rate swap agreements designated as fair value hedges effectively changed $1,400 million of fixed rate debt at a rate of 4.09 to LIBOR based floating rate debt. Our interest rate swaps mature at various dates through 2021.</w:t>
      </w:r>
    </w:p>
    <w:p>
      <w:pPr>
        <w:spacing w:after="0" w:line="60"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—The FASB’s accounting guidance defines fair value as the price that would be received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(exit price). The FASB’s guidance classifies the inputs used to measure fair value into the following hierarchy:</w:t>
      </w:r>
    </w:p>
    <w:p>
      <w:pPr>
        <w:spacing w:after="0" w:line="35" w:lineRule="exact"/>
        <w:rPr>
          <w:sz w:val="20"/>
          <w:szCs w:val="20"/>
          <w:color w:val="auto"/>
        </w:rPr>
      </w:pPr>
    </w:p>
    <w:p>
      <w:pPr>
        <w:ind w:left="1280"/>
        <w:spacing w:after="0"/>
        <w:tabs>
          <w:tab w:leader="none" w:pos="2380" w:val="left"/>
        </w:tabs>
        <w:rPr>
          <w:sz w:val="20"/>
          <w:szCs w:val="20"/>
          <w:color w:val="auto"/>
        </w:rPr>
      </w:pPr>
      <w:r>
        <w:rPr>
          <w:rFonts w:ascii="Arial" w:cs="Arial" w:eastAsia="Arial" w:hAnsi="Arial"/>
          <w:sz w:val="19"/>
          <w:szCs w:val="19"/>
          <w:color w:val="auto"/>
        </w:rPr>
        <w:t>Level 1</w:t>
      </w:r>
      <w:r>
        <w:rPr>
          <w:sz w:val="20"/>
          <w:szCs w:val="20"/>
          <w:color w:val="auto"/>
        </w:rPr>
        <w:tab/>
      </w:r>
      <w:r>
        <w:rPr>
          <w:rFonts w:ascii="Arial" w:cs="Arial" w:eastAsia="Arial" w:hAnsi="Arial"/>
          <w:sz w:val="19"/>
          <w:szCs w:val="19"/>
          <w:color w:val="auto"/>
        </w:rPr>
        <w:t>Unadjusted quoted prices in active markets for identical assets or liabilities</w:t>
      </w:r>
    </w:p>
    <w:p>
      <w:pPr>
        <w:spacing w:after="0" w:line="160" w:lineRule="exact"/>
        <w:rPr>
          <w:sz w:val="20"/>
          <w:szCs w:val="20"/>
          <w:color w:val="auto"/>
        </w:rPr>
      </w:pPr>
    </w:p>
    <w:p>
      <w:pPr>
        <w:ind w:left="1280"/>
        <w:spacing w:after="0"/>
        <w:tabs>
          <w:tab w:leader="none" w:pos="2380" w:val="left"/>
        </w:tabs>
        <w:rPr>
          <w:sz w:val="20"/>
          <w:szCs w:val="20"/>
          <w:color w:val="auto"/>
        </w:rPr>
      </w:pPr>
      <w:r>
        <w:rPr>
          <w:rFonts w:ascii="Arial" w:cs="Arial" w:eastAsia="Arial" w:hAnsi="Arial"/>
          <w:sz w:val="19"/>
          <w:szCs w:val="19"/>
          <w:color w:val="auto"/>
        </w:rPr>
        <w:t>Level 2</w:t>
      </w:r>
      <w:r>
        <w:rPr>
          <w:sz w:val="20"/>
          <w:szCs w:val="20"/>
          <w:color w:val="auto"/>
        </w:rPr>
        <w:tab/>
      </w:r>
      <w:r>
        <w:rPr>
          <w:rFonts w:ascii="Arial" w:cs="Arial" w:eastAsia="Arial" w:hAnsi="Arial"/>
          <w:sz w:val="19"/>
          <w:szCs w:val="19"/>
          <w:color w:val="auto"/>
        </w:rPr>
        <w:t>Unadjusted quoted prices in active markets for similar assets or liabilities, or</w:t>
      </w:r>
    </w:p>
    <w:p>
      <w:pPr>
        <w:spacing w:after="0" w:line="160" w:lineRule="exact"/>
        <w:rPr>
          <w:sz w:val="20"/>
          <w:szCs w:val="20"/>
          <w:color w:val="auto"/>
        </w:rPr>
      </w:pPr>
    </w:p>
    <w:p>
      <w:pPr>
        <w:ind w:left="2400" w:right="1340"/>
        <w:spacing w:after="0" w:line="253" w:lineRule="auto"/>
        <w:rPr>
          <w:sz w:val="20"/>
          <w:szCs w:val="20"/>
          <w:color w:val="auto"/>
        </w:rPr>
      </w:pPr>
      <w:r>
        <w:rPr>
          <w:rFonts w:ascii="Arial" w:cs="Arial" w:eastAsia="Arial" w:hAnsi="Arial"/>
          <w:sz w:val="19"/>
          <w:szCs w:val="19"/>
          <w:color w:val="auto"/>
        </w:rPr>
        <w:t>Unadjusted quoted prices for identical or similar assets or liabilities in markets that are not active, or</w:t>
      </w:r>
    </w:p>
    <w:p>
      <w:pPr>
        <w:spacing w:after="0" w:line="107"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Inputs other than quoted prices that are observable for the asset or liability</w:t>
      </w:r>
    </w:p>
    <w:p>
      <w:pPr>
        <w:spacing w:after="0" w:line="160" w:lineRule="exact"/>
        <w:rPr>
          <w:sz w:val="20"/>
          <w:szCs w:val="20"/>
          <w:color w:val="auto"/>
        </w:rPr>
      </w:pPr>
    </w:p>
    <w:p>
      <w:pPr>
        <w:ind w:left="1280"/>
        <w:spacing w:after="0"/>
        <w:tabs>
          <w:tab w:leader="none" w:pos="2380" w:val="left"/>
        </w:tabs>
        <w:rPr>
          <w:sz w:val="20"/>
          <w:szCs w:val="20"/>
          <w:color w:val="auto"/>
        </w:rPr>
      </w:pPr>
      <w:r>
        <w:rPr>
          <w:rFonts w:ascii="Arial" w:cs="Arial" w:eastAsia="Arial" w:hAnsi="Arial"/>
          <w:sz w:val="19"/>
          <w:szCs w:val="19"/>
          <w:color w:val="auto"/>
        </w:rPr>
        <w:t>Level 3</w:t>
      </w:r>
      <w:r>
        <w:rPr>
          <w:sz w:val="20"/>
          <w:szCs w:val="20"/>
          <w:color w:val="auto"/>
        </w:rPr>
        <w:tab/>
      </w:r>
      <w:r>
        <w:rPr>
          <w:rFonts w:ascii="Arial" w:cs="Arial" w:eastAsia="Arial" w:hAnsi="Arial"/>
          <w:sz w:val="19"/>
          <w:szCs w:val="19"/>
          <w:color w:val="auto"/>
        </w:rPr>
        <w:t>Unobservable inputs for the asset or liability</w:t>
      </w:r>
    </w:p>
    <w:p>
      <w:pPr>
        <w:spacing w:after="0" w:line="146"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The Company endeavors to utilize the best available information in measuring fair value.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2012 and 2011:</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5"/>
              </w:rPr>
              <w:t>2012</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2011</w:t>
            </w:r>
          </w:p>
        </w:tc>
      </w:tr>
      <w:tr>
        <w:trPr>
          <w:trHeight w:val="237"/>
        </w:trPr>
        <w:tc>
          <w:tcPr>
            <w:tcW w:w="872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16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r>
      <w:tr>
        <w:trPr>
          <w:trHeight w:val="270"/>
        </w:trPr>
        <w:tc>
          <w:tcPr>
            <w:tcW w:w="8720" w:type="dxa"/>
            <w:vAlign w:val="bottom"/>
          </w:tcPr>
          <w:p>
            <w:pPr>
              <w:ind w:left="38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8"/>
              <w:spacing w:after="0"/>
              <w:rPr>
                <w:sz w:val="20"/>
                <w:szCs w:val="20"/>
                <w:color w:val="auto"/>
              </w:rPr>
            </w:pPr>
            <w:r>
              <w:rPr>
                <w:rFonts w:ascii="Arial" w:cs="Arial" w:eastAsia="Arial" w:hAnsi="Arial"/>
                <w:sz w:val="19"/>
                <w:szCs w:val="19"/>
                <w:color w:val="auto"/>
              </w:rPr>
              <w:t>52</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26</w:t>
            </w:r>
          </w:p>
        </w:tc>
      </w:tr>
      <w:tr>
        <w:trPr>
          <w:trHeight w:val="270"/>
        </w:trPr>
        <w:tc>
          <w:tcPr>
            <w:tcW w:w="87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Available for sale investments</w:t>
            </w: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518</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359</w:t>
            </w:r>
          </w:p>
        </w:tc>
      </w:tr>
      <w:tr>
        <w:trPr>
          <w:trHeight w:val="270"/>
        </w:trPr>
        <w:tc>
          <w:tcPr>
            <w:tcW w:w="8720" w:type="dxa"/>
            <w:vAlign w:val="bottom"/>
          </w:tcPr>
          <w:p>
            <w:pPr>
              <w:ind w:left="380"/>
              <w:spacing w:after="0"/>
              <w:rPr>
                <w:sz w:val="20"/>
                <w:szCs w:val="20"/>
                <w:color w:val="auto"/>
              </w:rPr>
            </w:pPr>
            <w:r>
              <w:rPr>
                <w:rFonts w:ascii="Arial" w:cs="Arial" w:eastAsia="Arial" w:hAnsi="Arial"/>
                <w:sz w:val="19"/>
                <w:szCs w:val="19"/>
                <w:color w:val="auto"/>
              </w:rPr>
              <w:t>Interest rate swap agreements</w:t>
            </w:r>
          </w:p>
        </w:tc>
        <w:tc>
          <w:tcPr>
            <w:tcW w:w="1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9"/>
                <w:szCs w:val="19"/>
                <w:color w:val="auto"/>
              </w:rPr>
              <w:t>146</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134</w:t>
            </w:r>
          </w:p>
        </w:tc>
      </w:tr>
      <w:tr>
        <w:trPr>
          <w:trHeight w:val="270"/>
        </w:trPr>
        <w:tc>
          <w:tcPr>
            <w:tcW w:w="87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Forward commodity contracts</w:t>
            </w:r>
          </w:p>
        </w:tc>
        <w:tc>
          <w:tcPr>
            <w:tcW w:w="160" w:type="dxa"/>
            <w:vAlign w:val="bottom"/>
            <w:shd w:val="clear" w:color="auto" w:fill="E5FFFF"/>
          </w:tcPr>
          <w:p>
            <w:pPr>
              <w:spacing w:after="0"/>
              <w:rPr>
                <w:sz w:val="23"/>
                <w:szCs w:val="23"/>
                <w:color w:val="auto"/>
              </w:rPr>
            </w:pP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w:t>
            </w:r>
          </w:p>
        </w:tc>
      </w:tr>
      <w:tr>
        <w:trPr>
          <w:trHeight w:val="243"/>
        </w:trPr>
        <w:tc>
          <w:tcPr>
            <w:tcW w:w="8720" w:type="dxa"/>
            <w:vAlign w:val="bottom"/>
          </w:tcPr>
          <w:p>
            <w:pPr>
              <w:ind w:left="20"/>
              <w:spacing w:after="0"/>
              <w:rPr>
                <w:sz w:val="20"/>
                <w:szCs w:val="20"/>
                <w:color w:val="auto"/>
              </w:rPr>
            </w:pPr>
            <w:r>
              <w:rPr>
                <w:rFonts w:ascii="Arial" w:cs="Arial" w:eastAsia="Arial" w:hAnsi="Arial"/>
                <w:sz w:val="19"/>
                <w:szCs w:val="19"/>
                <w:b w:val="1"/>
                <w:bCs w:val="1"/>
                <w:color w:val="auto"/>
              </w:rPr>
              <w:t>Liabilities: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0"/>
        </w:trPr>
        <w:tc>
          <w:tcPr>
            <w:tcW w:w="87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52</w:t>
            </w:r>
          </w:p>
        </w:tc>
      </w:tr>
      <w:tr>
        <w:trPr>
          <w:trHeight w:val="274"/>
        </w:trPr>
        <w:tc>
          <w:tcPr>
            <w:tcW w:w="8720" w:type="dxa"/>
            <w:vAlign w:val="bottom"/>
          </w:tcPr>
          <w:p>
            <w:pPr>
              <w:ind w:left="380"/>
              <w:spacing w:after="0"/>
              <w:rPr>
                <w:sz w:val="20"/>
                <w:szCs w:val="20"/>
                <w:color w:val="auto"/>
              </w:rPr>
            </w:pPr>
            <w:r>
              <w:rPr>
                <w:rFonts w:ascii="Arial" w:cs="Arial" w:eastAsia="Arial" w:hAnsi="Arial"/>
                <w:sz w:val="19"/>
                <w:szCs w:val="19"/>
                <w:color w:val="auto"/>
              </w:rPr>
              <w:t>Forward commodity contracts</w:t>
            </w:r>
          </w:p>
        </w:tc>
        <w:tc>
          <w:tcPr>
            <w:tcW w:w="1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10</w:t>
            </w:r>
          </w:p>
        </w:tc>
      </w:tr>
    </w:tbl>
    <w:p>
      <w:pPr>
        <w:spacing w:after="0" w:line="104"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The foreign currency exchange contracts, interest rate swap agreements, and forward commodity contracts are valued using broker quotations, or market transactions in either the listed or over-the-counter markets. As such, these derivative instruments are classified within level 2. The Company holds investments in marketable equity securities that are designated as available for sale and are valued using quoted market prices. As such, these investments are classified within level 1. The Company also holds investments in commercial paper, certificates of deposits, and time deposits that are designated as available for sale and are valued using market transactions in over-the-counter markets. As such, these investments are classified within level 2.</w:t>
      </w:r>
    </w:p>
    <w:p>
      <w:pPr>
        <w:spacing w:after="0" w:line="94" w:lineRule="exact"/>
        <w:rPr>
          <w:sz w:val="20"/>
          <w:szCs w:val="20"/>
          <w:color w:val="auto"/>
        </w:rPr>
      </w:pPr>
    </w:p>
    <w:p>
      <w:pPr>
        <w:jc w:val="both"/>
        <w:ind w:right="120" w:firstLine="357"/>
        <w:spacing w:after="0" w:line="245" w:lineRule="auto"/>
        <w:rPr>
          <w:sz w:val="20"/>
          <w:szCs w:val="20"/>
          <w:color w:val="auto"/>
        </w:rPr>
      </w:pPr>
      <w:r>
        <w:rPr>
          <w:rFonts w:ascii="Arial" w:cs="Arial" w:eastAsia="Arial" w:hAnsi="Arial"/>
          <w:sz w:val="19"/>
          <w:szCs w:val="19"/>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6"/>
                <w:szCs w:val="16"/>
                <w:b w:val="1"/>
                <w:bCs w:val="1"/>
                <w:color w:val="auto"/>
              </w:rPr>
              <w:t>December 31, 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6"/>
                <w:szCs w:val="16"/>
                <w:b w:val="1"/>
                <w:bCs w:val="1"/>
                <w:color w:val="auto"/>
              </w:rPr>
              <w:t>December 31, 2011</w:t>
            </w:r>
          </w:p>
        </w:tc>
      </w:tr>
      <w:tr>
        <w:trPr>
          <w:trHeight w:val="168"/>
        </w:trPr>
        <w:tc>
          <w:tcPr>
            <w:tcW w:w="7240" w:type="dxa"/>
            <w:vAlign w:val="bottom"/>
          </w:tcPr>
          <w:p>
            <w:pPr>
              <w:spacing w:after="0"/>
              <w:rPr>
                <w:sz w:val="14"/>
                <w:szCs w:val="14"/>
                <w:color w:val="auto"/>
              </w:rPr>
            </w:pPr>
          </w:p>
        </w:tc>
        <w:tc>
          <w:tcPr>
            <w:tcW w:w="82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line="168"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4"/>
                <w:szCs w:val="14"/>
                <w:color w:val="auto"/>
              </w:rPr>
            </w:pPr>
          </w:p>
        </w:tc>
        <w:tc>
          <w:tcPr>
            <w:tcW w:w="82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2"/>
              <w:spacing w:after="0" w:line="168" w:lineRule="exact"/>
              <w:rPr>
                <w:sz w:val="20"/>
                <w:szCs w:val="20"/>
                <w:color w:val="auto"/>
              </w:rPr>
            </w:pPr>
            <w:r>
              <w:rPr>
                <w:rFonts w:ascii="Arial" w:cs="Arial" w:eastAsia="Arial" w:hAnsi="Arial"/>
                <w:sz w:val="16"/>
                <w:szCs w:val="16"/>
                <w:b w:val="1"/>
                <w:bCs w:val="1"/>
                <w:color w:val="auto"/>
              </w:rPr>
              <w:t>Fair</w:t>
            </w:r>
          </w:p>
        </w:tc>
      </w:tr>
      <w:tr>
        <w:trPr>
          <w:trHeight w:val="204"/>
        </w:trPr>
        <w:tc>
          <w:tcPr>
            <w:tcW w:w="7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8"/>
              </w:rPr>
              <w:t>Value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8"/>
              </w:rPr>
              <w:t>Value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8"/>
              </w:rPr>
              <w:t>Value</w:t>
            </w:r>
          </w:p>
        </w:tc>
      </w:tr>
      <w:tr>
        <w:trPr>
          <w:trHeight w:val="237"/>
        </w:trPr>
        <w:tc>
          <w:tcPr>
            <w:tcW w:w="72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Assets</w:t>
            </w:r>
          </w:p>
        </w:tc>
        <w:tc>
          <w:tcPr>
            <w:tcW w:w="18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9"/>
                <w:szCs w:val="19"/>
                <w:color w:val="auto"/>
              </w:rPr>
              <w:t>Long-term receivables</w:t>
            </w:r>
          </w:p>
        </w:tc>
        <w:tc>
          <w:tcPr>
            <w:tcW w:w="180" w:type="dxa"/>
            <w:vAlign w:val="bottom"/>
          </w:tcPr>
          <w:p>
            <w:pPr>
              <w:ind w:left="6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ind w:right="12"/>
              <w:spacing w:after="0"/>
              <w:rPr>
                <w:sz w:val="20"/>
                <w:szCs w:val="20"/>
                <w:color w:val="auto"/>
              </w:rPr>
            </w:pPr>
            <w:r>
              <w:rPr>
                <w:rFonts w:ascii="Arial" w:cs="Arial" w:eastAsia="Arial" w:hAnsi="Arial"/>
                <w:sz w:val="19"/>
                <w:szCs w:val="19"/>
                <w:color w:val="auto"/>
              </w:rPr>
              <w:t>199</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200</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ind w:right="12"/>
              <w:spacing w:after="0"/>
              <w:rPr>
                <w:sz w:val="20"/>
                <w:szCs w:val="20"/>
                <w:color w:val="auto"/>
              </w:rPr>
            </w:pPr>
            <w:r>
              <w:rPr>
                <w:rFonts w:ascii="Arial" w:cs="Arial" w:eastAsia="Arial" w:hAnsi="Arial"/>
                <w:sz w:val="19"/>
                <w:szCs w:val="19"/>
                <w:color w:val="auto"/>
              </w:rPr>
              <w:t>132</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2"/>
              <w:spacing w:after="0"/>
              <w:rPr>
                <w:sz w:val="20"/>
                <w:szCs w:val="20"/>
                <w:color w:val="auto"/>
              </w:rPr>
            </w:pPr>
            <w:r>
              <w:rPr>
                <w:rFonts w:ascii="Arial" w:cs="Arial" w:eastAsia="Arial" w:hAnsi="Arial"/>
                <w:sz w:val="19"/>
                <w:szCs w:val="19"/>
                <w:color w:val="auto"/>
              </w:rPr>
              <w:t>132</w:t>
            </w:r>
          </w:p>
        </w:tc>
      </w:tr>
      <w:tr>
        <w:trPr>
          <w:trHeight w:val="243"/>
        </w:trPr>
        <w:tc>
          <w:tcPr>
            <w:tcW w:w="724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Liabilities</w:t>
            </w: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r>
      <w:tr>
        <w:trPr>
          <w:trHeight w:val="274"/>
        </w:trPr>
        <w:tc>
          <w:tcPr>
            <w:tcW w:w="7240" w:type="dxa"/>
            <w:vAlign w:val="bottom"/>
          </w:tcPr>
          <w:p>
            <w:pPr>
              <w:ind w:left="380"/>
              <w:spacing w:after="0"/>
              <w:rPr>
                <w:sz w:val="20"/>
                <w:szCs w:val="20"/>
                <w:color w:val="auto"/>
              </w:rPr>
            </w:pPr>
            <w:r>
              <w:rPr>
                <w:rFonts w:ascii="Arial" w:cs="Arial" w:eastAsia="Arial" w:hAnsi="Arial"/>
                <w:sz w:val="19"/>
                <w:szCs w:val="19"/>
                <w:color w:val="auto"/>
              </w:rPr>
              <w:t>Long-term debt and related current maturities</w:t>
            </w:r>
          </w:p>
        </w:tc>
        <w:tc>
          <w:tcPr>
            <w:tcW w:w="180" w:type="dxa"/>
            <w:vAlign w:val="bottom"/>
          </w:tcPr>
          <w:p>
            <w:pPr>
              <w:ind w:left="6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ind w:right="12"/>
              <w:spacing w:after="0"/>
              <w:rPr>
                <w:sz w:val="20"/>
                <w:szCs w:val="20"/>
                <w:color w:val="auto"/>
              </w:rPr>
            </w:pPr>
            <w:r>
              <w:rPr>
                <w:rFonts w:ascii="Arial" w:cs="Arial" w:eastAsia="Arial" w:hAnsi="Arial"/>
                <w:sz w:val="19"/>
                <w:szCs w:val="19"/>
                <w:color w:val="auto"/>
              </w:rPr>
              <w:t>7,020</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8,152</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ind w:right="12"/>
              <w:spacing w:after="0"/>
              <w:rPr>
                <w:sz w:val="20"/>
                <w:szCs w:val="20"/>
                <w:color w:val="auto"/>
              </w:rPr>
            </w:pPr>
            <w:r>
              <w:rPr>
                <w:rFonts w:ascii="Arial" w:cs="Arial" w:eastAsia="Arial" w:hAnsi="Arial"/>
                <w:sz w:val="19"/>
                <w:szCs w:val="19"/>
                <w:color w:val="auto"/>
              </w:rPr>
              <w:t>6,896</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12"/>
              <w:spacing w:after="0"/>
              <w:rPr>
                <w:sz w:val="20"/>
                <w:szCs w:val="20"/>
                <w:color w:val="auto"/>
              </w:rPr>
            </w:pPr>
            <w:r>
              <w:rPr>
                <w:rFonts w:ascii="Arial" w:cs="Arial" w:eastAsia="Arial" w:hAnsi="Arial"/>
                <w:sz w:val="19"/>
                <w:szCs w:val="19"/>
                <w:color w:val="auto"/>
              </w:rPr>
              <w:t>7,896</w:t>
            </w:r>
          </w:p>
        </w:tc>
      </w:tr>
    </w:tbl>
    <w:p>
      <w:pPr>
        <w:spacing w:after="0" w:line="104"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Company determined the fair value of the long 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91"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At December 31, 2012 and 2011, the Company had nonfinancial assets, specifically property, plant and equipment, software and intangible assets, with a net book value of $22 million and $262 million, respectively, which were accounted for at fair value on a nonrecurring basis. These assets were tested for impairment and based on the fair value of these assets the Company recognized losses of $22 million and $127 million, respectively, in the years ended December 31, 2012 and 2011, primarily in connection with our repositioning actions (see Note 3 Repositioning and Other Charges). The Company has determined that the fair value measurements of these nonfinancial assets are level 3 in the fair value hierarchy. The Company utilizes the market, income or cost approaches or a combination of these valuation techniques for its non-recurring level 3 fair value measures. Inputs to such measures include observable market data obtained from independent sources such as broker quotes and recent market transactions for similar assets. It is the Company’s policy to maximize the use of observable inputs in the measurement of fair value or non-recurring level 3 measurements. To the extent observable inputs are not available the Company utilizes unobservable inputs based upon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the assumptions market participants would use in valuing the asset. Examples of utilized unobservable inputs are future cash flows, long term growth rates and applicable discount rates.</w:t>
      </w:r>
    </w:p>
    <w:p>
      <w:pPr>
        <w:spacing w:after="0" w:line="80"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The derivatives utilized for risk management purposes as detailed above are included on the Consolidated Balance Sheet and impacted the Statement of Operations as follows: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Fair value of derivatives classified as assets consist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jc w:val="right"/>
              <w:ind w:right="314"/>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Hedge</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Sheet Classification</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2012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5"/>
              </w:rPr>
              <w:t>2011</w:t>
            </w:r>
          </w:p>
        </w:tc>
      </w:tr>
      <w:tr>
        <w:trPr>
          <w:trHeight w:val="264"/>
        </w:trPr>
        <w:tc>
          <w:tcPr>
            <w:tcW w:w="4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Accounts, notes, and other receivables</w:t>
            </w:r>
          </w:p>
        </w:tc>
        <w:tc>
          <w:tcPr>
            <w:tcW w:w="50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rPr>
              <w:t>37</w:t>
            </w:r>
          </w:p>
        </w:tc>
        <w:tc>
          <w:tcPr>
            <w:tcW w:w="50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18</w:t>
            </w:r>
          </w:p>
        </w:tc>
      </w:tr>
      <w:tr>
        <w:trPr>
          <w:trHeight w:val="269"/>
        </w:trPr>
        <w:tc>
          <w:tcPr>
            <w:tcW w:w="45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134</w:t>
            </w:r>
          </w:p>
        </w:tc>
      </w:tr>
      <w:tr>
        <w:trPr>
          <w:trHeight w:val="271"/>
        </w:trPr>
        <w:tc>
          <w:tcPr>
            <w:tcW w:w="4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Forward commodity contracts</w:t>
            </w: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Accounts, notes, and other receivables</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rPr>
              <w:t>1</w:t>
            </w:r>
          </w:p>
        </w:tc>
        <w:tc>
          <w:tcPr>
            <w:tcW w:w="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4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jc w:val="right"/>
              <w:ind w:right="314"/>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Not Designated as a Hedge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Classification</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2011</w:t>
            </w:r>
          </w:p>
        </w:tc>
      </w:tr>
      <w:tr>
        <w:trPr>
          <w:trHeight w:val="264"/>
        </w:trPr>
        <w:tc>
          <w:tcPr>
            <w:tcW w:w="4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448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Accounts, notes, and other receivables</w:t>
            </w:r>
          </w:p>
        </w:tc>
        <w:tc>
          <w:tcPr>
            <w:tcW w:w="5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w:t>
            </w:r>
          </w:p>
        </w:tc>
        <w:tc>
          <w:tcPr>
            <w:tcW w:w="5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8</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Fair value of derivatives classified as liabilities consist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ind w:right="315"/>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as a Hedge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Sheet Classification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95"/>
              </w:rPr>
              <w:t>2011</w:t>
            </w:r>
          </w:p>
        </w:tc>
      </w:tr>
      <w:tr>
        <w:trPr>
          <w:trHeight w:val="264"/>
        </w:trPr>
        <w:tc>
          <w:tcPr>
            <w:tcW w:w="4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5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Accrued liabilities</w:t>
            </w:r>
          </w:p>
        </w:tc>
        <w:tc>
          <w:tcPr>
            <w:tcW w:w="52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rPr>
              <w:t>29</w:t>
            </w:r>
          </w:p>
        </w:tc>
        <w:tc>
          <w:tcPr>
            <w:tcW w:w="50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50</w:t>
            </w:r>
          </w:p>
        </w:tc>
      </w:tr>
      <w:tr>
        <w:trPr>
          <w:trHeight w:val="268"/>
        </w:trPr>
        <w:tc>
          <w:tcPr>
            <w:tcW w:w="4500" w:type="dxa"/>
            <w:vAlign w:val="bottom"/>
          </w:tcPr>
          <w:p>
            <w:pPr>
              <w:ind w:left="20"/>
              <w:spacing w:after="0"/>
              <w:rPr>
                <w:sz w:val="20"/>
                <w:szCs w:val="20"/>
                <w:color w:val="auto"/>
              </w:rPr>
            </w:pPr>
            <w:r>
              <w:rPr>
                <w:rFonts w:ascii="Arial" w:cs="Arial" w:eastAsia="Arial" w:hAnsi="Arial"/>
                <w:sz w:val="18"/>
                <w:szCs w:val="18"/>
                <w:color w:val="auto"/>
              </w:rPr>
              <w:t>Forward commodity contracts</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59"/>
        </w:trPr>
        <w:tc>
          <w:tcPr>
            <w:tcW w:w="4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6"/>
          </w:tcPr>
          <w:p>
            <w:pPr>
              <w:jc w:val="right"/>
              <w:ind w:right="295"/>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Not Designated as a Hedge</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Sheet Classification</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2011</w:t>
            </w:r>
          </w:p>
        </w:tc>
      </w:tr>
      <w:tr>
        <w:trPr>
          <w:trHeight w:val="264"/>
        </w:trPr>
        <w:tc>
          <w:tcPr>
            <w:tcW w:w="4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460" w:type="dxa"/>
            <w:vAlign w:val="bottom"/>
            <w:shd w:val="clear" w:color="auto" w:fill="E5FFFF"/>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50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Gains (losses) recognized in other comprehensive income (effective portions) consist of the following:</w:t>
      </w:r>
    </w:p>
    <w:p>
      <w:pPr>
        <w:spacing w:after="0" w:line="42"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center"/>
              <w:ind w:left="414"/>
              <w:spacing w:after="0"/>
              <w:rPr>
                <w:sz w:val="20"/>
                <w:szCs w:val="20"/>
                <w:color w:val="auto"/>
              </w:rPr>
            </w:pPr>
            <w:r>
              <w:rPr>
                <w:rFonts w:ascii="Arial" w:cs="Arial" w:eastAsia="Arial" w:hAnsi="Arial"/>
                <w:sz w:val="16"/>
                <w:szCs w:val="16"/>
                <w:b w:val="1"/>
                <w:bCs w:val="1"/>
                <w:color w:val="auto"/>
                <w:w w:val="98"/>
              </w:rPr>
              <w:t>Years Ended</w:t>
            </w:r>
          </w:p>
        </w:tc>
        <w:tc>
          <w:tcPr>
            <w:tcW w:w="780" w:type="dxa"/>
            <w:vAlign w:val="bottom"/>
          </w:tcPr>
          <w:p>
            <w:pPr>
              <w:spacing w:after="0"/>
              <w:rPr>
                <w:sz w:val="16"/>
                <w:szCs w:val="16"/>
                <w:color w:val="auto"/>
              </w:rPr>
            </w:pPr>
          </w:p>
        </w:tc>
      </w:tr>
      <w:tr>
        <w:trPr>
          <w:trHeight w:val="204"/>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6"/>
                <w:szCs w:val="16"/>
                <w:b w:val="1"/>
                <w:bCs w:val="1"/>
                <w:color w:val="auto"/>
                <w:w w:val="99"/>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Cash Flow Hedge</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w w:val="95"/>
              </w:rPr>
              <w:t>2011</w:t>
            </w:r>
          </w:p>
        </w:tc>
      </w:tr>
      <w:tr>
        <w:trPr>
          <w:trHeight w:val="264"/>
        </w:trPr>
        <w:tc>
          <w:tcPr>
            <w:tcW w:w="4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Foreign currency exchange contracts</w:t>
            </w:r>
          </w:p>
        </w:tc>
        <w:tc>
          <w:tcPr>
            <w:tcW w:w="58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194"/>
              <w:spacing w:after="0"/>
              <w:rPr>
                <w:sz w:val="20"/>
                <w:szCs w:val="20"/>
                <w:color w:val="auto"/>
              </w:rPr>
            </w:pPr>
            <w:r>
              <w:rPr>
                <w:rFonts w:ascii="Arial" w:cs="Arial" w:eastAsia="Arial" w:hAnsi="Arial"/>
                <w:sz w:val="19"/>
                <w:szCs w:val="19"/>
                <w:color w:val="auto"/>
              </w:rPr>
              <w:t>31</w:t>
            </w:r>
          </w:p>
        </w:tc>
        <w:tc>
          <w:tcPr>
            <w:tcW w:w="720" w:type="dxa"/>
            <w:vAlign w:val="bottom"/>
            <w:gridSpan w:val="2"/>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9"/>
              <w:spacing w:after="0"/>
              <w:rPr>
                <w:sz w:val="20"/>
                <w:szCs w:val="20"/>
                <w:color w:val="auto"/>
              </w:rPr>
            </w:pPr>
            <w:r>
              <w:rPr>
                <w:rFonts w:ascii="Arial" w:cs="Arial" w:eastAsia="Arial" w:hAnsi="Arial"/>
                <w:sz w:val="19"/>
                <w:szCs w:val="19"/>
                <w:color w:val="auto"/>
              </w:rPr>
              <w:t>(42 )</w:t>
            </w:r>
          </w:p>
        </w:tc>
      </w:tr>
      <w:tr>
        <w:trPr>
          <w:trHeight w:val="274"/>
        </w:trPr>
        <w:tc>
          <w:tcPr>
            <w:tcW w:w="4460" w:type="dxa"/>
            <w:vAlign w:val="bottom"/>
          </w:tcPr>
          <w:p>
            <w:pPr>
              <w:ind w:left="20"/>
              <w:spacing w:after="0"/>
              <w:rPr>
                <w:sz w:val="20"/>
                <w:szCs w:val="20"/>
                <w:color w:val="auto"/>
              </w:rPr>
            </w:pPr>
            <w:r>
              <w:rPr>
                <w:rFonts w:ascii="Arial" w:cs="Arial" w:eastAsia="Arial" w:hAnsi="Arial"/>
                <w:sz w:val="19"/>
                <w:szCs w:val="19"/>
                <w:color w:val="auto"/>
              </w:rPr>
              <w:t>Forward commodity contracts</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94"/>
              <w:spacing w:after="0"/>
              <w:rPr>
                <w:sz w:val="20"/>
                <w:szCs w:val="20"/>
                <w:color w:val="auto"/>
              </w:rPr>
            </w:pPr>
            <w:r>
              <w:rPr>
                <w:rFonts w:ascii="Arial" w:cs="Arial" w:eastAsia="Arial" w:hAnsi="Arial"/>
                <w:sz w:val="19"/>
                <w:szCs w:val="19"/>
                <w:color w:val="auto"/>
              </w:rPr>
              <w:t>(8 )</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69"/>
              <w:spacing w:after="0"/>
              <w:rPr>
                <w:sz w:val="20"/>
                <w:szCs w:val="20"/>
                <w:color w:val="auto"/>
              </w:rPr>
            </w:pPr>
            <w:r>
              <w:rPr>
                <w:rFonts w:ascii="Arial" w:cs="Arial" w:eastAsia="Arial" w:hAnsi="Arial"/>
                <w:sz w:val="19"/>
                <w:szCs w:val="19"/>
                <w:color w:val="auto"/>
              </w:rPr>
              <w:t>(12 )</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Gains (losses) reclassified from AOCI to income consist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Years Ended</w:t>
            </w:r>
          </w:p>
        </w:tc>
      </w:tr>
      <w:tr>
        <w:trPr>
          <w:trHeight w:val="204"/>
        </w:trPr>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Designated Cash Flow Hedge</w:t>
            </w:r>
          </w:p>
        </w:tc>
        <w:tc>
          <w:tcPr>
            <w:tcW w:w="300" w:type="dxa"/>
            <w:vAlign w:val="bottom"/>
          </w:tcPr>
          <w:p>
            <w:pPr>
              <w:spacing w:after="0"/>
              <w:rPr>
                <w:sz w:val="17"/>
                <w:szCs w:val="17"/>
                <w:color w:val="auto"/>
              </w:rPr>
            </w:pP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Statement Location</w:t>
            </w:r>
          </w:p>
        </w:tc>
        <w:tc>
          <w:tcPr>
            <w:tcW w:w="30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6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rPr>
              <w:t>2011</w:t>
            </w:r>
          </w:p>
        </w:tc>
      </w:tr>
      <w:tr>
        <w:trPr>
          <w:trHeight w:val="264"/>
        </w:trPr>
        <w:tc>
          <w:tcPr>
            <w:tcW w:w="46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shd w:val="clear" w:color="auto" w:fill="E5FFFF"/>
          </w:tcPr>
          <w:p>
            <w:pPr>
              <w:spacing w:after="0"/>
              <w:rPr>
                <w:sz w:val="22"/>
                <w:szCs w:val="22"/>
                <w:color w:val="auto"/>
              </w:rPr>
            </w:pPr>
          </w:p>
        </w:tc>
        <w:tc>
          <w:tcPr>
            <w:tcW w:w="4620" w:type="dxa"/>
            <w:vAlign w:val="bottom"/>
            <w:shd w:val="clear" w:color="auto" w:fill="E5FFFF"/>
          </w:tcPr>
          <w:p>
            <w:pPr>
              <w:ind w:left="20"/>
              <w:spacing w:after="0"/>
              <w:rPr>
                <w:sz w:val="20"/>
                <w:szCs w:val="20"/>
                <w:color w:val="auto"/>
              </w:rPr>
            </w:pPr>
            <w:r>
              <w:rPr>
                <w:rFonts w:ascii="Arial" w:cs="Arial" w:eastAsia="Arial" w:hAnsi="Arial"/>
                <w:sz w:val="18"/>
                <w:szCs w:val="18"/>
                <w:color w:val="auto"/>
              </w:rPr>
              <w:t>Product sales</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(7 )</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29</w:t>
            </w:r>
          </w:p>
        </w:tc>
      </w:tr>
      <w:tr>
        <w:trPr>
          <w:trHeight w:val="269"/>
        </w:trPr>
        <w:tc>
          <w:tcPr>
            <w:tcW w:w="4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1"/>
        </w:trPr>
        <w:tc>
          <w:tcPr>
            <w:tcW w:w="46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20" w:type="dxa"/>
            <w:vAlign w:val="bottom"/>
            <w:shd w:val="clear" w:color="auto" w:fill="E5FFFF"/>
          </w:tcPr>
          <w:p>
            <w:pPr>
              <w:ind w:left="20"/>
              <w:spacing w:after="0"/>
              <w:rPr>
                <w:sz w:val="20"/>
                <w:szCs w:val="20"/>
                <w:color w:val="auto"/>
              </w:rPr>
            </w:pPr>
            <w:r>
              <w:rPr>
                <w:rFonts w:ascii="Arial" w:cs="Arial" w:eastAsia="Arial" w:hAnsi="Arial"/>
                <w:sz w:val="18"/>
                <w:szCs w:val="18"/>
                <w:color w:val="auto"/>
              </w:rPr>
              <w:t>Sales &amp; general administrative</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(8 )</w:t>
            </w:r>
          </w:p>
        </w:tc>
      </w:tr>
      <w:tr>
        <w:trPr>
          <w:trHeight w:val="268"/>
        </w:trPr>
        <w:tc>
          <w:tcPr>
            <w:tcW w:w="4600" w:type="dxa"/>
            <w:vAlign w:val="bottom"/>
          </w:tcPr>
          <w:p>
            <w:pPr>
              <w:ind w:left="20"/>
              <w:spacing w:after="0"/>
              <w:rPr>
                <w:sz w:val="20"/>
                <w:szCs w:val="20"/>
                <w:color w:val="auto"/>
              </w:rPr>
            </w:pPr>
            <w:r>
              <w:rPr>
                <w:rFonts w:ascii="Arial" w:cs="Arial" w:eastAsia="Arial" w:hAnsi="Arial"/>
                <w:sz w:val="18"/>
                <w:szCs w:val="18"/>
                <w:color w:val="auto"/>
              </w:rPr>
              <w:t>Forward commodity contracts</w:t>
            </w:r>
          </w:p>
        </w:tc>
        <w:tc>
          <w:tcPr>
            <w:tcW w:w="300" w:type="dxa"/>
            <w:vAlign w:val="bottom"/>
          </w:tcPr>
          <w:p>
            <w:pPr>
              <w:spacing w:after="0"/>
              <w:rPr>
                <w:sz w:val="23"/>
                <w:szCs w:val="23"/>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(2 )</w:t>
            </w:r>
          </w:p>
        </w:tc>
      </w:tr>
    </w:tbl>
    <w:p>
      <w:pPr>
        <w:spacing w:after="0" w:line="110"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Ineffective portions of commodity derivative instruments designated in cash flow hedge relationships were insignificant in the years ended December 31, 2012 and 2011 and are classified within cost of products sold. Foreign currency exchange contracts in cash flow hedge relationships qualify as critical matched terms hedge relationships and as a result have no ineffectiveness.</w:t>
      </w:r>
    </w:p>
    <w:p>
      <w:pPr>
        <w:spacing w:after="0" w:line="87"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Interest rate swap agreements are designated as hedge relationships with gains or (losses) on the derivative recognized in Interest and other financial charges offsetting the gains and losses on the underlying debt being hedged. Gains on interest rate swap agreements recognized in earnings were $12 and $112 million in the years ended December 31, 2012 and 2011 respectively. Gains and losses are fully offset by losses and gains on the underlying debt being hedged.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$20 million and $30 million of income, in Other (Income) Expense for the years ended December 31, 2012 and 2011,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17—Other Liabilities</w:t>
      </w:r>
    </w:p>
    <w:p>
      <w:pPr>
        <w:spacing w:after="0" w:line="75"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Years Ended</w:t>
      </w:r>
    </w:p>
    <w:p>
      <w:pPr>
        <w:spacing w:after="0" w:line="11"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2011</w:t>
            </w:r>
          </w:p>
        </w:tc>
      </w:tr>
      <w:tr>
        <w:trPr>
          <w:trHeight w:val="264"/>
        </w:trPr>
        <w:tc>
          <w:tcPr>
            <w:tcW w:w="500" w:type="dxa"/>
            <w:vAlign w:val="bottom"/>
          </w:tcPr>
          <w:p>
            <w:pPr>
              <w:spacing w:after="0"/>
              <w:rPr>
                <w:sz w:val="22"/>
                <w:szCs w:val="22"/>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and other employee related</w:t>
            </w: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4,440</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4,308</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Environmental</w:t>
            </w: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350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420</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taxes</w:t>
            </w: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550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856</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Insurance</w:t>
            </w: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273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218</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Asset retirement obligations(1)</w:t>
            </w: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71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w:t>
            </w:r>
          </w:p>
        </w:tc>
      </w:tr>
      <w:tr>
        <w:trPr>
          <w:trHeight w:val="270"/>
        </w:trPr>
        <w:tc>
          <w:tcPr>
            <w:tcW w:w="500" w:type="dxa"/>
            <w:vAlign w:val="bottom"/>
          </w:tcPr>
          <w:p>
            <w:pPr>
              <w:spacing w:after="0"/>
              <w:rPr>
                <w:sz w:val="23"/>
                <w:szCs w:val="23"/>
                <w:color w:val="auto"/>
              </w:rPr>
            </w:pPr>
          </w:p>
        </w:tc>
        <w:tc>
          <w:tcPr>
            <w:tcW w:w="8360" w:type="dxa"/>
            <w:vAlign w:val="bottom"/>
            <w:gridSpan w:val="2"/>
          </w:tcPr>
          <w:p>
            <w:pPr>
              <w:ind w:left="20"/>
              <w:spacing w:after="0"/>
              <w:rPr>
                <w:sz w:val="20"/>
                <w:szCs w:val="20"/>
                <w:color w:val="auto"/>
              </w:rPr>
            </w:pPr>
            <w:r>
              <w:rPr>
                <w:rFonts w:ascii="Arial" w:cs="Arial" w:eastAsia="Arial" w:hAnsi="Arial"/>
                <w:sz w:val="19"/>
                <w:szCs w:val="19"/>
                <w:color w:val="auto"/>
              </w:rPr>
              <w:t>Deferred income</w:t>
            </w:r>
          </w:p>
        </w:tc>
        <w:tc>
          <w:tcPr>
            <w:tcW w:w="22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47</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70"/>
        </w:trPr>
        <w:tc>
          <w:tcPr>
            <w:tcW w:w="500" w:type="dxa"/>
            <w:vAlign w:val="bottom"/>
          </w:tcPr>
          <w:p>
            <w:pPr>
              <w:spacing w:after="0"/>
              <w:rPr>
                <w:sz w:val="23"/>
                <w:szCs w:val="23"/>
                <w:color w:val="auto"/>
              </w:rPr>
            </w:pPr>
          </w:p>
        </w:tc>
        <w:tc>
          <w:tcPr>
            <w:tcW w:w="836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w:t>
            </w: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182</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205</w:t>
            </w:r>
          </w:p>
        </w:tc>
      </w:tr>
      <w:tr>
        <w:trPr>
          <w:trHeight w:val="30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5,913</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6,158</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39"/>
        </w:trPr>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5" w:lineRule="exact"/>
        <w:rPr>
          <w:sz w:val="20"/>
          <w:szCs w:val="20"/>
          <w:color w:val="auto"/>
        </w:rPr>
      </w:pPr>
    </w:p>
    <w:p>
      <w:pPr>
        <w:ind w:left="400" w:right="180" w:hanging="332"/>
        <w:spacing w:after="0" w:line="245" w:lineRule="auto"/>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Asset retirement obligations primarily relate to costs associated with the future retirement of nuclear fuel conversion facilities in our Performance Materials and Technologies segment and the future retirement of facilities in our Automation and Control Solutions segment.</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our liability for asset retirement obligations for the year ended December 31, 2012, is as follows:</w:t>
      </w: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860" w:type="dxa"/>
            <w:vAlign w:val="bottom"/>
          </w:tcPr>
          <w:p>
            <w:pPr>
              <w:spacing w:after="0"/>
              <w:rPr>
                <w:sz w:val="17"/>
                <w:szCs w:val="17"/>
                <w:color w:val="auto"/>
              </w:rPr>
            </w:pPr>
          </w:p>
        </w:tc>
        <w:tc>
          <w:tcPr>
            <w:tcW w:w="600" w:type="dxa"/>
            <w:vAlign w:val="bottom"/>
          </w:tcPr>
          <w:p>
            <w:pPr>
              <w:jc w:val="right"/>
              <w:ind w:right="26"/>
              <w:spacing w:after="0"/>
              <w:rPr>
                <w:sz w:val="20"/>
                <w:szCs w:val="20"/>
                <w:color w:val="auto"/>
              </w:rPr>
            </w:pPr>
            <w:r>
              <w:rPr>
                <w:rFonts w:ascii="Arial" w:cs="Arial" w:eastAsia="Arial" w:hAnsi="Arial"/>
                <w:sz w:val="16"/>
                <w:szCs w:val="16"/>
                <w:b w:val="1"/>
                <w:bCs w:val="1"/>
                <w:color w:val="auto"/>
              </w:rPr>
              <w:t>2012</w:t>
            </w:r>
          </w:p>
        </w:tc>
        <w:tc>
          <w:tcPr>
            <w:tcW w:w="94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2011</w:t>
            </w:r>
          </w:p>
        </w:tc>
      </w:tr>
      <w:tr>
        <w:trPr>
          <w:trHeight w:val="237"/>
        </w:trPr>
        <w:tc>
          <w:tcPr>
            <w:tcW w:w="8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 in asset retirement obligations:</w:t>
            </w:r>
          </w:p>
        </w:tc>
        <w:tc>
          <w:tcPr>
            <w:tcW w:w="60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640" w:type="dxa"/>
            <w:vAlign w:val="bottom"/>
            <w:tcBorders>
              <w:top w:val="single" w:sz="8" w:color="auto"/>
            </w:tcBorders>
            <w:shd w:val="clear" w:color="auto" w:fill="E5FFFF"/>
          </w:tcPr>
          <w:p>
            <w:pPr>
              <w:spacing w:after="0"/>
              <w:rPr>
                <w:sz w:val="20"/>
                <w:szCs w:val="20"/>
                <w:color w:val="auto"/>
              </w:rPr>
            </w:pPr>
          </w:p>
        </w:tc>
      </w:tr>
      <w:tr>
        <w:trPr>
          <w:trHeight w:val="270"/>
        </w:trPr>
        <w:tc>
          <w:tcPr>
            <w:tcW w:w="8860" w:type="dxa"/>
            <w:vAlign w:val="bottom"/>
          </w:tcPr>
          <w:p>
            <w:pPr>
              <w:ind w:left="380"/>
              <w:spacing w:after="0"/>
              <w:rPr>
                <w:sz w:val="20"/>
                <w:szCs w:val="20"/>
                <w:color w:val="auto"/>
              </w:rPr>
            </w:pPr>
            <w:r>
              <w:rPr>
                <w:rFonts w:ascii="Arial" w:cs="Arial" w:eastAsia="Arial" w:hAnsi="Arial"/>
                <w:sz w:val="19"/>
                <w:szCs w:val="19"/>
                <w:color w:val="auto"/>
              </w:rPr>
              <w:t>Balance at beginning of year</w:t>
            </w: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$ 74</w:t>
            </w:r>
          </w:p>
        </w:tc>
        <w:tc>
          <w:tcPr>
            <w:tcW w:w="940" w:type="dxa"/>
            <w:vAlign w:val="bottom"/>
            <w:gridSpan w:val="2"/>
          </w:tcPr>
          <w:p>
            <w:pPr>
              <w:jc w:val="right"/>
              <w:ind w:right="63"/>
              <w:spacing w:after="0"/>
              <w:rPr>
                <w:sz w:val="20"/>
                <w:szCs w:val="20"/>
                <w:color w:val="auto"/>
              </w:rPr>
            </w:pPr>
            <w:r>
              <w:rPr>
                <w:rFonts w:ascii="Arial" w:cs="Arial" w:eastAsia="Arial" w:hAnsi="Arial"/>
                <w:sz w:val="19"/>
                <w:szCs w:val="19"/>
                <w:color w:val="auto"/>
              </w:rPr>
              <w:t>$ 80</w:t>
            </w:r>
          </w:p>
        </w:tc>
      </w:tr>
      <w:tr>
        <w:trPr>
          <w:trHeight w:val="270"/>
        </w:trPr>
        <w:tc>
          <w:tcPr>
            <w:tcW w:w="88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Liabilities settled</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(8 )</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(6 )</w:t>
            </w:r>
          </w:p>
        </w:tc>
      </w:tr>
      <w:tr>
        <w:trPr>
          <w:trHeight w:val="270"/>
        </w:trPr>
        <w:tc>
          <w:tcPr>
            <w:tcW w:w="8860" w:type="dxa"/>
            <w:vAlign w:val="bottom"/>
          </w:tcPr>
          <w:p>
            <w:pPr>
              <w:ind w:left="380"/>
              <w:spacing w:after="0"/>
              <w:rPr>
                <w:sz w:val="20"/>
                <w:szCs w:val="20"/>
                <w:color w:val="auto"/>
              </w:rPr>
            </w:pPr>
            <w:r>
              <w:rPr>
                <w:rFonts w:ascii="Arial" w:cs="Arial" w:eastAsia="Arial" w:hAnsi="Arial"/>
                <w:sz w:val="19"/>
                <w:szCs w:val="19"/>
                <w:color w:val="auto"/>
              </w:rPr>
              <w:t>Adjustments</w:t>
            </w: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3</w:t>
            </w:r>
          </w:p>
        </w:tc>
        <w:tc>
          <w:tcPr>
            <w:tcW w:w="940" w:type="dxa"/>
            <w:vAlign w:val="bottom"/>
            <w:gridSpan w:val="2"/>
          </w:tcPr>
          <w:p>
            <w:pPr>
              <w:jc w:val="right"/>
              <w:spacing w:after="0"/>
              <w:rPr>
                <w:sz w:val="20"/>
                <w:szCs w:val="20"/>
                <w:color w:val="auto"/>
              </w:rPr>
            </w:pPr>
            <w:r>
              <w:rPr>
                <w:rFonts w:ascii="Arial" w:cs="Arial" w:eastAsia="Arial" w:hAnsi="Arial"/>
                <w:sz w:val="19"/>
                <w:szCs w:val="19"/>
                <w:color w:val="auto"/>
              </w:rPr>
              <w:t>(2 )</w:t>
            </w:r>
          </w:p>
        </w:tc>
      </w:tr>
      <w:tr>
        <w:trPr>
          <w:trHeight w:val="270"/>
        </w:trPr>
        <w:tc>
          <w:tcPr>
            <w:tcW w:w="88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Accretion expense</w:t>
            </w:r>
          </w:p>
        </w:tc>
        <w:tc>
          <w:tcPr>
            <w:tcW w:w="60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2</w:t>
            </w:r>
          </w:p>
        </w:tc>
      </w:tr>
      <w:tr>
        <w:trPr>
          <w:trHeight w:val="304"/>
        </w:trPr>
        <w:tc>
          <w:tcPr>
            <w:tcW w:w="8860" w:type="dxa"/>
            <w:vAlign w:val="bottom"/>
          </w:tcPr>
          <w:p>
            <w:pPr>
              <w:ind w:left="380"/>
              <w:spacing w:after="0"/>
              <w:rPr>
                <w:sz w:val="20"/>
                <w:szCs w:val="20"/>
                <w:color w:val="auto"/>
              </w:rPr>
            </w:pPr>
            <w:r>
              <w:rPr>
                <w:rFonts w:ascii="Arial" w:cs="Arial" w:eastAsia="Arial" w:hAnsi="Arial"/>
                <w:sz w:val="19"/>
                <w:szCs w:val="19"/>
                <w:color w:val="auto"/>
              </w:rPr>
              <w:t>Balance at end of year</w:t>
            </w: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$ 71</w:t>
            </w:r>
          </w:p>
        </w:tc>
        <w:tc>
          <w:tcPr>
            <w:tcW w:w="940" w:type="dxa"/>
            <w:vAlign w:val="bottom"/>
            <w:gridSpan w:val="2"/>
          </w:tcPr>
          <w:p>
            <w:pPr>
              <w:jc w:val="right"/>
              <w:ind w:right="63"/>
              <w:spacing w:after="0"/>
              <w:rPr>
                <w:sz w:val="20"/>
                <w:szCs w:val="20"/>
                <w:color w:val="auto"/>
              </w:rPr>
            </w:pPr>
            <w:r>
              <w:rPr>
                <w:rFonts w:ascii="Arial" w:cs="Arial" w:eastAsia="Arial" w:hAnsi="Arial"/>
                <w:sz w:val="19"/>
                <w:szCs w:val="19"/>
                <w:color w:val="auto"/>
              </w:rPr>
              <w:t>$ 74</w:t>
            </w:r>
          </w:p>
        </w:tc>
      </w:tr>
      <w:tr>
        <w:trPr>
          <w:trHeight w:val="20"/>
        </w:trPr>
        <w:tc>
          <w:tcPr>
            <w:tcW w:w="8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18—Capital Stock</w:t>
      </w:r>
    </w:p>
    <w:p>
      <w:pPr>
        <w:spacing w:after="0" w:line="130"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We are authorized to issue up to 2,000,000,000 shares of common stock, with a par value of $1.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80" w:lineRule="exact"/>
        <w:rPr>
          <w:sz w:val="20"/>
          <w:szCs w:val="20"/>
          <w:color w:val="auto"/>
        </w:rPr>
      </w:pPr>
    </w:p>
    <w:p>
      <w:pPr>
        <w:ind w:right="180" w:firstLine="357"/>
        <w:spacing w:after="0" w:line="242" w:lineRule="auto"/>
        <w:rPr>
          <w:sz w:val="20"/>
          <w:szCs w:val="20"/>
          <w:color w:val="auto"/>
        </w:rPr>
      </w:pPr>
      <w:r>
        <w:rPr>
          <w:rFonts w:ascii="Arial" w:cs="Arial" w:eastAsia="Arial" w:hAnsi="Arial"/>
          <w:sz w:val="19"/>
          <w:szCs w:val="19"/>
          <w:color w:val="auto"/>
        </w:rPr>
        <w:t>The Board of Directors has authorized the repurchase of up to a total of $3.0 billion of Honeywell common stock, which amount includes $1.6 billion that remained available under the Company’s previously reported share repurchase program. We purchased a total of approximately 5 million and 20.3 million shares of our common stock in 2012 and 2011, for $317 and $1,085 million, respectively.</w:t>
      </w:r>
    </w:p>
    <w:p>
      <w:pPr>
        <w:spacing w:after="0" w:line="91" w:lineRule="exact"/>
        <w:rPr>
          <w:sz w:val="20"/>
          <w:szCs w:val="20"/>
          <w:color w:val="auto"/>
        </w:rPr>
      </w:pPr>
    </w:p>
    <w:p>
      <w:pPr>
        <w:jc w:val="both"/>
        <w:ind w:right="500" w:firstLine="357"/>
        <w:spacing w:after="0" w:line="245" w:lineRule="auto"/>
        <w:rPr>
          <w:sz w:val="20"/>
          <w:szCs w:val="20"/>
          <w:color w:val="auto"/>
        </w:rPr>
      </w:pPr>
      <w:r>
        <w:rPr>
          <w:rFonts w:ascii="Arial" w:cs="Arial" w:eastAsia="Arial" w:hAnsi="Arial"/>
          <w:sz w:val="19"/>
          <w:szCs w:val="19"/>
          <w:color w:val="auto"/>
        </w:rPr>
        <w:t>We are authorized to issue up to 40,000,000 shares of preferred stock, without par value, and can determine the number of shares of each series, and the rights, preferences and limitations of each series. At December 31, 2012, there was no preferred stock outstanding.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19—Accumulated Other Comprehensive Income (Loss)</w:t>
      </w:r>
    </w:p>
    <w:p>
      <w:pPr>
        <w:spacing w:after="0" w:line="130" w:lineRule="exact"/>
        <w:rPr>
          <w:sz w:val="20"/>
          <w:szCs w:val="20"/>
          <w:color w:val="auto"/>
        </w:rPr>
      </w:pPr>
    </w:p>
    <w:p>
      <w:pPr>
        <w:jc w:val="both"/>
        <w:ind w:right="700" w:firstLine="357"/>
        <w:spacing w:after="0" w:line="245" w:lineRule="auto"/>
        <w:rPr>
          <w:sz w:val="20"/>
          <w:szCs w:val="20"/>
          <w:color w:val="auto"/>
        </w:rPr>
      </w:pPr>
      <w:r>
        <w:rPr>
          <w:rFonts w:ascii="Arial" w:cs="Arial" w:eastAsia="Arial" w:hAnsi="Arial"/>
          <w:sz w:val="19"/>
          <w:szCs w:val="19"/>
          <w:color w:val="auto"/>
        </w:rPr>
        <w:t>Total accumulated other comprehensive income (loss) is included in the Consolidated Statement of Shareowners’ Equity. Comprehensive Income (Loss) attributable to noncontrolling interest consisted predominantly of net income. The changes in Accumulated Other Comprehensive Income (Loss)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Pretax</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94"/>
              </w:rPr>
              <w:t>Tax</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rPr>
              <w:t>After Tax</w:t>
            </w:r>
          </w:p>
        </w:tc>
        <w:tc>
          <w:tcPr>
            <w:tcW w:w="0" w:type="dxa"/>
            <w:vAlign w:val="bottom"/>
          </w:tcPr>
          <w:p>
            <w:pPr>
              <w:spacing w:after="0"/>
              <w:rPr>
                <w:sz w:val="1"/>
                <w:szCs w:val="1"/>
                <w:color w:val="auto"/>
              </w:rPr>
            </w:pPr>
          </w:p>
        </w:tc>
      </w:tr>
      <w:tr>
        <w:trPr>
          <w:trHeight w:val="237"/>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2012</w:t>
            </w:r>
          </w:p>
        </w:tc>
        <w:tc>
          <w:tcPr>
            <w:tcW w:w="20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23"/>
              <w:spacing w:after="0"/>
              <w:rPr>
                <w:sz w:val="20"/>
                <w:szCs w:val="20"/>
                <w:color w:val="auto"/>
              </w:rPr>
            </w:pPr>
            <w:r>
              <w:rPr>
                <w:rFonts w:ascii="Arial" w:cs="Arial" w:eastAsia="Arial" w:hAnsi="Arial"/>
                <w:sz w:val="19"/>
                <w:szCs w:val="19"/>
                <w:color w:val="auto"/>
              </w:rPr>
              <w:t>282</w:t>
            </w:r>
          </w:p>
        </w:tc>
        <w:tc>
          <w:tcPr>
            <w:tcW w:w="20" w:type="dxa"/>
            <w:vAlign w:val="bottom"/>
          </w:tcPr>
          <w:p>
            <w:pPr>
              <w:spacing w:after="0"/>
              <w:rPr>
                <w:sz w:val="23"/>
                <w:szCs w:val="2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84"/>
              <w:spacing w:after="0"/>
              <w:rPr>
                <w:sz w:val="20"/>
                <w:szCs w:val="20"/>
                <w:color w:val="auto"/>
              </w:rPr>
            </w:pPr>
            <w:r>
              <w:rPr>
                <w:rFonts w:ascii="Arial" w:cs="Arial" w:eastAsia="Arial" w:hAnsi="Arial"/>
                <w:sz w:val="19"/>
                <w:szCs w:val="19"/>
                <w:color w:val="auto"/>
              </w:rPr>
              <w:t>282</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Pensions and other postretirement benefit adjustments</w:t>
            </w: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(285 )</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w:t>
            </w: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(198 )</w:t>
            </w: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Changes in fair value of available for sale investments</w:t>
            </w:r>
          </w:p>
        </w:tc>
        <w:tc>
          <w:tcPr>
            <w:tcW w:w="200" w:type="dxa"/>
            <w:vAlign w:val="bottom"/>
          </w:tcPr>
          <w:p>
            <w:pPr>
              <w:spacing w:after="0"/>
              <w:rPr>
                <w:sz w:val="23"/>
                <w:szCs w:val="23"/>
                <w:color w:val="auto"/>
              </w:rPr>
            </w:pPr>
          </w:p>
        </w:tc>
        <w:tc>
          <w:tcPr>
            <w:tcW w:w="540" w:type="dxa"/>
            <w:vAlign w:val="bottom"/>
          </w:tcPr>
          <w:p>
            <w:pPr>
              <w:jc w:val="right"/>
              <w:ind w:right="23"/>
              <w:spacing w:after="0"/>
              <w:rPr>
                <w:sz w:val="20"/>
                <w:szCs w:val="20"/>
                <w:color w:val="auto"/>
              </w:rPr>
            </w:pPr>
            <w:r>
              <w:rPr>
                <w:rFonts w:ascii="Arial" w:cs="Arial" w:eastAsia="Arial" w:hAnsi="Arial"/>
                <w:sz w:val="19"/>
                <w:szCs w:val="19"/>
                <w:color w:val="auto"/>
              </w:rPr>
              <w:t>54</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(60 )</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(6 )</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20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35</w:t>
            </w:r>
          </w:p>
        </w:tc>
        <w:tc>
          <w:tcPr>
            <w:tcW w:w="2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(8 )</w:t>
            </w: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ind w:right="84"/>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304"/>
        </w:trPr>
        <w:tc>
          <w:tcPr>
            <w:tcW w:w="8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23"/>
              <w:spacing w:after="0"/>
              <w:rPr>
                <w:sz w:val="20"/>
                <w:szCs w:val="20"/>
                <w:color w:val="auto"/>
              </w:rPr>
            </w:pPr>
            <w:r>
              <w:rPr>
                <w:rFonts w:ascii="Arial" w:cs="Arial" w:eastAsia="Arial" w:hAnsi="Arial"/>
                <w:sz w:val="19"/>
                <w:szCs w:val="19"/>
                <w:color w:val="auto"/>
              </w:rPr>
              <w:t>86</w:t>
            </w:r>
          </w:p>
        </w:tc>
        <w:tc>
          <w:tcPr>
            <w:tcW w:w="2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84"/>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2011</w:t>
            </w:r>
          </w:p>
        </w:tc>
        <w:tc>
          <w:tcPr>
            <w:tcW w:w="2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96"/>
              </w:rPr>
              <w:t>(146 )</w:t>
            </w:r>
          </w:p>
        </w:tc>
        <w:tc>
          <w:tcPr>
            <w:tcW w:w="20" w:type="dxa"/>
            <w:vAlign w:val="bottom"/>
          </w:tcPr>
          <w:p>
            <w:pPr>
              <w:spacing w:after="0"/>
              <w:rPr>
                <w:sz w:val="23"/>
                <w:szCs w:val="2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(146 )</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Pensions and other postretirement benefit adjustments</w:t>
            </w: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(317 )</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w:t>
            </w: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(209 )</w:t>
            </w: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Changes in fair value of available for sale investments</w:t>
            </w:r>
          </w:p>
        </w:tc>
        <w:tc>
          <w:tcPr>
            <w:tcW w:w="200" w:type="dxa"/>
            <w:vAlign w:val="bottom"/>
          </w:tcPr>
          <w:p>
            <w:pPr>
              <w:spacing w:after="0"/>
              <w:rPr>
                <w:sz w:val="23"/>
                <w:szCs w:val="23"/>
                <w:color w:val="auto"/>
              </w:rPr>
            </w:pPr>
          </w:p>
        </w:tc>
        <w:tc>
          <w:tcPr>
            <w:tcW w:w="540" w:type="dxa"/>
            <w:vAlign w:val="bottom"/>
          </w:tcPr>
          <w:p>
            <w:pPr>
              <w:jc w:val="right"/>
              <w:ind w:right="23"/>
              <w:spacing w:after="0"/>
              <w:rPr>
                <w:sz w:val="20"/>
                <w:szCs w:val="20"/>
                <w:color w:val="auto"/>
              </w:rPr>
            </w:pPr>
            <w:r>
              <w:rPr>
                <w:rFonts w:ascii="Arial" w:cs="Arial" w:eastAsia="Arial" w:hAnsi="Arial"/>
                <w:sz w:val="19"/>
                <w:szCs w:val="19"/>
                <w:color w:val="auto"/>
              </w:rPr>
              <w:t>12</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84"/>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20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(41 )</w:t>
            </w:r>
          </w:p>
        </w:tc>
        <w:tc>
          <w:tcPr>
            <w:tcW w:w="2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80" w:type="dxa"/>
            <w:vAlign w:val="bottom"/>
            <w:tcBorders>
              <w:bottom w:val="single" w:sz="8" w:color="auto"/>
            </w:tcBorders>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(34 )</w:t>
            </w:r>
          </w:p>
        </w:tc>
        <w:tc>
          <w:tcPr>
            <w:tcW w:w="0" w:type="dxa"/>
            <w:vAlign w:val="bottom"/>
          </w:tcPr>
          <w:p>
            <w:pPr>
              <w:spacing w:after="0"/>
              <w:rPr>
                <w:sz w:val="1"/>
                <w:szCs w:val="1"/>
                <w:color w:val="auto"/>
              </w:rPr>
            </w:pPr>
          </w:p>
        </w:tc>
      </w:tr>
      <w:tr>
        <w:trPr>
          <w:trHeight w:val="304"/>
        </w:trPr>
        <w:tc>
          <w:tcPr>
            <w:tcW w:w="8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96"/>
              </w:rPr>
              <w:t>(492 )</w:t>
            </w:r>
          </w:p>
        </w:tc>
        <w:tc>
          <w:tcPr>
            <w:tcW w:w="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9"/>
                <w:szCs w:val="19"/>
                <w:color w:val="auto"/>
              </w:rPr>
              <w:t>$ 115</w:t>
            </w:r>
          </w:p>
        </w:tc>
        <w:tc>
          <w:tcPr>
            <w:tcW w:w="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(377 )</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Year Ended December 31, 2010</w:t>
            </w:r>
          </w:p>
        </w:tc>
        <w:tc>
          <w:tcPr>
            <w:tcW w:w="2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Foreign exchange translation adjustment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96"/>
              </w:rPr>
              <w:t>(249 )</w:t>
            </w:r>
          </w:p>
        </w:tc>
        <w:tc>
          <w:tcPr>
            <w:tcW w:w="20" w:type="dxa"/>
            <w:vAlign w:val="bottom"/>
          </w:tcPr>
          <w:p>
            <w:pPr>
              <w:spacing w:after="0"/>
              <w:rPr>
                <w:sz w:val="23"/>
                <w:szCs w:val="2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(249 )</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Pensions and other postretirement benefit adjustments</w:t>
            </w: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26</w:t>
            </w:r>
          </w:p>
        </w:tc>
        <w:tc>
          <w:tcPr>
            <w:tcW w:w="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84"/>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Changes in fair value of available for sale investments</w:t>
            </w:r>
          </w:p>
        </w:tc>
        <w:tc>
          <w:tcPr>
            <w:tcW w:w="200" w:type="dxa"/>
            <w:vAlign w:val="bottom"/>
          </w:tcPr>
          <w:p>
            <w:pPr>
              <w:spacing w:after="0"/>
              <w:rPr>
                <w:sz w:val="23"/>
                <w:szCs w:val="23"/>
                <w:color w:val="auto"/>
              </w:rPr>
            </w:pPr>
          </w:p>
        </w:tc>
        <w:tc>
          <w:tcPr>
            <w:tcW w:w="540" w:type="dxa"/>
            <w:vAlign w:val="bottom"/>
          </w:tcPr>
          <w:p>
            <w:pPr>
              <w:jc w:val="right"/>
              <w:ind w:right="23"/>
              <w:spacing w:after="0"/>
              <w:rPr>
                <w:sz w:val="20"/>
                <w:szCs w:val="20"/>
                <w:color w:val="auto"/>
              </w:rPr>
            </w:pPr>
            <w:r>
              <w:rPr>
                <w:rFonts w:ascii="Arial" w:cs="Arial" w:eastAsia="Arial" w:hAnsi="Arial"/>
                <w:sz w:val="19"/>
                <w:szCs w:val="19"/>
                <w:color w:val="auto"/>
              </w:rPr>
              <w:t>90</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84"/>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Changes in fair value of effective cash flow hedges</w:t>
            </w:r>
          </w:p>
        </w:tc>
        <w:tc>
          <w:tcPr>
            <w:tcW w:w="20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(6 )</w:t>
            </w:r>
          </w:p>
        </w:tc>
        <w:tc>
          <w:tcPr>
            <w:tcW w:w="2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80" w:type="dxa"/>
            <w:vAlign w:val="bottom"/>
            <w:tcBorders>
              <w:bottom w:val="single" w:sz="8" w:color="auto"/>
            </w:tcBorders>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(4 )</w:t>
            </w:r>
          </w:p>
        </w:tc>
        <w:tc>
          <w:tcPr>
            <w:tcW w:w="0" w:type="dxa"/>
            <w:vAlign w:val="bottom"/>
          </w:tcPr>
          <w:p>
            <w:pPr>
              <w:spacing w:after="0"/>
              <w:rPr>
                <w:sz w:val="1"/>
                <w:szCs w:val="1"/>
                <w:color w:val="auto"/>
              </w:rPr>
            </w:pPr>
          </w:p>
        </w:tc>
      </w:tr>
      <w:tr>
        <w:trPr>
          <w:trHeight w:val="304"/>
        </w:trPr>
        <w:tc>
          <w:tcPr>
            <w:tcW w:w="84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96"/>
              </w:rPr>
              <w:t>(139 )</w:t>
            </w:r>
          </w:p>
        </w:tc>
        <w:tc>
          <w:tcPr>
            <w:tcW w:w="2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(119 )</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9"/>
                <w:szCs w:val="19"/>
                <w:b w:val="1"/>
                <w:bCs w:val="1"/>
                <w:color w:val="auto"/>
              </w:rPr>
              <w:t>Components of Accumulated Other Comprehensive Income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8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ind w:right="48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64"/>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Cumulative foreign exchange translation adjustment</w:t>
            </w:r>
          </w:p>
        </w:tc>
        <w:tc>
          <w:tcPr>
            <w:tcW w:w="200" w:type="dxa"/>
            <w:vAlign w:val="bottom"/>
            <w:shd w:val="clear" w:color="auto" w:fill="E5FFFF"/>
          </w:tcPr>
          <w:p>
            <w:pPr>
              <w:spacing w:after="0"/>
              <w:rPr>
                <w:sz w:val="22"/>
                <w:szCs w:val="22"/>
                <w:color w:val="auto"/>
              </w:rPr>
            </w:pPr>
          </w:p>
        </w:tc>
        <w:tc>
          <w:tcPr>
            <w:tcW w:w="5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920" w:type="dxa"/>
            <w:vAlign w:val="bottom"/>
            <w:gridSpan w:val="3"/>
            <w:shd w:val="clear" w:color="auto" w:fill="E5FFFF"/>
          </w:tcPr>
          <w:p>
            <w:pPr>
              <w:jc w:val="right"/>
              <w:ind w:right="65"/>
              <w:spacing w:after="0"/>
              <w:rPr>
                <w:sz w:val="20"/>
                <w:szCs w:val="20"/>
                <w:color w:val="auto"/>
              </w:rPr>
            </w:pPr>
            <w:r>
              <w:rPr>
                <w:rFonts w:ascii="Arial" w:cs="Arial" w:eastAsia="Arial" w:hAnsi="Arial"/>
                <w:sz w:val="19"/>
                <w:szCs w:val="19"/>
                <w:color w:val="auto"/>
              </w:rPr>
              <w:t>$   356</w:t>
            </w:r>
          </w:p>
        </w:tc>
        <w:tc>
          <w:tcPr>
            <w:tcW w:w="80" w:type="dxa"/>
            <w:vAlign w:val="bottom"/>
            <w:shd w:val="clear" w:color="auto" w:fill="E5FFFF"/>
          </w:tcPr>
          <w:p>
            <w:pPr>
              <w:spacing w:after="0"/>
              <w:rPr>
                <w:sz w:val="22"/>
                <w:szCs w:val="22"/>
                <w:color w:val="auto"/>
              </w:rPr>
            </w:pPr>
          </w:p>
        </w:tc>
        <w:tc>
          <w:tcPr>
            <w:tcW w:w="46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74</w:t>
            </w: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Pensions and other postretirement benefit adjustments</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9"/>
                <w:szCs w:val="19"/>
                <w:color w:val="auto"/>
              </w:rPr>
              <w:t>(1,848 )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w w:val="94"/>
              </w:rPr>
              <w:t>(1,650 )</w:t>
            </w:r>
          </w:p>
        </w:tc>
        <w:tc>
          <w:tcPr>
            <w:tcW w:w="0" w:type="dxa"/>
            <w:vAlign w:val="bottom"/>
          </w:tcPr>
          <w:p>
            <w:pPr>
              <w:spacing w:after="0"/>
              <w:rPr>
                <w:sz w:val="1"/>
                <w:szCs w:val="1"/>
                <w:color w:val="auto"/>
              </w:rPr>
            </w:pPr>
          </w:p>
        </w:tc>
      </w:tr>
      <w:tr>
        <w:trPr>
          <w:trHeight w:val="270"/>
        </w:trPr>
        <w:tc>
          <w:tcPr>
            <w:tcW w:w="8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Change in fair value of available for sale investments</w:t>
            </w:r>
          </w:p>
        </w:tc>
        <w:tc>
          <w:tcPr>
            <w:tcW w:w="200" w:type="dxa"/>
            <w:vAlign w:val="bottom"/>
            <w:shd w:val="clear" w:color="auto" w:fill="E5FFFF"/>
          </w:tcPr>
          <w:p>
            <w:pPr>
              <w:spacing w:after="0"/>
              <w:rPr>
                <w:sz w:val="23"/>
                <w:szCs w:val="23"/>
                <w:color w:val="auto"/>
              </w:rPr>
            </w:pPr>
          </w:p>
        </w:tc>
        <w:tc>
          <w:tcPr>
            <w:tcW w:w="54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920" w:type="dxa"/>
            <w:vAlign w:val="bottom"/>
            <w:gridSpan w:val="3"/>
            <w:shd w:val="clear" w:color="auto" w:fill="E5FFFF"/>
          </w:tcPr>
          <w:p>
            <w:pPr>
              <w:jc w:val="right"/>
              <w:ind w:right="65"/>
              <w:spacing w:after="0"/>
              <w:rPr>
                <w:sz w:val="20"/>
                <w:szCs w:val="20"/>
                <w:color w:val="auto"/>
              </w:rPr>
            </w:pPr>
            <w:r>
              <w:rPr>
                <w:rFonts w:ascii="Arial" w:cs="Arial" w:eastAsia="Arial" w:hAnsi="Arial"/>
                <w:sz w:val="19"/>
                <w:szCs w:val="19"/>
                <w:color w:val="auto"/>
              </w:rPr>
              <w:t>157</w:t>
            </w: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163</w:t>
            </w:r>
          </w:p>
        </w:tc>
        <w:tc>
          <w:tcPr>
            <w:tcW w:w="0" w:type="dxa"/>
            <w:vAlign w:val="bottom"/>
          </w:tcPr>
          <w:p>
            <w:pPr>
              <w:spacing w:after="0"/>
              <w:rPr>
                <w:sz w:val="1"/>
                <w:szCs w:val="1"/>
                <w:color w:val="auto"/>
              </w:rPr>
            </w:pPr>
          </w:p>
        </w:tc>
      </w:tr>
      <w:tr>
        <w:trPr>
          <w:trHeight w:val="270"/>
        </w:trPr>
        <w:tc>
          <w:tcPr>
            <w:tcW w:w="8480" w:type="dxa"/>
            <w:vAlign w:val="bottom"/>
          </w:tcPr>
          <w:p>
            <w:pPr>
              <w:ind w:left="20"/>
              <w:spacing w:after="0"/>
              <w:rPr>
                <w:sz w:val="20"/>
                <w:szCs w:val="20"/>
                <w:color w:val="auto"/>
              </w:rPr>
            </w:pPr>
            <w:r>
              <w:rPr>
                <w:rFonts w:ascii="Arial" w:cs="Arial" w:eastAsia="Arial" w:hAnsi="Arial"/>
                <w:sz w:val="19"/>
                <w:szCs w:val="19"/>
                <w:color w:val="auto"/>
              </w:rPr>
              <w:t>Change in fair value of effective cash flow hedges</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(31 )</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9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(1,339 )</w:t>
            </w:r>
          </w:p>
        </w:tc>
        <w:tc>
          <w:tcPr>
            <w:tcW w:w="8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ind w:right="2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(1,444 )</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20—Stock-Based Compensation Plans</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have stock-based compensation plans available to grant non-qualified stock options, incentive stock options, stock appreciation rights, restricted units and restricted stock to key employees. The 2011 Stock Incentive Plan of Honeywell International Inc. and its Affiliates (the Plan) was approved by the shareowners at the Annual Meeting of Shareowners effective on April 26, 2011. Following approval of the Plan on April 26, 2011 we have not and will not grant any new awards to key employees under any previously existing stock-based compensation plans. There were 32,796,373 shares available for future grants under the terms of the Plan at December 31, 2012. Additionally, under the 2006 Stock Plan for Non-Employee Directors of Honeywell International Inc. (the Directors Plan) there were 186,933 shares of Honeywell common stock available for future grant as of December 31, 2012.</w:t>
      </w:r>
    </w:p>
    <w:p>
      <w:pPr>
        <w:spacing w:after="0" w:line="67" w:lineRule="exact"/>
        <w:rPr>
          <w:sz w:val="20"/>
          <w:szCs w:val="20"/>
          <w:color w:val="auto"/>
        </w:rPr>
      </w:pPr>
    </w:p>
    <w:p>
      <w:pPr>
        <w:ind w:right="520" w:firstLine="357"/>
        <w:spacing w:after="0" w:line="280" w:lineRule="auto"/>
        <w:rPr>
          <w:sz w:val="20"/>
          <w:szCs w:val="20"/>
          <w:color w:val="auto"/>
        </w:rPr>
      </w:pP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—The exercise price, term and other conditions applicable to each option granted under our stock plans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generally determined by the Management Development and Compensation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8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Such model uses historical data to estimate option exercise activity and post-vest termination behavior. The expected term represents an estimate of the time options are expected to remain outstanding. The risk-free rate for periods within the contractual life of the option is based on the U.S. treasury yield curve in effect at the time of grant.</w:t>
      </w:r>
    </w:p>
    <w:p>
      <w:pPr>
        <w:spacing w:after="0" w:line="312"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Compensation cost on a pre-tax basis related to stock options recognized in operating results (included in selling, general and administrative expenses) in 2012, 2011 and 2010 was $65, $59 and $55 million, respectively. The associated future income tax benefit recognized in 2012, 2011 and 2010 was $23, $19 and $16 million, respectively.</w:t>
      </w:r>
    </w:p>
    <w:p>
      <w:pPr>
        <w:spacing w:after="0" w:line="87" w:lineRule="exact"/>
        <w:rPr>
          <w:sz w:val="20"/>
          <w:szCs w:val="20"/>
          <w:color w:val="auto"/>
        </w:rPr>
      </w:pPr>
    </w:p>
    <w:p>
      <w:pPr>
        <w:ind w:right="860" w:firstLine="357"/>
        <w:spacing w:after="0" w:line="253" w:lineRule="auto"/>
        <w:rPr>
          <w:sz w:val="20"/>
          <w:szCs w:val="20"/>
          <w:color w:val="auto"/>
        </w:rPr>
      </w:pPr>
      <w:r>
        <w:rPr>
          <w:rFonts w:ascii="Arial" w:cs="Arial" w:eastAsia="Arial" w:hAnsi="Arial"/>
          <w:sz w:val="19"/>
          <w:szCs w:val="19"/>
          <w:color w:val="auto"/>
        </w:rPr>
        <w:t>The following table sets forth fair value per share information, including related weighted-average assumptions, used to determine compensation cost:</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6820" w:type="dxa"/>
            <w:vAlign w:val="bottom"/>
          </w:tcPr>
          <w:p>
            <w:pPr>
              <w:spacing w:after="0"/>
              <w:rPr>
                <w:sz w:val="17"/>
                <w:szCs w:val="17"/>
                <w:color w:val="auto"/>
              </w:rPr>
            </w:pPr>
          </w:p>
        </w:tc>
        <w:tc>
          <w:tcPr>
            <w:tcW w:w="2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2010</w:t>
            </w:r>
          </w:p>
        </w:tc>
      </w:tr>
      <w:tr>
        <w:trPr>
          <w:trHeight w:val="264"/>
        </w:trPr>
        <w:tc>
          <w:tcPr>
            <w:tcW w:w="6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Weighted average fair value per share of options granted during the year(1)</w:t>
            </w:r>
          </w:p>
        </w:tc>
        <w:tc>
          <w:tcPr>
            <w:tcW w:w="100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$ 13.26</w:t>
            </w:r>
          </w:p>
        </w:tc>
        <w:tc>
          <w:tcPr>
            <w:tcW w:w="126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$ 12.56</w:t>
            </w:r>
          </w:p>
        </w:tc>
        <w:tc>
          <w:tcPr>
            <w:tcW w:w="5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186"/>
              <w:spacing w:after="0"/>
              <w:rPr>
                <w:sz w:val="20"/>
                <w:szCs w:val="20"/>
                <w:color w:val="auto"/>
              </w:rPr>
            </w:pPr>
            <w:r>
              <w:rPr>
                <w:rFonts w:ascii="Arial" w:cs="Arial" w:eastAsia="Arial" w:hAnsi="Arial"/>
                <w:sz w:val="19"/>
                <w:szCs w:val="19"/>
                <w:color w:val="auto"/>
              </w:rPr>
              <w:t>8.96</w:t>
            </w:r>
          </w:p>
        </w:tc>
      </w:tr>
      <w:tr>
        <w:trPr>
          <w:trHeight w:val="243"/>
        </w:trPr>
        <w:tc>
          <w:tcPr>
            <w:tcW w:w="6820" w:type="dxa"/>
            <w:vAlign w:val="bottom"/>
          </w:tcPr>
          <w:p>
            <w:pPr>
              <w:ind w:left="20"/>
              <w:spacing w:after="0"/>
              <w:rPr>
                <w:sz w:val="20"/>
                <w:szCs w:val="20"/>
                <w:color w:val="auto"/>
              </w:rPr>
            </w:pPr>
            <w:r>
              <w:rPr>
                <w:rFonts w:ascii="Arial" w:cs="Arial" w:eastAsia="Arial" w:hAnsi="Arial"/>
                <w:sz w:val="19"/>
                <w:szCs w:val="19"/>
                <w:color w:val="auto"/>
              </w:rPr>
              <w:t>Assumptions: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6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dividend yield</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2.57 %</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2.68 %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3.00 %</w:t>
            </w:r>
          </w:p>
        </w:tc>
      </w:tr>
      <w:tr>
        <w:trPr>
          <w:trHeight w:val="270"/>
        </w:trPr>
        <w:tc>
          <w:tcPr>
            <w:tcW w:w="6820" w:type="dxa"/>
            <w:vAlign w:val="bottom"/>
          </w:tcPr>
          <w:p>
            <w:pPr>
              <w:ind w:left="380"/>
              <w:spacing w:after="0"/>
              <w:rPr>
                <w:sz w:val="20"/>
                <w:szCs w:val="20"/>
                <w:color w:val="auto"/>
              </w:rPr>
            </w:pPr>
            <w:r>
              <w:rPr>
                <w:rFonts w:ascii="Arial" w:cs="Arial" w:eastAsia="Arial" w:hAnsi="Arial"/>
                <w:sz w:val="19"/>
                <w:szCs w:val="19"/>
                <w:color w:val="auto"/>
              </w:rPr>
              <w:t>Expected volatility</w:t>
            </w:r>
          </w:p>
        </w:tc>
        <w:tc>
          <w:tcPr>
            <w:tcW w:w="1000" w:type="dxa"/>
            <w:vAlign w:val="bottom"/>
          </w:tcPr>
          <w:p>
            <w:pPr>
              <w:jc w:val="right"/>
              <w:spacing w:after="0"/>
              <w:rPr>
                <w:sz w:val="20"/>
                <w:szCs w:val="20"/>
                <w:color w:val="auto"/>
              </w:rPr>
            </w:pPr>
            <w:r>
              <w:rPr>
                <w:rFonts w:ascii="Arial" w:cs="Arial" w:eastAsia="Arial" w:hAnsi="Arial"/>
                <w:sz w:val="19"/>
                <w:szCs w:val="19"/>
                <w:color w:val="auto"/>
              </w:rPr>
              <w:t>30.36 %</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27.60 %</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4"/>
              </w:rPr>
              <w:t>29.39 %</w:t>
            </w:r>
          </w:p>
        </w:tc>
      </w:tr>
      <w:tr>
        <w:trPr>
          <w:trHeight w:val="270"/>
        </w:trPr>
        <w:tc>
          <w:tcPr>
            <w:tcW w:w="6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Risk-free rate of return</w:t>
            </w:r>
          </w:p>
        </w:tc>
        <w:tc>
          <w:tcPr>
            <w:tcW w:w="10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1.16 %</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2.47 %</w:t>
            </w:r>
          </w:p>
        </w:tc>
        <w:tc>
          <w:tcPr>
            <w:tcW w:w="28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2.64 %</w:t>
            </w:r>
          </w:p>
        </w:tc>
      </w:tr>
      <w:tr>
        <w:trPr>
          <w:trHeight w:val="274"/>
        </w:trPr>
        <w:tc>
          <w:tcPr>
            <w:tcW w:w="6820" w:type="dxa"/>
            <w:vAlign w:val="bottom"/>
          </w:tcPr>
          <w:p>
            <w:pPr>
              <w:ind w:left="380"/>
              <w:spacing w:after="0"/>
              <w:rPr>
                <w:sz w:val="20"/>
                <w:szCs w:val="20"/>
                <w:color w:val="auto"/>
              </w:rPr>
            </w:pPr>
            <w:r>
              <w:rPr>
                <w:rFonts w:ascii="Arial" w:cs="Arial" w:eastAsia="Arial" w:hAnsi="Arial"/>
                <w:sz w:val="19"/>
                <w:szCs w:val="19"/>
                <w:color w:val="auto"/>
              </w:rPr>
              <w:t>Expected option term (years)</w:t>
            </w:r>
          </w:p>
        </w:tc>
        <w:tc>
          <w:tcPr>
            <w:tcW w:w="1000" w:type="dxa"/>
            <w:vAlign w:val="bottom"/>
          </w:tcPr>
          <w:p>
            <w:pPr>
              <w:jc w:val="right"/>
              <w:ind w:right="168"/>
              <w:spacing w:after="0"/>
              <w:rPr>
                <w:sz w:val="20"/>
                <w:szCs w:val="20"/>
                <w:color w:val="auto"/>
              </w:rPr>
            </w:pPr>
            <w:r>
              <w:rPr>
                <w:rFonts w:ascii="Arial" w:cs="Arial" w:eastAsia="Arial" w:hAnsi="Arial"/>
                <w:sz w:val="19"/>
                <w:szCs w:val="19"/>
                <w:color w:val="auto"/>
              </w:rPr>
              <w:t>5.8</w:t>
            </w:r>
          </w:p>
        </w:tc>
        <w:tc>
          <w:tcPr>
            <w:tcW w:w="1260" w:type="dxa"/>
            <w:vAlign w:val="bottom"/>
            <w:gridSpan w:val="2"/>
          </w:tcPr>
          <w:p>
            <w:pPr>
              <w:jc w:val="right"/>
              <w:ind w:right="181"/>
              <w:spacing w:after="0"/>
              <w:rPr>
                <w:sz w:val="20"/>
                <w:szCs w:val="20"/>
                <w:color w:val="auto"/>
              </w:rPr>
            </w:pPr>
            <w:r>
              <w:rPr>
                <w:rFonts w:ascii="Arial" w:cs="Arial" w:eastAsia="Arial" w:hAnsi="Arial"/>
                <w:sz w:val="19"/>
                <w:szCs w:val="19"/>
                <w:color w:val="auto"/>
              </w:rPr>
              <w:t>5.8</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86"/>
              <w:spacing w:after="0"/>
              <w:rPr>
                <w:sz w:val="20"/>
                <w:szCs w:val="20"/>
                <w:color w:val="auto"/>
              </w:rPr>
            </w:pPr>
            <w:r>
              <w:rPr>
                <w:rFonts w:ascii="Arial" w:cs="Arial" w:eastAsia="Arial" w:hAnsi="Arial"/>
                <w:sz w:val="19"/>
                <w:szCs w:val="19"/>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5702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Estimated on date of grant using Black-Scholes option-pricing model.</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 activity for the three years ended December 31, 2012: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Weighted</w:t>
            </w:r>
          </w:p>
        </w:tc>
      </w:tr>
      <w:tr>
        <w:trPr>
          <w:trHeight w:val="176"/>
        </w:trPr>
        <w:tc>
          <w:tcPr>
            <w:tcW w:w="90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4"/>
              </w:rPr>
              <w:t>Average</w:t>
            </w:r>
          </w:p>
        </w:tc>
      </w:tr>
      <w:tr>
        <w:trPr>
          <w:trHeight w:val="176"/>
        </w:trPr>
        <w:tc>
          <w:tcPr>
            <w:tcW w:w="90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260" w:type="dxa"/>
            <w:vAlign w:val="bottom"/>
          </w:tcPr>
          <w:p>
            <w:pPr>
              <w:jc w:val="right"/>
              <w:ind w:right="145"/>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Exercise</w:t>
            </w:r>
          </w:p>
        </w:tc>
      </w:tr>
      <w:tr>
        <w:trPr>
          <w:trHeight w:val="204"/>
        </w:trPr>
        <w:tc>
          <w:tcPr>
            <w:tcW w:w="90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26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24"/>
              <w:spacing w:after="0"/>
              <w:rPr>
                <w:sz w:val="20"/>
                <w:szCs w:val="20"/>
                <w:color w:val="auto"/>
              </w:rPr>
            </w:pPr>
            <w:r>
              <w:rPr>
                <w:rFonts w:ascii="Arial" w:cs="Arial" w:eastAsia="Arial" w:hAnsi="Arial"/>
                <w:sz w:val="16"/>
                <w:szCs w:val="16"/>
                <w:b w:val="1"/>
                <w:bCs w:val="1"/>
                <w:color w:val="auto"/>
              </w:rPr>
              <w:t>Price</w:t>
            </w:r>
          </w:p>
        </w:tc>
      </w:tr>
      <w:tr>
        <w:trPr>
          <w:trHeight w:val="264"/>
        </w:trPr>
        <w:tc>
          <w:tcPr>
            <w:tcW w:w="89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2009</w:t>
            </w:r>
          </w:p>
        </w:tc>
        <w:tc>
          <w:tcPr>
            <w:tcW w:w="12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40,910,373</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38.58</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260" w:type="dxa"/>
            <w:vAlign w:val="bottom"/>
          </w:tcPr>
          <w:p>
            <w:pPr>
              <w:jc w:val="right"/>
              <w:ind w:right="45"/>
              <w:spacing w:after="0"/>
              <w:rPr>
                <w:sz w:val="20"/>
                <w:szCs w:val="20"/>
                <w:color w:val="auto"/>
              </w:rPr>
            </w:pPr>
            <w:r>
              <w:rPr>
                <w:rFonts w:ascii="Arial" w:cs="Arial" w:eastAsia="Arial" w:hAnsi="Arial"/>
                <w:sz w:val="19"/>
                <w:szCs w:val="19"/>
                <w:color w:val="auto"/>
              </w:rPr>
              <w:t>7,607,950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40.29</w:t>
            </w:r>
          </w:p>
        </w:tc>
      </w:tr>
      <w:tr>
        <w:trPr>
          <w:trHeight w:val="270"/>
        </w:trPr>
        <w:tc>
          <w:tcPr>
            <w:tcW w:w="8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2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(5,211,526 )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34.77</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(2,515,266 )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44.14</w:t>
            </w:r>
          </w:p>
        </w:tc>
      </w:tr>
      <w:tr>
        <w:trPr>
          <w:trHeight w:val="34"/>
        </w:trPr>
        <w:tc>
          <w:tcPr>
            <w:tcW w:w="9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9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2010</w:t>
            </w:r>
          </w:p>
        </w:tc>
        <w:tc>
          <w:tcPr>
            <w:tcW w:w="12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40,791,531</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39.05</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260" w:type="dxa"/>
            <w:vAlign w:val="bottom"/>
          </w:tcPr>
          <w:p>
            <w:pPr>
              <w:jc w:val="right"/>
              <w:ind w:right="45"/>
              <w:spacing w:after="0"/>
              <w:rPr>
                <w:sz w:val="20"/>
                <w:szCs w:val="20"/>
                <w:color w:val="auto"/>
              </w:rPr>
            </w:pPr>
            <w:r>
              <w:rPr>
                <w:rFonts w:ascii="Arial" w:cs="Arial" w:eastAsia="Arial" w:hAnsi="Arial"/>
                <w:sz w:val="19"/>
                <w:szCs w:val="19"/>
                <w:color w:val="auto"/>
              </w:rPr>
              <w:t>7,625,950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57.08</w:t>
            </w:r>
          </w:p>
        </w:tc>
      </w:tr>
      <w:tr>
        <w:trPr>
          <w:trHeight w:val="270"/>
        </w:trPr>
        <w:tc>
          <w:tcPr>
            <w:tcW w:w="8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2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(7,984,840 )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36.39</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(1,516,271 )</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42.38</w:t>
            </w:r>
          </w:p>
        </w:tc>
      </w:tr>
      <w:tr>
        <w:trPr>
          <w:trHeight w:val="34"/>
        </w:trPr>
        <w:tc>
          <w:tcPr>
            <w:tcW w:w="9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9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2011</w:t>
            </w:r>
          </w:p>
        </w:tc>
        <w:tc>
          <w:tcPr>
            <w:tcW w:w="12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38,916,370</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43.01</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Granted</w:t>
            </w:r>
          </w:p>
        </w:tc>
        <w:tc>
          <w:tcPr>
            <w:tcW w:w="1260" w:type="dxa"/>
            <w:vAlign w:val="bottom"/>
          </w:tcPr>
          <w:p>
            <w:pPr>
              <w:jc w:val="right"/>
              <w:ind w:right="45"/>
              <w:spacing w:after="0"/>
              <w:rPr>
                <w:sz w:val="20"/>
                <w:szCs w:val="20"/>
                <w:color w:val="auto"/>
              </w:rPr>
            </w:pPr>
            <w:r>
              <w:rPr>
                <w:rFonts w:ascii="Arial" w:cs="Arial" w:eastAsia="Arial" w:hAnsi="Arial"/>
                <w:sz w:val="19"/>
                <w:szCs w:val="19"/>
                <w:color w:val="auto"/>
              </w:rPr>
              <w:t>5,788,734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59.86</w:t>
            </w:r>
          </w:p>
        </w:tc>
      </w:tr>
      <w:tr>
        <w:trPr>
          <w:trHeight w:val="270"/>
        </w:trPr>
        <w:tc>
          <w:tcPr>
            <w:tcW w:w="8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Exercised</w:t>
            </w:r>
          </w:p>
        </w:tc>
        <w:tc>
          <w:tcPr>
            <w:tcW w:w="12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(8,347,313 )</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36.52</w:t>
            </w:r>
          </w:p>
        </w:tc>
      </w:tr>
      <w:tr>
        <w:trPr>
          <w:trHeight w:val="270"/>
        </w:trPr>
        <w:tc>
          <w:tcPr>
            <w:tcW w:w="8940" w:type="dxa"/>
            <w:vAlign w:val="bottom"/>
            <w:gridSpan w:val="2"/>
          </w:tcPr>
          <w:p>
            <w:pPr>
              <w:ind w:left="380"/>
              <w:spacing w:after="0"/>
              <w:rPr>
                <w:sz w:val="20"/>
                <w:szCs w:val="20"/>
                <w:color w:val="auto"/>
              </w:rPr>
            </w:pPr>
            <w:r>
              <w:rPr>
                <w:rFonts w:ascii="Arial" w:cs="Arial" w:eastAsia="Arial" w:hAnsi="Arial"/>
                <w:sz w:val="19"/>
                <w:szCs w:val="19"/>
                <w:color w:val="auto"/>
              </w:rPr>
              <w:t>Lapsed or 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(788,770)</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49.76</w:t>
            </w:r>
          </w:p>
        </w:tc>
      </w:tr>
      <w:tr>
        <w:trPr>
          <w:trHeight w:val="34"/>
        </w:trPr>
        <w:tc>
          <w:tcPr>
            <w:tcW w:w="9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9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Outstanding at December 31, 2012</w:t>
            </w:r>
          </w:p>
        </w:tc>
        <w:tc>
          <w:tcPr>
            <w:tcW w:w="12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35,569,021</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47.13</w:t>
            </w:r>
          </w:p>
        </w:tc>
      </w:tr>
      <w:tr>
        <w:trPr>
          <w:trHeight w:val="20"/>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1"/>
        </w:trPr>
        <w:tc>
          <w:tcPr>
            <w:tcW w:w="8940" w:type="dxa"/>
            <w:vAlign w:val="bottom"/>
            <w:gridSpan w:val="2"/>
          </w:tcPr>
          <w:p>
            <w:pPr>
              <w:ind w:left="20"/>
              <w:spacing w:after="0"/>
              <w:rPr>
                <w:sz w:val="20"/>
                <w:szCs w:val="20"/>
                <w:color w:val="auto"/>
              </w:rPr>
            </w:pPr>
            <w:r>
              <w:rPr>
                <w:rFonts w:ascii="Arial" w:cs="Arial" w:eastAsia="Arial" w:hAnsi="Arial"/>
                <w:sz w:val="19"/>
                <w:szCs w:val="19"/>
                <w:color w:val="auto"/>
              </w:rPr>
              <w:t>Vested and expected to vest at December 31, 2012(1)</w:t>
            </w:r>
          </w:p>
        </w:tc>
        <w:tc>
          <w:tcPr>
            <w:tcW w:w="12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32,959,330</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46.39</w:t>
            </w:r>
          </w:p>
        </w:tc>
      </w:tr>
      <w:tr>
        <w:trPr>
          <w:trHeight w:val="20"/>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0"/>
        </w:trPr>
        <w:tc>
          <w:tcPr>
            <w:tcW w:w="89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Exercisable at December 31, 2012</w:t>
            </w:r>
          </w:p>
        </w:tc>
        <w:tc>
          <w:tcPr>
            <w:tcW w:w="12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19,468,017</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43.64</w:t>
            </w:r>
          </w:p>
        </w:tc>
      </w:tr>
      <w:tr>
        <w:trPr>
          <w:trHeight w:val="20"/>
        </w:trPr>
        <w:tc>
          <w:tcPr>
            <w:tcW w:w="9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3"/>
        </w:trPr>
        <w:tc>
          <w:tcPr>
            <w:tcW w:w="900" w:type="dxa"/>
            <w:vAlign w:val="bottom"/>
            <w:tcBorders>
              <w:bottom w:val="single" w:sz="8" w:color="auto"/>
            </w:tcBorders>
          </w:tcPr>
          <w:p>
            <w:pPr>
              <w:spacing w:after="0"/>
              <w:rPr>
                <w:sz w:val="13"/>
                <w:szCs w:val="13"/>
                <w:color w:val="auto"/>
              </w:rPr>
            </w:pPr>
          </w:p>
        </w:tc>
        <w:tc>
          <w:tcPr>
            <w:tcW w:w="8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right="180" w:hanging="332"/>
        <w:spacing w:after="0" w:line="253" w:lineRule="auto"/>
        <w:tabs>
          <w:tab w:leader="none" w:pos="4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Represents the sum of vested options of 19.5 million and expected to vest options of 13.4 million. Expected to vest options are derived by applying the pre-vesting forfeiture rate assumption to total outstanding unvested options 16.1 million.</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options outstanding and exercisable at December 31, 2012: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Options Exercisable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68"/>
        </w:trPr>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97"/>
              </w:rPr>
              <w:t>Weighted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280"/>
              <w:spacing w:after="0" w:line="168" w:lineRule="exact"/>
              <w:rPr>
                <w:sz w:val="20"/>
                <w:szCs w:val="20"/>
                <w:color w:val="auto"/>
              </w:rPr>
            </w:pPr>
            <w:r>
              <w:rPr>
                <w:rFonts w:ascii="Arial" w:cs="Arial" w:eastAsia="Arial" w:hAnsi="Arial"/>
                <w:sz w:val="16"/>
                <w:szCs w:val="16"/>
                <w:b w:val="1"/>
                <w:bCs w:val="1"/>
                <w:color w:val="auto"/>
                <w:w w:val="97"/>
              </w:rPr>
              <w:t>Weighted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5"/>
                <w:szCs w:val="15"/>
                <w:color w:val="auto"/>
              </w:rPr>
            </w:pPr>
          </w:p>
        </w:tc>
        <w:tc>
          <w:tcPr>
            <w:tcW w:w="8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Aggregate</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98"/>
              </w:rPr>
              <w:t>Average</w:t>
            </w: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Aggregate</w:t>
            </w:r>
          </w:p>
        </w:tc>
      </w:tr>
      <w:tr>
        <w:trPr>
          <w:trHeight w:val="176"/>
        </w:trPr>
        <w:tc>
          <w:tcPr>
            <w:tcW w:w="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01"/>
              <w:spacing w:after="0" w:line="176" w:lineRule="exact"/>
              <w:rPr>
                <w:sz w:val="20"/>
                <w:szCs w:val="20"/>
                <w:color w:val="auto"/>
              </w:rPr>
            </w:pPr>
            <w:r>
              <w:rPr>
                <w:rFonts w:ascii="Arial" w:cs="Arial" w:eastAsia="Arial" w:hAnsi="Arial"/>
                <w:sz w:val="16"/>
                <w:szCs w:val="16"/>
                <w:b w:val="1"/>
                <w:bCs w:val="1"/>
                <w:color w:val="auto"/>
              </w:rPr>
              <w:t>Number</w:t>
            </w:r>
          </w:p>
        </w:tc>
        <w:tc>
          <w:tcPr>
            <w:tcW w:w="3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8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Exercise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74"/>
              <w:spacing w:after="0" w:line="176" w:lineRule="exact"/>
              <w:rPr>
                <w:sz w:val="20"/>
                <w:szCs w:val="20"/>
                <w:color w:val="auto"/>
              </w:rPr>
            </w:pPr>
            <w:r>
              <w:rPr>
                <w:rFonts w:ascii="Arial" w:cs="Arial" w:eastAsia="Arial" w:hAnsi="Arial"/>
                <w:sz w:val="16"/>
                <w:szCs w:val="16"/>
                <w:b w:val="1"/>
                <w:bCs w:val="1"/>
                <w:color w:val="auto"/>
                <w:w w:val="96"/>
              </w:rPr>
              <w:t>Intrinsic</w:t>
            </w:r>
          </w:p>
        </w:tc>
        <w:tc>
          <w:tcPr>
            <w:tcW w:w="280" w:type="dxa"/>
            <w:vAlign w:val="bottom"/>
          </w:tcPr>
          <w:p>
            <w:pPr>
              <w:spacing w:after="0"/>
              <w:rPr>
                <w:sz w:val="15"/>
                <w:szCs w:val="15"/>
                <w:color w:val="auto"/>
              </w:rPr>
            </w:pPr>
          </w:p>
        </w:tc>
        <w:tc>
          <w:tcPr>
            <w:tcW w:w="1140" w:type="dxa"/>
            <w:vAlign w:val="bottom"/>
          </w:tcPr>
          <w:p>
            <w:pPr>
              <w:jc w:val="right"/>
              <w:ind w:right="201"/>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114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rPr>
              <w:t>Exercise</w:t>
            </w: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6"/>
              </w:rPr>
              <w:t>Intrinsic</w:t>
            </w:r>
          </w:p>
        </w:tc>
      </w:tr>
      <w:tr>
        <w:trPr>
          <w:trHeight w:val="204"/>
        </w:trPr>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Range of Exercise prices</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Life(1)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6"/>
              </w:rPr>
              <w:t>Price</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Exercisable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6"/>
              </w:rPr>
              <w:t>Price</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3"/>
              </w:rPr>
              <w:t>Value</w:t>
            </w:r>
          </w:p>
        </w:tc>
      </w:tr>
      <w:tr>
        <w:trPr>
          <w:trHeight w:val="264"/>
        </w:trPr>
        <w:tc>
          <w:tcPr>
            <w:tcW w:w="27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$21.75–$32.99</w:t>
            </w:r>
          </w:p>
        </w:tc>
        <w:tc>
          <w:tcPr>
            <w:tcW w:w="14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4,993,846</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5.93</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28.18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74"/>
              <w:spacing w:after="0"/>
              <w:rPr>
                <w:sz w:val="20"/>
                <w:szCs w:val="20"/>
                <w:color w:val="auto"/>
              </w:rPr>
            </w:pPr>
            <w:r>
              <w:rPr>
                <w:rFonts w:ascii="Arial" w:cs="Arial" w:eastAsia="Arial" w:hAnsi="Arial"/>
                <w:sz w:val="18"/>
                <w:szCs w:val="18"/>
                <w:color w:val="auto"/>
              </w:rPr>
              <w:t>176</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3,206,132</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28.05</w:t>
            </w: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114</w:t>
            </w:r>
          </w:p>
        </w:tc>
      </w:tr>
      <w:tr>
        <w:trPr>
          <w:trHeight w:val="26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$33.00–$39.99</w:t>
            </w: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3,194,212</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87</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3,194,212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87</w:t>
            </w:r>
          </w:p>
        </w:tc>
      </w:tr>
      <w:tr>
        <w:trPr>
          <w:trHeight w:val="271"/>
        </w:trPr>
        <w:tc>
          <w:tcPr>
            <w:tcW w:w="27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$40.00–$49.99</w:t>
            </w:r>
          </w:p>
        </w:tc>
        <w:tc>
          <w:tcPr>
            <w:tcW w:w="14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11,234,405</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42.55</w:t>
            </w:r>
          </w:p>
        </w:tc>
        <w:tc>
          <w:tcPr>
            <w:tcW w:w="2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74"/>
              <w:spacing w:after="0"/>
              <w:rPr>
                <w:sz w:val="20"/>
                <w:szCs w:val="20"/>
                <w:color w:val="auto"/>
              </w:rPr>
            </w:pPr>
            <w:r>
              <w:rPr>
                <w:rFonts w:ascii="Arial" w:cs="Arial" w:eastAsia="Arial" w:hAnsi="Arial"/>
                <w:sz w:val="18"/>
                <w:szCs w:val="18"/>
                <w:color w:val="auto"/>
              </w:rPr>
              <w:t>235</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7,856,329</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43.52</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157</w:t>
            </w:r>
          </w:p>
        </w:tc>
      </w:tr>
      <w:tr>
        <w:trPr>
          <w:trHeight w:val="26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$50.00–$74.95</w:t>
            </w:r>
          </w:p>
        </w:tc>
        <w:tc>
          <w:tcPr>
            <w:tcW w:w="1420" w:type="dxa"/>
            <w:vAlign w:val="bottom"/>
            <w:gridSpan w:val="2"/>
          </w:tcPr>
          <w:p>
            <w:pPr>
              <w:jc w:val="right"/>
              <w:ind w:right="1"/>
              <w:spacing w:after="0"/>
              <w:rPr>
                <w:sz w:val="20"/>
                <w:szCs w:val="20"/>
                <w:color w:val="auto"/>
              </w:rPr>
            </w:pPr>
            <w:r>
              <w:rPr>
                <w:rFonts w:ascii="Arial" w:cs="Arial" w:eastAsia="Arial" w:hAnsi="Arial"/>
                <w:sz w:val="18"/>
                <w:szCs w:val="18"/>
                <w:color w:val="auto"/>
              </w:rPr>
              <w:t>16,146,558</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7.85</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58.32</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83</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5,211,344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57.91</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35"/>
        </w:trPr>
        <w:tc>
          <w:tcPr>
            <w:tcW w:w="9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r>
      <w:tr>
        <w:trPr>
          <w:trHeight w:val="270"/>
        </w:trPr>
        <w:tc>
          <w:tcPr>
            <w:tcW w:w="900" w:type="dxa"/>
            <w:vAlign w:val="bottom"/>
            <w:shd w:val="clear" w:color="auto" w:fill="E5FFFF"/>
          </w:tcPr>
          <w:p>
            <w:pPr>
              <w:spacing w:after="0"/>
              <w:rPr>
                <w:sz w:val="23"/>
                <w:szCs w:val="23"/>
                <w:color w:val="auto"/>
              </w:rPr>
            </w:pPr>
          </w:p>
        </w:tc>
        <w:tc>
          <w:tcPr>
            <w:tcW w:w="1880" w:type="dxa"/>
            <w:vAlign w:val="bottom"/>
            <w:shd w:val="clear" w:color="auto" w:fill="E5FFFF"/>
          </w:tcPr>
          <w:p>
            <w:pPr>
              <w:spacing w:after="0"/>
              <w:rPr>
                <w:sz w:val="23"/>
                <w:szCs w:val="23"/>
                <w:color w:val="auto"/>
              </w:rPr>
            </w:pPr>
          </w:p>
        </w:tc>
        <w:tc>
          <w:tcPr>
            <w:tcW w:w="14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35,569,021</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47.13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74"/>
              <w:spacing w:after="0"/>
              <w:rPr>
                <w:sz w:val="20"/>
                <w:szCs w:val="20"/>
                <w:color w:val="auto"/>
              </w:rPr>
            </w:pPr>
            <w:r>
              <w:rPr>
                <w:rFonts w:ascii="Arial" w:cs="Arial" w:eastAsia="Arial" w:hAnsi="Arial"/>
                <w:sz w:val="18"/>
                <w:szCs w:val="18"/>
                <w:color w:val="auto"/>
              </w:rPr>
              <w:t>581</w:t>
            </w:r>
          </w:p>
        </w:tc>
        <w:tc>
          <w:tcPr>
            <w:tcW w:w="14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19,468,017</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43.64</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387</w:t>
            </w:r>
          </w:p>
        </w:tc>
      </w:tr>
      <w:tr>
        <w:trPr>
          <w:trHeight w:val="20"/>
        </w:trPr>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900" w:type="dxa"/>
            <w:vAlign w:val="bottom"/>
            <w:tcBorders>
              <w:bottom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Average remaining contractual life in years.</w:t>
      </w:r>
    </w:p>
    <w:p>
      <w:pPr>
        <w:spacing w:after="0" w:line="92" w:lineRule="exact"/>
        <w:rPr>
          <w:sz w:val="20"/>
          <w:szCs w:val="20"/>
          <w:color w:val="auto"/>
        </w:rPr>
      </w:pPr>
    </w:p>
    <w:p>
      <w:pPr>
        <w:ind w:right="680" w:firstLine="357"/>
        <w:spacing w:after="0" w:line="253" w:lineRule="auto"/>
        <w:rPr>
          <w:sz w:val="20"/>
          <w:szCs w:val="20"/>
          <w:color w:val="auto"/>
        </w:rPr>
      </w:pPr>
      <w:r>
        <w:rPr>
          <w:rFonts w:ascii="Arial" w:cs="Arial" w:eastAsia="Arial" w:hAnsi="Arial"/>
          <w:sz w:val="19"/>
          <w:szCs w:val="19"/>
          <w:color w:val="auto"/>
        </w:rPr>
        <w:t>There were 21,672,281 and 24,722,493 options exercisable at weighted average exercise prices of $40.71 and $39.43 at December 31, 2011 and 2010, respectively.</w:t>
      </w:r>
    </w:p>
    <w:p>
      <w:pPr>
        <w:spacing w:after="0" w:line="80" w:lineRule="exact"/>
        <w:rPr>
          <w:sz w:val="20"/>
          <w:szCs w:val="20"/>
          <w:color w:val="auto"/>
        </w:rPr>
      </w:pPr>
    </w:p>
    <w:p>
      <w:pPr>
        <w:ind w:right="280" w:firstLine="357"/>
        <w:spacing w:after="0"/>
        <w:rPr>
          <w:sz w:val="20"/>
          <w:szCs w:val="20"/>
          <w:color w:val="auto"/>
        </w:rPr>
      </w:pPr>
      <w:r>
        <w:rPr>
          <w:rFonts w:ascii="Arial" w:cs="Arial" w:eastAsia="Arial" w:hAnsi="Arial"/>
          <w:sz w:val="19"/>
          <w:szCs w:val="19"/>
          <w:color w:val="auto"/>
        </w:rPr>
        <w:t>The total intrinsic value of options (which is the amount by which the stock price exceeded the exercise price of the options on the date of exercise) exercised during 2012, 2011 and 2010 was $202, $164 and $54 million, respectively. During 2012, 2011 and 2010, the amount of cash received from the exercise of stock options was $305, $290 and $181 million, respectively, with an associated tax benefit realized of $74, $54 and $18 million, respectively. In 2012, 2011 and 2010 we classified $ 56, $42 and $13 million, respectively, of this benefit as a financing cash inflow in the Consolidated Statement of Cash Flows, and the balance was classified as cash from operations.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jc w:val="both"/>
        <w:ind w:right="540" w:firstLine="357"/>
        <w:spacing w:after="0" w:line="245" w:lineRule="auto"/>
        <w:rPr>
          <w:sz w:val="20"/>
          <w:szCs w:val="20"/>
          <w:color w:val="auto"/>
        </w:rPr>
      </w:pPr>
      <w:r>
        <w:rPr>
          <w:rFonts w:ascii="Arial" w:cs="Arial" w:eastAsia="Arial" w:hAnsi="Arial"/>
          <w:sz w:val="19"/>
          <w:szCs w:val="19"/>
          <w:color w:val="auto"/>
        </w:rPr>
        <w:t>At December 31, 2012 there was $123 million of total unrecognized compensation cost related to non-vested stock option awards which is expected to be recognized over a weighted-average period of 2.38 years. The total fair value of options vested during 2012, 2011 and 2010 was $63, $52 and $41 million, respectively.</w:t>
      </w:r>
    </w:p>
    <w:p>
      <w:pPr>
        <w:spacing w:after="0" w:line="63" w:lineRule="exact"/>
        <w:rPr>
          <w:sz w:val="20"/>
          <w:szCs w:val="20"/>
          <w:color w:val="auto"/>
        </w:rPr>
      </w:pPr>
    </w:p>
    <w:p>
      <w:pPr>
        <w:ind w:right="100" w:firstLine="357"/>
        <w:spacing w:after="0" w:line="251"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—Restricted stock unit (RSU) awards entitle the holder to receive one share of common stock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when the units vest. RSUs are issued to certain key employees at fair market value at the date of grant as compensation. RSUs typically become fully vested over periods ranging from three to seven years and are payable in Honeywell common stock upon vesting.</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RSU activity for the three years ended December 31, 2012: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76"/>
        </w:trPr>
        <w:tc>
          <w:tcPr>
            <w:tcW w:w="8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84"/>
              <w:spacing w:after="0" w:line="176" w:lineRule="exact"/>
              <w:rPr>
                <w:sz w:val="20"/>
                <w:szCs w:val="20"/>
                <w:color w:val="auto"/>
              </w:rPr>
            </w:pPr>
            <w:r>
              <w:rPr>
                <w:rFonts w:ascii="Arial" w:cs="Arial" w:eastAsia="Arial" w:hAnsi="Arial"/>
                <w:sz w:val="16"/>
                <w:szCs w:val="16"/>
                <w:b w:val="1"/>
                <w:bCs w:val="1"/>
                <w:color w:val="auto"/>
                <w:w w:val="94"/>
              </w:rPr>
              <w:t>Average</w:t>
            </w:r>
          </w:p>
        </w:tc>
      </w:tr>
      <w:tr>
        <w:trPr>
          <w:trHeight w:val="176"/>
        </w:trPr>
        <w:tc>
          <w:tcPr>
            <w:tcW w:w="890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0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Grant Date</w:t>
            </w:r>
          </w:p>
        </w:tc>
      </w:tr>
      <w:tr>
        <w:trPr>
          <w:trHeight w:val="176"/>
        </w:trPr>
        <w:tc>
          <w:tcPr>
            <w:tcW w:w="890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Restricted</w:t>
            </w:r>
          </w:p>
        </w:tc>
        <w:tc>
          <w:tcPr>
            <w:tcW w:w="300" w:type="dxa"/>
            <w:vAlign w:val="bottom"/>
          </w:tcPr>
          <w:p>
            <w:pPr>
              <w:spacing w:after="0"/>
              <w:rPr>
                <w:sz w:val="15"/>
                <w:szCs w:val="15"/>
                <w:color w:val="auto"/>
              </w:rPr>
            </w:pPr>
          </w:p>
        </w:tc>
        <w:tc>
          <w:tcPr>
            <w:tcW w:w="1000" w:type="dxa"/>
            <w:vAlign w:val="bottom"/>
            <w:gridSpan w:val="2"/>
          </w:tcPr>
          <w:p>
            <w:pPr>
              <w:jc w:val="right"/>
              <w:ind w:right="24"/>
              <w:spacing w:after="0" w:line="176" w:lineRule="exact"/>
              <w:rPr>
                <w:sz w:val="20"/>
                <w:szCs w:val="20"/>
                <w:color w:val="auto"/>
              </w:rPr>
            </w:pPr>
            <w:r>
              <w:rPr>
                <w:rFonts w:ascii="Arial" w:cs="Arial" w:eastAsia="Arial" w:hAnsi="Arial"/>
                <w:sz w:val="16"/>
                <w:szCs w:val="16"/>
                <w:b w:val="1"/>
                <w:bCs w:val="1"/>
                <w:color w:val="auto"/>
              </w:rPr>
              <w:t>Fair Value</w:t>
            </w:r>
          </w:p>
        </w:tc>
      </w:tr>
      <w:tr>
        <w:trPr>
          <w:trHeight w:val="204"/>
        </w:trPr>
        <w:tc>
          <w:tcPr>
            <w:tcW w:w="89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300" w:type="dxa"/>
            <w:vAlign w:val="bottom"/>
          </w:tcPr>
          <w:p>
            <w:pPr>
              <w:spacing w:after="0"/>
              <w:rPr>
                <w:sz w:val="17"/>
                <w:szCs w:val="17"/>
                <w:color w:val="auto"/>
              </w:rPr>
            </w:pPr>
          </w:p>
        </w:tc>
        <w:tc>
          <w:tcPr>
            <w:tcW w:w="10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Per Share</w:t>
            </w:r>
          </w:p>
        </w:tc>
      </w:tr>
      <w:tr>
        <w:trPr>
          <w:trHeight w:val="264"/>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2009</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8,262,777</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40.49</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3,842,367</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42.33</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(1,593,979 )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48.71</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(537,212)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40.45</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2010</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9,973,953</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39.89</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1,887,733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55.11</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(1,509,528 )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49.48</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(605,725)</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40.11</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2011</w:t>
            </w:r>
          </w:p>
        </w:tc>
        <w:tc>
          <w:tcPr>
            <w:tcW w:w="122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9,746,433</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41.35</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Granted</w:t>
            </w:r>
          </w:p>
        </w:tc>
        <w:tc>
          <w:tcPr>
            <w:tcW w:w="1220" w:type="dxa"/>
            <w:vAlign w:val="bottom"/>
          </w:tcPr>
          <w:p>
            <w:pPr>
              <w:jc w:val="right"/>
              <w:ind w:right="46"/>
              <w:spacing w:after="0"/>
              <w:rPr>
                <w:sz w:val="20"/>
                <w:szCs w:val="20"/>
                <w:color w:val="auto"/>
              </w:rPr>
            </w:pPr>
            <w:r>
              <w:rPr>
                <w:rFonts w:ascii="Arial" w:cs="Arial" w:eastAsia="Arial" w:hAnsi="Arial"/>
                <w:sz w:val="19"/>
                <w:szCs w:val="19"/>
                <w:color w:val="auto"/>
              </w:rPr>
              <w:t>2,156,753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59.52</w:t>
            </w:r>
          </w:p>
        </w:tc>
      </w:tr>
      <w:tr>
        <w:trPr>
          <w:trHeight w:val="270"/>
        </w:trPr>
        <w:tc>
          <w:tcPr>
            <w:tcW w:w="8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Vested</w:t>
            </w:r>
          </w:p>
        </w:tc>
        <w:tc>
          <w:tcPr>
            <w:tcW w:w="1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(3,380,251 )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31.84</w:t>
            </w:r>
          </w:p>
        </w:tc>
      </w:tr>
      <w:tr>
        <w:trPr>
          <w:trHeight w:val="270"/>
        </w:trPr>
        <w:tc>
          <w:tcPr>
            <w:tcW w:w="8900" w:type="dxa"/>
            <w:vAlign w:val="bottom"/>
          </w:tcPr>
          <w:p>
            <w:pPr>
              <w:ind w:left="380"/>
              <w:spacing w:after="0"/>
              <w:rPr>
                <w:sz w:val="20"/>
                <w:szCs w:val="20"/>
                <w:color w:val="auto"/>
              </w:rPr>
            </w:pPr>
            <w:r>
              <w:rPr>
                <w:rFonts w:ascii="Arial" w:cs="Arial" w:eastAsia="Arial" w:hAnsi="Arial"/>
                <w:sz w:val="19"/>
                <w:szCs w:val="19"/>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(427,196)</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4"/>
              <w:spacing w:after="0"/>
              <w:rPr>
                <w:sz w:val="20"/>
                <w:szCs w:val="20"/>
                <w:color w:val="auto"/>
              </w:rPr>
            </w:pPr>
            <w:r>
              <w:rPr>
                <w:rFonts w:ascii="Arial" w:cs="Arial" w:eastAsia="Arial" w:hAnsi="Arial"/>
                <w:sz w:val="19"/>
                <w:szCs w:val="19"/>
                <w:color w:val="auto"/>
              </w:rPr>
              <w:t>45.78</w:t>
            </w:r>
          </w:p>
        </w:tc>
      </w:tr>
      <w:tr>
        <w:trPr>
          <w:trHeight w:val="34"/>
        </w:trPr>
        <w:tc>
          <w:tcPr>
            <w:tcW w:w="8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Non-vested at December 31, 2012</w:t>
            </w:r>
          </w:p>
        </w:tc>
        <w:tc>
          <w:tcPr>
            <w:tcW w:w="122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8,095,739</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49.91</w:t>
            </w:r>
          </w:p>
        </w:tc>
      </w:tr>
      <w:tr>
        <w:trPr>
          <w:trHeight w:val="20"/>
        </w:trPr>
        <w:tc>
          <w:tcPr>
            <w:tcW w:w="8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9"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As of December 31, 2012, there was approximately $ 185 million of total unrecognized compensation cost related to non-vested RSUs granted under our stock plans which is expected to be recognized over a weighted-average period of 2.0 years. Compensation expense related to RSUs was $105, $109 and $109 million in 2012, 2011, and 2010, respectively.</w:t>
      </w:r>
    </w:p>
    <w:p>
      <w:pPr>
        <w:spacing w:after="0" w:line="63" w:lineRule="exact"/>
        <w:rPr>
          <w:sz w:val="20"/>
          <w:szCs w:val="20"/>
          <w:color w:val="auto"/>
        </w:rPr>
      </w:pPr>
    </w:p>
    <w:p>
      <w:pPr>
        <w:ind w:right="40" w:firstLine="357"/>
        <w:spacing w:after="0" w:line="280" w:lineRule="auto"/>
        <w:rPr>
          <w:sz w:val="20"/>
          <w:szCs w:val="20"/>
          <w:color w:val="auto"/>
        </w:rPr>
      </w:pPr>
      <w:r>
        <w:rPr>
          <w:rFonts w:ascii="Arial" w:cs="Arial" w:eastAsia="Arial" w:hAnsi="Arial"/>
          <w:sz w:val="19"/>
          <w:szCs w:val="19"/>
          <w:b w:val="1"/>
          <w:bCs w:val="1"/>
          <w:i w:val="1"/>
          <w:iCs w:val="1"/>
          <w:color w:val="auto"/>
        </w:rPr>
        <w:t>Non-Employee Directors’ Plan</w:t>
      </w:r>
      <w:r>
        <w:rPr>
          <w:rFonts w:ascii="Arial" w:cs="Arial" w:eastAsia="Arial" w:hAnsi="Arial"/>
          <w:sz w:val="19"/>
          <w:szCs w:val="19"/>
          <w:color w:val="auto"/>
        </w:rPr>
        <w:t>—Under the Directors’ Plan each new non-employee director receives a one-time grant of 3,000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restricted stock units that will vest on the fifth anniversary of continuous Board service.</w:t>
      </w:r>
    </w:p>
    <w:p>
      <w:pPr>
        <w:spacing w:after="0" w:line="41"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In 2011, each non-employee director received an annual grant to purchase 5,000 shares of common stock at the fair market value on the date of grant. In 2012, the annual equity grant changed from a fixed number of shares to a target value of $75,000 and consists of 50 percent options and 50 percent RSUs. Options become exercisable over a four-year period and expire after ten years. RSUs generally vest on the third anniversary of the date of grant.</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21—Redeemable Noncontrolling Interest</w:t>
      </w:r>
    </w:p>
    <w:p>
      <w:pPr>
        <w:spacing w:after="0" w:line="130"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As discussed in Note 2 Acquisitions and Divestitures, on October 22, 2012, the Company acquired a 70 percent controlling interest in Thomas Russell Co. During the calendar year 2016, Honeywell has the right to acquire and the noncontrolling shareholder has the right to sell to Honeywell the remaining 30 percent interest at a price based on a multiple of Thomas Russell Co.’s average annual operating income from 2013 to 2015, subject to a predetermined cap and floor. Additionally, Honeywell has the right to acquire the remaining 30 percent interest for a fixed price equivalent to the cap at any time 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or before December 31, 2015. Noncontrolling interests with redemption features, such as the arrangement described above, that are not solely within the Company’s control are considered redeemable noncontrolling interests. Redeemable noncontrolling interest is considered temporary equity and is therefore reported outside of permanent equity on the Company’s Consolidated Balance Sheet at the greater of the initial carrying amount adjusted for the noncontrolling interest’s share of net income (loss) or its redemption value. As of December 31, 2012, the redemption value of the redeemable noncontrolling interest approximated the carrying value.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concerning our recorded liabilities for environmental costs: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right"/>
              <w:ind w:right="40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7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Beginning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723</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753</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779</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360" w:type="dxa"/>
            <w:vAlign w:val="bottom"/>
          </w:tcPr>
          <w:p>
            <w:pPr>
              <w:ind w:left="20"/>
              <w:spacing w:after="0"/>
              <w:rPr>
                <w:sz w:val="20"/>
                <w:szCs w:val="20"/>
                <w:color w:val="auto"/>
              </w:rPr>
            </w:pPr>
            <w:r>
              <w:rPr>
                <w:rFonts w:ascii="Arial" w:cs="Arial" w:eastAsia="Arial" w:hAnsi="Arial"/>
                <w:sz w:val="19"/>
                <w:szCs w:val="19"/>
                <w:color w:val="auto"/>
              </w:rPr>
              <w:t>Accruals for environmental matters deemed probable and reasonably estimable</w:t>
            </w:r>
          </w:p>
        </w:tc>
        <w:tc>
          <w:tcPr>
            <w:tcW w:w="18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9"/>
                <w:szCs w:val="19"/>
                <w:color w:val="auto"/>
              </w:rPr>
              <w:t>234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240</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9"/>
                <w:szCs w:val="19"/>
                <w:color w:val="auto"/>
              </w:rPr>
              <w:t>225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Environmental liability payments</w:t>
            </w:r>
          </w:p>
        </w:tc>
        <w:tc>
          <w:tcPr>
            <w:tcW w:w="180" w:type="dxa"/>
            <w:vAlign w:val="bottom"/>
            <w:shd w:val="clear" w:color="auto" w:fill="E5FFFF"/>
          </w:tcPr>
          <w:p>
            <w:pPr>
              <w:spacing w:after="0"/>
              <w:rPr>
                <w:sz w:val="23"/>
                <w:szCs w:val="23"/>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(270 )</w:t>
            </w:r>
          </w:p>
        </w:tc>
        <w:tc>
          <w:tcPr>
            <w:tcW w:w="32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(266 )</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360" w:type="dxa"/>
            <w:vAlign w:val="bottom"/>
          </w:tcPr>
          <w:p>
            <w:pPr>
              <w:ind w:left="2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17</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7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654</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723</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753</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360" w:type="dxa"/>
            <w:vAlign w:val="bottom"/>
            <w:vMerge w:val="restart"/>
          </w:tcPr>
          <w:p>
            <w:pPr>
              <w:ind w:left="5100"/>
              <w:spacing w:after="0"/>
              <w:rPr>
                <w:sz w:val="20"/>
                <w:szCs w:val="20"/>
                <w:color w:val="auto"/>
              </w:rPr>
            </w:pPr>
            <w:r>
              <w:rPr>
                <w:rFonts w:ascii="Arial" w:cs="Arial" w:eastAsia="Arial" w:hAnsi="Arial"/>
                <w:sz w:val="19"/>
                <w:szCs w:val="19"/>
                <w:color w:val="auto"/>
              </w:rPr>
              <w:t>94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Environmental liabilities are included in the following balance sheet accounts:</w:t>
      </w:r>
    </w:p>
    <w:p>
      <w:pPr>
        <w:spacing w:after="0" w:line="51"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w w:val="95"/>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5"/>
              </w:rPr>
              <w:t>2011</w:t>
            </w:r>
          </w:p>
        </w:tc>
      </w:tr>
      <w:tr>
        <w:trPr>
          <w:trHeight w:val="264"/>
        </w:trPr>
        <w:tc>
          <w:tcPr>
            <w:tcW w:w="8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Accrued liabilities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304</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303</w:t>
            </w:r>
          </w:p>
        </w:tc>
      </w:tr>
      <w:tr>
        <w:trPr>
          <w:trHeight w:val="270"/>
        </w:trPr>
        <w:tc>
          <w:tcPr>
            <w:tcW w:w="8700" w:type="dxa"/>
            <w:vAlign w:val="bottom"/>
          </w:tcPr>
          <w:p>
            <w:pPr>
              <w:ind w:left="20"/>
              <w:spacing w:after="0"/>
              <w:rPr>
                <w:sz w:val="20"/>
                <w:szCs w:val="20"/>
                <w:color w:val="auto"/>
              </w:rPr>
            </w:pPr>
            <w:r>
              <w:rPr>
                <w:rFonts w:ascii="Arial" w:cs="Arial" w:eastAsia="Arial" w:hAnsi="Arial"/>
                <w:sz w:val="19"/>
                <w:szCs w:val="19"/>
                <w:color w:val="auto"/>
              </w:rPr>
              <w:t>Other liabilities</w:t>
            </w: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color w:val="auto"/>
              </w:rPr>
              <w:t>350</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420</w:t>
            </w:r>
          </w:p>
        </w:tc>
      </w:tr>
      <w:tr>
        <w:trPr>
          <w:trHeight w:val="34"/>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700" w:type="dxa"/>
            <w:vAlign w:val="bottom"/>
            <w:shd w:val="clear" w:color="auto" w:fill="E5FFFF"/>
          </w:tcPr>
          <w:p>
            <w:pPr>
              <w:spacing w:after="0"/>
              <w:rPr>
                <w:sz w:val="23"/>
                <w:szCs w:val="23"/>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654</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723</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67" w:lineRule="exact"/>
        <w:rPr>
          <w:sz w:val="20"/>
          <w:szCs w:val="20"/>
          <w:color w:val="auto"/>
        </w:rPr>
      </w:pPr>
    </w:p>
    <w:p>
      <w:pPr>
        <w:ind w:firstLine="357"/>
        <w:spacing w:after="0" w:line="243" w:lineRule="auto"/>
        <w:rPr>
          <w:sz w:val="20"/>
          <w:szCs w:val="20"/>
          <w:color w:val="auto"/>
        </w:rPr>
      </w:pPr>
      <w:r>
        <w:rPr>
          <w:rFonts w:ascii="Arial" w:cs="Arial" w:eastAsia="Arial" w:hAnsi="Arial"/>
          <w:sz w:val="19"/>
          <w:szCs w:val="19"/>
          <w:b w:val="1"/>
          <w:bCs w:val="1"/>
          <w:i w:val="1"/>
          <w:iCs w:val="1"/>
          <w:color w:val="auto"/>
        </w:rPr>
        <w:t>New Jersey Chrome Sites</w:t>
      </w:r>
      <w:r>
        <w:rPr>
          <w:rFonts w:ascii="Arial" w:cs="Arial" w:eastAsia="Arial" w:hAnsi="Arial"/>
          <w:sz w:val="19"/>
          <w:szCs w:val="19"/>
          <w:color w:val="auto"/>
        </w:rPr>
        <w:t>—The excavation and offsite disposal of approximately one million tons of chromium residue 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a predecessor Honeywell site located in Jersey City, New Jersey, known as Study Area 7, was completed in January 2010. We are also implementing related groundwater remedial actions, and are conducting related river sediment work. In addition, remedial investigations and related activities are underway at other sites in Hudson County, New Jersey that allegedly have chromium contamination, and for which Honeywell has accepted responsibility in whole or in part. Provisions have been made in our financial statements for the estimated cost of investigations and implementation of these remedies consistent with the accounting policy described above. We do not believe that these matters will have a material adverse impact on our consolidated results of operations, financial position or operating cash flows.</w:t>
      </w:r>
    </w:p>
    <w:p>
      <w:pPr>
        <w:spacing w:after="0" w:line="67"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Onondaga Lake, Syracuse, NY</w:t>
      </w:r>
      <w:r>
        <w:rPr>
          <w:rFonts w:ascii="Arial" w:cs="Arial" w:eastAsia="Arial" w:hAnsi="Arial"/>
          <w:sz w:val="19"/>
          <w:szCs w:val="19"/>
          <w:color w:val="auto"/>
        </w:rPr>
        <w:t>—We are implementing a combined dredging/capping remedy of Onondaga Lake pursuant 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84" w:lineRule="exact"/>
        <w:rPr>
          <w:sz w:val="20"/>
          <w:szCs w:val="20"/>
          <w:color w:val="auto"/>
        </w:rPr>
      </w:pPr>
    </w:p>
    <w:p>
      <w:pPr>
        <w:ind w:right="120" w:firstLine="357"/>
        <w:spacing w:after="0" w:line="245" w:lineRule="auto"/>
        <w:rPr>
          <w:sz w:val="20"/>
          <w:szCs w:val="20"/>
          <w:color w:val="auto"/>
        </w:rPr>
      </w:pPr>
      <w:r>
        <w:rPr>
          <w:rFonts w:ascii="Arial" w:cs="Arial" w:eastAsia="Arial" w:hAnsi="Arial"/>
          <w:sz w:val="19"/>
          <w:szCs w:val="19"/>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Matters</w:t>
      </w:r>
    </w:p>
    <w:p>
      <w:pPr>
        <w:spacing w:after="0" w:line="130"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w:t>
      </w:r>
    </w:p>
    <w:p>
      <w:pPr>
        <w:spacing w:after="0" w:line="8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Honeywell’s predecessors owned North American Refractories Company (NARCO) from 1979 to 1986. NARCO produced refractory products (bricks and cement used in high temperature applications). We sold the NARCO business in 1986 and agreed to indemnify NARCO with respect to personal injury claims for products that had been discontinued prior to the sale (as defined in the sale agreement). NARCO retained all liability for all other claims. NARCO and/or Honeywell are defendants in asbestos personal injury cases asserting claims based upon alleged exposure to NARCO asbestos-containing products. Claimants consist largely of individuals who allege exposure to NARCO asbestos-containing refractory products in an occupational setting. These claims, and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400"/>
        <w:spacing w:after="0" w:line="253" w:lineRule="auto"/>
        <w:rPr>
          <w:sz w:val="20"/>
          <w:szCs w:val="20"/>
          <w:color w:val="auto"/>
        </w:rPr>
      </w:pPr>
      <w:r>
        <w:rPr>
          <w:rFonts w:ascii="Arial" w:cs="Arial" w:eastAsia="Arial" w:hAnsi="Arial"/>
          <w:sz w:val="19"/>
          <w:szCs w:val="19"/>
          <w:color w:val="auto"/>
        </w:rPr>
        <w:t>filing of subsequent claims, have been stayed continuously since January 4, 2002, the date on which NARCO sought bankruptcy protection (see discussion below).</w:t>
      </w:r>
    </w:p>
    <w:p>
      <w:pPr>
        <w:spacing w:after="0" w:line="80"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Honeywell’s Bendix friction materials (Bendix) business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information concerning NARCO and Bendix asbestos related balances: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Related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47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478"/>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478"/>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2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240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Bendix</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Bendix</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NARCO</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Bendix</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NARCO</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Total</w:t>
            </w:r>
          </w:p>
        </w:tc>
      </w:tr>
      <w:tr>
        <w:trPr>
          <w:trHeight w:val="264"/>
        </w:trPr>
        <w:tc>
          <w:tcPr>
            <w:tcW w:w="240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613</w:t>
            </w:r>
          </w:p>
        </w:tc>
        <w:tc>
          <w:tcPr>
            <w:tcW w:w="1040" w:type="dxa"/>
            <w:vAlign w:val="bottom"/>
            <w:gridSpan w:val="2"/>
            <w:shd w:val="clear" w:color="auto" w:fill="E5FFFF"/>
          </w:tcPr>
          <w:p>
            <w:pPr>
              <w:jc w:val="right"/>
              <w:ind w:right="53"/>
              <w:spacing w:after="0"/>
              <w:rPr>
                <w:sz w:val="20"/>
                <w:szCs w:val="20"/>
                <w:color w:val="auto"/>
              </w:rPr>
            </w:pPr>
            <w:r>
              <w:rPr>
                <w:rFonts w:ascii="Arial" w:cs="Arial" w:eastAsia="Arial" w:hAnsi="Arial"/>
                <w:sz w:val="18"/>
                <w:szCs w:val="18"/>
                <w:color w:val="auto"/>
              </w:rPr>
              <w:t>$ 1,123</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$ 1,736</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594</w:t>
            </w:r>
          </w:p>
        </w:tc>
        <w:tc>
          <w:tcPr>
            <w:tcW w:w="1040" w:type="dxa"/>
            <w:vAlign w:val="bottom"/>
            <w:gridSpan w:val="2"/>
            <w:shd w:val="clear" w:color="auto" w:fill="E5FFFF"/>
          </w:tcPr>
          <w:p>
            <w:pPr>
              <w:jc w:val="right"/>
              <w:ind w:right="53"/>
              <w:spacing w:after="0"/>
              <w:rPr>
                <w:sz w:val="20"/>
                <w:szCs w:val="20"/>
                <w:color w:val="auto"/>
              </w:rPr>
            </w:pPr>
            <w:r>
              <w:rPr>
                <w:rFonts w:ascii="Arial" w:cs="Arial" w:eastAsia="Arial" w:hAnsi="Arial"/>
                <w:sz w:val="18"/>
                <w:szCs w:val="18"/>
                <w:color w:val="auto"/>
              </w:rPr>
              <w:t>$ 1,125</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$ 1,719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566</w:t>
            </w:r>
          </w:p>
        </w:tc>
        <w:tc>
          <w:tcPr>
            <w:tcW w:w="1040" w:type="dxa"/>
            <w:vAlign w:val="bottom"/>
            <w:gridSpan w:val="2"/>
            <w:shd w:val="clear" w:color="auto" w:fill="E5FFFF"/>
          </w:tcPr>
          <w:p>
            <w:pPr>
              <w:jc w:val="right"/>
              <w:ind w:right="53"/>
              <w:spacing w:after="0"/>
              <w:rPr>
                <w:sz w:val="20"/>
                <w:szCs w:val="20"/>
                <w:color w:val="auto"/>
              </w:rPr>
            </w:pPr>
            <w:r>
              <w:rPr>
                <w:rFonts w:ascii="Arial" w:cs="Arial" w:eastAsia="Arial" w:hAnsi="Arial"/>
                <w:sz w:val="18"/>
                <w:szCs w:val="18"/>
                <w:color w:val="auto"/>
              </w:rPr>
              <w:t>$ 1,128</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$ 1,694</w:t>
            </w:r>
          </w:p>
        </w:tc>
      </w:tr>
      <w:tr>
        <w:trPr>
          <w:trHeight w:val="212"/>
        </w:trPr>
        <w:tc>
          <w:tcPr>
            <w:tcW w:w="2400" w:type="dxa"/>
            <w:vAlign w:val="bottom"/>
          </w:tcPr>
          <w:p>
            <w:pPr>
              <w:ind w:left="20"/>
              <w:spacing w:after="0"/>
              <w:rPr>
                <w:sz w:val="20"/>
                <w:szCs w:val="20"/>
                <w:color w:val="auto"/>
              </w:rPr>
            </w:pPr>
            <w:r>
              <w:rPr>
                <w:rFonts w:ascii="Arial" w:cs="Arial" w:eastAsia="Arial" w:hAnsi="Arial"/>
                <w:sz w:val="18"/>
                <w:szCs w:val="18"/>
                <w:color w:val="auto"/>
              </w:rPr>
              <w:t>Accrual for update to</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0"/>
        </w:trPr>
        <w:tc>
          <w:tcPr>
            <w:tcW w:w="2400" w:type="dxa"/>
            <w:vAlign w:val="bottom"/>
          </w:tcPr>
          <w:p>
            <w:pPr>
              <w:ind w:left="200"/>
              <w:spacing w:after="0"/>
              <w:rPr>
                <w:sz w:val="20"/>
                <w:szCs w:val="20"/>
                <w:color w:val="auto"/>
              </w:rPr>
            </w:pPr>
            <w:r>
              <w:rPr>
                <w:rFonts w:ascii="Arial" w:cs="Arial" w:eastAsia="Arial" w:hAnsi="Arial"/>
                <w:sz w:val="18"/>
                <w:szCs w:val="18"/>
                <w:color w:val="auto"/>
              </w:rPr>
              <w:t>estimated liability</w:t>
            </w: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167</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162</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165</w:t>
            </w:r>
          </w:p>
        </w:tc>
      </w:tr>
      <w:tr>
        <w:trPr>
          <w:trHeight w:val="212"/>
        </w:trPr>
        <w:tc>
          <w:tcPr>
            <w:tcW w:w="2400" w:type="dxa"/>
            <w:vAlign w:val="bottom"/>
            <w:shd w:val="clear" w:color="auto" w:fill="E5FFFF"/>
          </w:tcPr>
          <w:p>
            <w:pPr>
              <w:ind w:left="20"/>
              <w:spacing w:after="0"/>
              <w:rPr>
                <w:sz w:val="20"/>
                <w:szCs w:val="20"/>
                <w:color w:val="auto"/>
              </w:rPr>
            </w:pPr>
            <w:r>
              <w:rPr>
                <w:rFonts w:ascii="Arial" w:cs="Arial" w:eastAsia="Arial" w:hAnsi="Arial"/>
                <w:sz w:val="18"/>
                <w:szCs w:val="18"/>
                <w:color w:val="auto"/>
              </w:rPr>
              <w:t>Change in estimated cost</w:t>
            </w: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20"/>
        </w:trPr>
        <w:tc>
          <w:tcPr>
            <w:tcW w:w="24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of future claims</w:t>
            </w:r>
          </w:p>
        </w:tc>
        <w:tc>
          <w:tcPr>
            <w:tcW w:w="200" w:type="dxa"/>
            <w:vAlign w:val="bottom"/>
            <w:shd w:val="clear" w:color="auto" w:fill="E5FFFF"/>
          </w:tcPr>
          <w:p>
            <w:pPr>
              <w:spacing w:after="0"/>
              <w:rPr>
                <w:sz w:val="19"/>
                <w:szCs w:val="19"/>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30</w:t>
            </w:r>
          </w:p>
        </w:tc>
        <w:tc>
          <w:tcPr>
            <w:tcW w:w="200" w:type="dxa"/>
            <w:vAlign w:val="bottom"/>
            <w:shd w:val="clear" w:color="auto" w:fill="E5FFFF"/>
          </w:tcPr>
          <w:p>
            <w:pPr>
              <w:spacing w:after="0"/>
              <w:rPr>
                <w:sz w:val="19"/>
                <w:szCs w:val="19"/>
                <w:color w:val="auto"/>
              </w:rPr>
            </w:pPr>
          </w:p>
        </w:tc>
        <w:tc>
          <w:tcPr>
            <w:tcW w:w="84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5FFFF"/>
          </w:tcPr>
          <w:p>
            <w:pPr>
              <w:spacing w:after="0"/>
              <w:rPr>
                <w:sz w:val="19"/>
                <w:szCs w:val="19"/>
                <w:color w:val="auto"/>
              </w:rPr>
            </w:pPr>
          </w:p>
        </w:tc>
        <w:tc>
          <w:tcPr>
            <w:tcW w:w="84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16</w:t>
            </w: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5FFFF"/>
          </w:tcPr>
          <w:p>
            <w:pPr>
              <w:spacing w:after="0"/>
              <w:rPr>
                <w:sz w:val="19"/>
                <w:szCs w:val="19"/>
                <w:color w:val="auto"/>
              </w:rPr>
            </w:pPr>
          </w:p>
        </w:tc>
        <w:tc>
          <w:tcPr>
            <w:tcW w:w="84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16</w:t>
            </w:r>
          </w:p>
        </w:tc>
      </w:tr>
      <w:tr>
        <w:trPr>
          <w:trHeight w:val="212"/>
        </w:trPr>
        <w:tc>
          <w:tcPr>
            <w:tcW w:w="2400" w:type="dxa"/>
            <w:vAlign w:val="bottom"/>
          </w:tcPr>
          <w:p>
            <w:pPr>
              <w:ind w:left="20"/>
              <w:spacing w:after="0"/>
              <w:rPr>
                <w:sz w:val="20"/>
                <w:szCs w:val="20"/>
                <w:color w:val="auto"/>
              </w:rPr>
            </w:pPr>
            <w:r>
              <w:rPr>
                <w:rFonts w:ascii="Arial" w:cs="Arial" w:eastAsia="Arial" w:hAnsi="Arial"/>
                <w:sz w:val="18"/>
                <w:szCs w:val="18"/>
                <w:color w:val="auto"/>
              </w:rPr>
              <w:t>Update of expected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400" w:type="dxa"/>
            <w:vAlign w:val="bottom"/>
          </w:tcPr>
          <w:p>
            <w:pPr>
              <w:ind w:left="200"/>
              <w:spacing w:after="0" w:line="202" w:lineRule="exact"/>
              <w:rPr>
                <w:sz w:val="20"/>
                <w:szCs w:val="20"/>
                <w:color w:val="auto"/>
              </w:rPr>
            </w:pPr>
            <w:r>
              <w:rPr>
                <w:rFonts w:ascii="Arial" w:cs="Arial" w:eastAsia="Arial" w:hAnsi="Arial"/>
                <w:sz w:val="18"/>
                <w:szCs w:val="18"/>
                <w:color w:val="auto"/>
              </w:rPr>
              <w:t>resolution values for</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0"/>
        </w:trPr>
        <w:tc>
          <w:tcPr>
            <w:tcW w:w="2400" w:type="dxa"/>
            <w:vAlign w:val="bottom"/>
          </w:tcPr>
          <w:p>
            <w:pPr>
              <w:ind w:left="200"/>
              <w:spacing w:after="0"/>
              <w:rPr>
                <w:sz w:val="20"/>
                <w:szCs w:val="20"/>
                <w:color w:val="auto"/>
              </w:rPr>
            </w:pPr>
            <w:r>
              <w:rPr>
                <w:rFonts w:ascii="Arial" w:cs="Arial" w:eastAsia="Arial" w:hAnsi="Arial"/>
                <w:sz w:val="18"/>
                <w:szCs w:val="18"/>
                <w:color w:val="auto"/>
              </w:rPr>
              <w:t>pending claims</w:t>
            </w: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7</w:t>
            </w:r>
          </w:p>
        </w:tc>
      </w:tr>
      <w:tr>
        <w:trPr>
          <w:trHeight w:val="212"/>
        </w:trPr>
        <w:tc>
          <w:tcPr>
            <w:tcW w:w="2400" w:type="dxa"/>
            <w:vAlign w:val="bottom"/>
            <w:shd w:val="clear" w:color="auto" w:fill="E5FFFF"/>
          </w:tcPr>
          <w:p>
            <w:pPr>
              <w:ind w:left="20"/>
              <w:spacing w:after="0"/>
              <w:rPr>
                <w:sz w:val="20"/>
                <w:szCs w:val="20"/>
                <w:color w:val="auto"/>
              </w:rPr>
            </w:pPr>
            <w:r>
              <w:rPr>
                <w:rFonts w:ascii="Arial" w:cs="Arial" w:eastAsia="Arial" w:hAnsi="Arial"/>
                <w:sz w:val="18"/>
                <w:szCs w:val="18"/>
                <w:color w:val="auto"/>
              </w:rPr>
              <w:t>Asbestos related liability</w:t>
            </w: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r>
      <w:tr>
        <w:trPr>
          <w:trHeight w:val="220"/>
        </w:trPr>
        <w:tc>
          <w:tcPr>
            <w:tcW w:w="2400" w:type="dxa"/>
            <w:vAlign w:val="bottom"/>
            <w:shd w:val="clear" w:color="auto" w:fill="E5FFFF"/>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shd w:val="clear" w:color="auto" w:fill="E5FFFF"/>
          </w:tcPr>
          <w:p>
            <w:pPr>
              <w:spacing w:after="0"/>
              <w:rPr>
                <w:sz w:val="19"/>
                <w:szCs w:val="19"/>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(166 )</w:t>
            </w:r>
          </w:p>
        </w:tc>
        <w:tc>
          <w:tcPr>
            <w:tcW w:w="200" w:type="dxa"/>
            <w:vAlign w:val="bottom"/>
            <w:shd w:val="clear" w:color="auto" w:fill="E5FFFF"/>
          </w:tcPr>
          <w:p>
            <w:pPr>
              <w:spacing w:after="0"/>
              <w:rPr>
                <w:sz w:val="19"/>
                <w:szCs w:val="19"/>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E5FFFF"/>
          </w:tcPr>
          <w:p>
            <w:pPr>
              <w:spacing w:after="0"/>
              <w:rPr>
                <w:sz w:val="19"/>
                <w:szCs w:val="19"/>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(169 )</w:t>
            </w:r>
          </w:p>
        </w:tc>
        <w:tc>
          <w:tcPr>
            <w:tcW w:w="22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(166 )</w:t>
            </w:r>
          </w:p>
        </w:tc>
        <w:tc>
          <w:tcPr>
            <w:tcW w:w="200" w:type="dxa"/>
            <w:vAlign w:val="bottom"/>
            <w:shd w:val="clear" w:color="auto" w:fill="E5FFFF"/>
          </w:tcPr>
          <w:p>
            <w:pPr>
              <w:spacing w:after="0"/>
              <w:rPr>
                <w:sz w:val="19"/>
                <w:szCs w:val="19"/>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E5FFFF"/>
          </w:tcPr>
          <w:p>
            <w:pPr>
              <w:spacing w:after="0"/>
              <w:rPr>
                <w:sz w:val="19"/>
                <w:szCs w:val="19"/>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(171 )</w:t>
            </w:r>
          </w:p>
        </w:tc>
        <w:tc>
          <w:tcPr>
            <w:tcW w:w="22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(157 )</w:t>
            </w:r>
          </w:p>
        </w:tc>
        <w:tc>
          <w:tcPr>
            <w:tcW w:w="200" w:type="dxa"/>
            <w:vAlign w:val="bottom"/>
            <w:shd w:val="clear" w:color="auto" w:fill="E5FFFF"/>
          </w:tcPr>
          <w:p>
            <w:pPr>
              <w:spacing w:after="0"/>
              <w:rPr>
                <w:sz w:val="19"/>
                <w:szCs w:val="19"/>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(6 )</w:t>
            </w:r>
          </w:p>
        </w:tc>
        <w:tc>
          <w:tcPr>
            <w:tcW w:w="200" w:type="dxa"/>
            <w:vAlign w:val="bottom"/>
            <w:shd w:val="clear" w:color="auto" w:fill="E5FFFF"/>
          </w:tcPr>
          <w:p>
            <w:pPr>
              <w:spacing w:after="0"/>
              <w:rPr>
                <w:sz w:val="19"/>
                <w:szCs w:val="19"/>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(163 )</w:t>
            </w:r>
          </w:p>
        </w:tc>
      </w:tr>
      <w:tr>
        <w:trPr>
          <w:trHeight w:val="304"/>
        </w:trPr>
        <w:tc>
          <w:tcPr>
            <w:tcW w:w="24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653</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$ 1,119</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$ 1,772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613</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$ 1,123</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$ 1,736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594</w:t>
            </w:r>
          </w:p>
        </w:tc>
        <w:tc>
          <w:tcPr>
            <w:tcW w:w="1040" w:type="dxa"/>
            <w:vAlign w:val="bottom"/>
            <w:gridSpan w:val="2"/>
          </w:tcPr>
          <w:p>
            <w:pPr>
              <w:jc w:val="right"/>
              <w:ind w:right="53"/>
              <w:spacing w:after="0"/>
              <w:rPr>
                <w:sz w:val="20"/>
                <w:szCs w:val="20"/>
                <w:color w:val="auto"/>
              </w:rPr>
            </w:pPr>
            <w:r>
              <w:rPr>
                <w:rFonts w:ascii="Arial" w:cs="Arial" w:eastAsia="Arial" w:hAnsi="Arial"/>
                <w:sz w:val="18"/>
                <w:szCs w:val="18"/>
                <w:color w:val="auto"/>
              </w:rPr>
              <w:t>$ 1,125</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$ 1,719</w:t>
            </w:r>
          </w:p>
        </w:tc>
      </w:tr>
      <w:tr>
        <w:trPr>
          <w:trHeight w:val="20"/>
        </w:trPr>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Recoveries for Asbestos Related Liabilities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58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66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7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29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83"/>
        </w:trPr>
        <w:tc>
          <w:tcPr>
            <w:tcW w:w="2960" w:type="dxa"/>
            <w:vAlign w:val="bottom"/>
          </w:tcPr>
          <w:p>
            <w:pPr>
              <w:spacing w:after="0"/>
              <w:rPr>
                <w:sz w:val="15"/>
                <w:szCs w:val="15"/>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Bendix</w:t>
            </w: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Bendix</w:t>
            </w:r>
          </w:p>
        </w:tc>
        <w:tc>
          <w:tcPr>
            <w:tcW w:w="24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NARCO</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Bendix</w:t>
            </w:r>
          </w:p>
        </w:tc>
        <w:tc>
          <w:tcPr>
            <w:tcW w:w="2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NARCO</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64"/>
        </w:trPr>
        <w:tc>
          <w:tcPr>
            <w:tcW w:w="2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of year</w:t>
            </w:r>
          </w:p>
        </w:tc>
        <w:tc>
          <w:tcPr>
            <w:tcW w:w="6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$ 162</w:t>
            </w:r>
          </w:p>
        </w:tc>
        <w:tc>
          <w:tcPr>
            <w:tcW w:w="92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$ 618</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780</w:t>
            </w:r>
          </w:p>
        </w:tc>
        <w:tc>
          <w:tcPr>
            <w:tcW w:w="920" w:type="dxa"/>
            <w:vAlign w:val="bottom"/>
            <w:gridSpan w:val="2"/>
            <w:shd w:val="clear" w:color="auto" w:fill="E5FFFF"/>
          </w:tcPr>
          <w:p>
            <w:pPr>
              <w:jc w:val="right"/>
              <w:ind w:right="69"/>
              <w:spacing w:after="0"/>
              <w:rPr>
                <w:sz w:val="20"/>
                <w:szCs w:val="20"/>
                <w:color w:val="auto"/>
              </w:rPr>
            </w:pPr>
            <w:r>
              <w:rPr>
                <w:rFonts w:ascii="Arial" w:cs="Arial" w:eastAsia="Arial" w:hAnsi="Arial"/>
                <w:sz w:val="18"/>
                <w:szCs w:val="18"/>
                <w:color w:val="auto"/>
              </w:rPr>
              <w:t>$ 157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718</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72"/>
              <w:spacing w:after="0"/>
              <w:rPr>
                <w:sz w:val="20"/>
                <w:szCs w:val="20"/>
                <w:color w:val="auto"/>
              </w:rPr>
            </w:pPr>
            <w:r>
              <w:rPr>
                <w:rFonts w:ascii="Arial" w:cs="Arial" w:eastAsia="Arial" w:hAnsi="Arial"/>
                <w:sz w:val="18"/>
                <w:szCs w:val="18"/>
                <w:color w:val="auto"/>
              </w:rPr>
              <w:t>875</w:t>
            </w:r>
          </w:p>
        </w:tc>
        <w:tc>
          <w:tcPr>
            <w:tcW w:w="920" w:type="dxa"/>
            <w:vAlign w:val="bottom"/>
            <w:gridSpan w:val="2"/>
            <w:shd w:val="clear" w:color="auto" w:fill="E5FFFF"/>
          </w:tcPr>
          <w:p>
            <w:pPr>
              <w:jc w:val="right"/>
              <w:ind w:right="82"/>
              <w:spacing w:after="0"/>
              <w:rPr>
                <w:sz w:val="20"/>
                <w:szCs w:val="20"/>
                <w:color w:val="auto"/>
              </w:rPr>
            </w:pPr>
            <w:r>
              <w:rPr>
                <w:rFonts w:ascii="Arial" w:cs="Arial" w:eastAsia="Arial" w:hAnsi="Arial"/>
                <w:sz w:val="18"/>
                <w:szCs w:val="18"/>
                <w:color w:val="auto"/>
              </w:rPr>
              <w:t>$ 172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831</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1,003</w:t>
            </w:r>
          </w:p>
        </w:tc>
      </w:tr>
      <w:tr>
        <w:trPr>
          <w:trHeight w:val="212"/>
        </w:trPr>
        <w:tc>
          <w:tcPr>
            <w:tcW w:w="2960" w:type="dxa"/>
            <w:vAlign w:val="bottom"/>
          </w:tcPr>
          <w:p>
            <w:pPr>
              <w:ind w:left="20"/>
              <w:spacing w:after="0"/>
              <w:rPr>
                <w:sz w:val="20"/>
                <w:szCs w:val="20"/>
                <w:color w:val="auto"/>
              </w:rPr>
            </w:pPr>
            <w:r>
              <w:rPr>
                <w:rFonts w:ascii="Arial" w:cs="Arial" w:eastAsia="Arial" w:hAnsi="Arial"/>
                <w:sz w:val="18"/>
                <w:szCs w:val="18"/>
                <w:color w:val="auto"/>
              </w:rPr>
              <w:t>Probable insurance recoveries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0"/>
        </w:trPr>
        <w:tc>
          <w:tcPr>
            <w:tcW w:w="2960" w:type="dxa"/>
            <w:vAlign w:val="bottom"/>
          </w:tcPr>
          <w:p>
            <w:pPr>
              <w:ind w:left="200"/>
              <w:spacing w:after="0"/>
              <w:rPr>
                <w:sz w:val="20"/>
                <w:szCs w:val="20"/>
                <w:color w:val="auto"/>
              </w:rPr>
            </w:pPr>
            <w:r>
              <w:rPr>
                <w:rFonts w:ascii="Arial" w:cs="Arial" w:eastAsia="Arial" w:hAnsi="Arial"/>
                <w:sz w:val="18"/>
                <w:szCs w:val="18"/>
                <w:color w:val="auto"/>
              </w:rPr>
              <w:t>related to estimated liability</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69"/>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26</w:t>
            </w:r>
          </w:p>
        </w:tc>
      </w:tr>
      <w:tr>
        <w:trPr>
          <w:trHeight w:val="212"/>
        </w:trPr>
        <w:tc>
          <w:tcPr>
            <w:tcW w:w="2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Insurance receipts for asbestos</w:t>
            </w: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r>
      <w:tr>
        <w:trPr>
          <w:trHeight w:val="220"/>
        </w:trPr>
        <w:tc>
          <w:tcPr>
            <w:tcW w:w="2960" w:type="dxa"/>
            <w:vAlign w:val="bottom"/>
            <w:shd w:val="clear" w:color="auto" w:fill="E5FFFF"/>
          </w:tcPr>
          <w:p>
            <w:pPr>
              <w:ind w:left="200"/>
              <w:spacing w:after="0"/>
              <w:rPr>
                <w:sz w:val="20"/>
                <w:szCs w:val="20"/>
                <w:color w:val="auto"/>
              </w:rPr>
            </w:pPr>
            <w:r>
              <w:rPr>
                <w:rFonts w:ascii="Arial" w:cs="Arial" w:eastAsia="Arial" w:hAnsi="Arial"/>
                <w:sz w:val="18"/>
                <w:szCs w:val="18"/>
                <w:color w:val="auto"/>
              </w:rPr>
              <w:t>related liabilities</w:t>
            </w: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(60 )</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(62 )</w:t>
            </w: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(122 )</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(34 )</w:t>
            </w:r>
          </w:p>
        </w:tc>
        <w:tc>
          <w:tcPr>
            <w:tcW w:w="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(100 )</w:t>
            </w:r>
          </w:p>
        </w:tc>
        <w:tc>
          <w:tcPr>
            <w:tcW w:w="2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(134 )</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(141 )</w:t>
            </w:r>
          </w:p>
        </w:tc>
      </w:tr>
      <w:tr>
        <w:trPr>
          <w:trHeight w:val="212"/>
        </w:trPr>
        <w:tc>
          <w:tcPr>
            <w:tcW w:w="2960" w:type="dxa"/>
            <w:vAlign w:val="bottom"/>
          </w:tcPr>
          <w:p>
            <w:pPr>
              <w:ind w:left="20"/>
              <w:spacing w:after="0"/>
              <w:rPr>
                <w:sz w:val="20"/>
                <w:szCs w:val="20"/>
                <w:color w:val="auto"/>
              </w:rPr>
            </w:pPr>
            <w:r>
              <w:rPr>
                <w:rFonts w:ascii="Arial" w:cs="Arial" w:eastAsia="Arial" w:hAnsi="Arial"/>
                <w:sz w:val="18"/>
                <w:szCs w:val="18"/>
                <w:color w:val="auto"/>
              </w:rPr>
              <w:t>Insurance receivables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0"/>
        </w:trPr>
        <w:tc>
          <w:tcPr>
            <w:tcW w:w="2960" w:type="dxa"/>
            <w:vAlign w:val="bottom"/>
          </w:tcPr>
          <w:p>
            <w:pPr>
              <w:ind w:left="200"/>
              <w:spacing w:after="0"/>
              <w:rPr>
                <w:sz w:val="20"/>
                <w:szCs w:val="20"/>
                <w:color w:val="auto"/>
              </w:rPr>
            </w:pPr>
            <w:r>
              <w:rPr>
                <w:rFonts w:ascii="Arial" w:cs="Arial" w:eastAsia="Arial" w:hAnsi="Arial"/>
                <w:sz w:val="18"/>
                <w:szCs w:val="18"/>
                <w:color w:val="auto"/>
              </w:rPr>
              <w:t>settlements and write offs</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58"/>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ind w:right="69"/>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70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34"/>
        </w:trPr>
        <w:tc>
          <w:tcPr>
            <w:tcW w:w="29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r>
      <w:tr>
        <w:trPr>
          <w:trHeight w:val="270"/>
        </w:trPr>
        <w:tc>
          <w:tcPr>
            <w:tcW w:w="2960" w:type="dxa"/>
            <w:vAlign w:val="bottom"/>
            <w:shd w:val="clear" w:color="auto" w:fill="E5FFFF"/>
          </w:tcPr>
          <w:p>
            <w:pPr>
              <w:ind w:left="20"/>
              <w:spacing w:after="0"/>
              <w:rPr>
                <w:sz w:val="20"/>
                <w:szCs w:val="20"/>
                <w:color w:val="auto"/>
              </w:rPr>
            </w:pPr>
            <w:r>
              <w:rPr>
                <w:rFonts w:ascii="Arial" w:cs="Arial" w:eastAsia="Arial" w:hAnsi="Arial"/>
                <w:sz w:val="18"/>
                <w:szCs w:val="18"/>
                <w:color w:val="auto"/>
              </w:rPr>
              <w:t>End of year</w:t>
            </w:r>
          </w:p>
        </w:tc>
        <w:tc>
          <w:tcPr>
            <w:tcW w:w="680" w:type="dxa"/>
            <w:vAlign w:val="bottom"/>
            <w:shd w:val="clear" w:color="auto" w:fill="E5FFFF"/>
          </w:tcPr>
          <w:p>
            <w:pPr>
              <w:jc w:val="right"/>
              <w:ind w:right="54"/>
              <w:spacing w:after="0"/>
              <w:rPr>
                <w:sz w:val="20"/>
                <w:szCs w:val="20"/>
                <w:color w:val="auto"/>
              </w:rPr>
            </w:pPr>
            <w:r>
              <w:rPr>
                <w:rFonts w:ascii="Arial" w:cs="Arial" w:eastAsia="Arial" w:hAnsi="Arial"/>
                <w:sz w:val="18"/>
                <w:szCs w:val="18"/>
                <w:color w:val="auto"/>
              </w:rPr>
              <w:t>$ 138</w:t>
            </w:r>
          </w:p>
        </w:tc>
        <w:tc>
          <w:tcPr>
            <w:tcW w:w="920" w:type="dxa"/>
            <w:vAlign w:val="bottom"/>
            <w:gridSpan w:val="2"/>
            <w:shd w:val="clear" w:color="auto" w:fill="E5FFFF"/>
          </w:tcPr>
          <w:p>
            <w:pPr>
              <w:jc w:val="right"/>
              <w:ind w:right="58"/>
              <w:spacing w:after="0"/>
              <w:rPr>
                <w:sz w:val="20"/>
                <w:szCs w:val="20"/>
                <w:color w:val="auto"/>
              </w:rPr>
            </w:pPr>
            <w:r>
              <w:rPr>
                <w:rFonts w:ascii="Arial" w:cs="Arial" w:eastAsia="Arial" w:hAnsi="Arial"/>
                <w:sz w:val="18"/>
                <w:szCs w:val="18"/>
                <w:color w:val="auto"/>
              </w:rPr>
              <w:t>$ 569</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707</w:t>
            </w:r>
          </w:p>
        </w:tc>
        <w:tc>
          <w:tcPr>
            <w:tcW w:w="920" w:type="dxa"/>
            <w:vAlign w:val="bottom"/>
            <w:gridSpan w:val="2"/>
            <w:shd w:val="clear" w:color="auto" w:fill="E5FFFF"/>
          </w:tcPr>
          <w:p>
            <w:pPr>
              <w:jc w:val="right"/>
              <w:ind w:right="69"/>
              <w:spacing w:after="0"/>
              <w:rPr>
                <w:sz w:val="20"/>
                <w:szCs w:val="20"/>
                <w:color w:val="auto"/>
              </w:rPr>
            </w:pPr>
            <w:r>
              <w:rPr>
                <w:rFonts w:ascii="Arial" w:cs="Arial" w:eastAsia="Arial" w:hAnsi="Arial"/>
                <w:sz w:val="18"/>
                <w:szCs w:val="18"/>
                <w:color w:val="auto"/>
              </w:rPr>
              <w:t>$ 162</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618</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72"/>
              <w:spacing w:after="0"/>
              <w:rPr>
                <w:sz w:val="20"/>
                <w:szCs w:val="20"/>
                <w:color w:val="auto"/>
              </w:rPr>
            </w:pPr>
            <w:r>
              <w:rPr>
                <w:rFonts w:ascii="Arial" w:cs="Arial" w:eastAsia="Arial" w:hAnsi="Arial"/>
                <w:sz w:val="18"/>
                <w:szCs w:val="18"/>
                <w:color w:val="auto"/>
              </w:rPr>
              <w:t>780</w:t>
            </w:r>
          </w:p>
        </w:tc>
        <w:tc>
          <w:tcPr>
            <w:tcW w:w="920" w:type="dxa"/>
            <w:vAlign w:val="bottom"/>
            <w:gridSpan w:val="2"/>
            <w:shd w:val="clear" w:color="auto" w:fill="E5FFFF"/>
          </w:tcPr>
          <w:p>
            <w:pPr>
              <w:jc w:val="right"/>
              <w:ind w:right="82"/>
              <w:spacing w:after="0"/>
              <w:rPr>
                <w:sz w:val="20"/>
                <w:szCs w:val="20"/>
                <w:color w:val="auto"/>
              </w:rPr>
            </w:pPr>
            <w:r>
              <w:rPr>
                <w:rFonts w:ascii="Arial" w:cs="Arial" w:eastAsia="Arial" w:hAnsi="Arial"/>
                <w:sz w:val="18"/>
                <w:szCs w:val="18"/>
                <w:color w:val="auto"/>
              </w:rPr>
              <w:t>$ 157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718</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2"/>
              <w:spacing w:after="0"/>
              <w:rPr>
                <w:sz w:val="20"/>
                <w:szCs w:val="20"/>
                <w:color w:val="auto"/>
              </w:rPr>
            </w:pPr>
            <w:r>
              <w:rPr>
                <w:rFonts w:ascii="Arial" w:cs="Arial" w:eastAsia="Arial" w:hAnsi="Arial"/>
                <w:sz w:val="18"/>
                <w:szCs w:val="18"/>
                <w:color w:val="auto"/>
              </w:rPr>
              <w:t>875</w:t>
            </w:r>
          </w:p>
        </w:tc>
      </w:tr>
      <w:tr>
        <w:trPr>
          <w:trHeight w:val="20"/>
        </w:trPr>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NARCO and Bendix asbestos related balances are included in the following balance sheet accounts: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Other current assets</w:t>
            </w:r>
          </w:p>
        </w:tc>
        <w:tc>
          <w:tcPr>
            <w:tcW w:w="3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Insurance recoveries for asbestos related liabilities</w:t>
            </w:r>
          </w:p>
        </w:tc>
        <w:tc>
          <w:tcPr>
            <w:tcW w:w="36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663</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spacing w:after="0"/>
              <w:rPr>
                <w:sz w:val="23"/>
                <w:szCs w:val="23"/>
                <w:color w:val="auto"/>
              </w:rPr>
            </w:pPr>
          </w:p>
        </w:tc>
        <w:tc>
          <w:tcPr>
            <w:tcW w:w="36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707</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780</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9"/>
                <w:szCs w:val="19"/>
                <w:color w:val="auto"/>
              </w:rPr>
              <w:t>Accrued liabilities</w:t>
            </w:r>
          </w:p>
        </w:tc>
        <w:tc>
          <w:tcPr>
            <w:tcW w:w="38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8"/>
              <w:spacing w:after="0"/>
              <w:rPr>
                <w:sz w:val="20"/>
                <w:szCs w:val="20"/>
                <w:color w:val="auto"/>
              </w:rPr>
            </w:pPr>
            <w:r>
              <w:rPr>
                <w:rFonts w:ascii="Arial" w:cs="Arial" w:eastAsia="Arial" w:hAnsi="Arial"/>
                <w:sz w:val="19"/>
                <w:szCs w:val="19"/>
                <w:color w:val="auto"/>
              </w:rPr>
              <w:t>480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237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7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Asbestos related liabilities</w:t>
            </w:r>
          </w:p>
        </w:tc>
        <w:tc>
          <w:tcPr>
            <w:tcW w:w="36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1,292</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1,499</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8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8"/>
              <w:spacing w:after="0"/>
              <w:rPr>
                <w:sz w:val="20"/>
                <w:szCs w:val="20"/>
                <w:color w:val="auto"/>
              </w:rPr>
            </w:pPr>
            <w:r>
              <w:rPr>
                <w:rFonts w:ascii="Arial" w:cs="Arial" w:eastAsia="Arial" w:hAnsi="Arial"/>
                <w:sz w:val="19"/>
                <w:szCs w:val="19"/>
                <w:color w:val="auto"/>
              </w:rPr>
              <w:t>1,772</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1,736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60" w:type="dxa"/>
            <w:vAlign w:val="bottom"/>
            <w:vMerge w:val="restart"/>
          </w:tcPr>
          <w:p>
            <w:pPr>
              <w:jc w:val="right"/>
              <w:ind w:right="2983"/>
              <w:spacing w:after="0"/>
              <w:rPr>
                <w:sz w:val="20"/>
                <w:szCs w:val="20"/>
                <w:color w:val="auto"/>
              </w:rPr>
            </w:pPr>
            <w:r>
              <w:rPr>
                <w:rFonts w:ascii="Arial" w:cs="Arial" w:eastAsia="Arial" w:hAnsi="Arial"/>
                <w:sz w:val="19"/>
                <w:szCs w:val="19"/>
                <w:color w:val="auto"/>
              </w:rPr>
              <w:t>96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b w:val="1"/>
          <w:bCs w:val="1"/>
          <w:i w:val="1"/>
          <w:iCs w:val="1"/>
          <w:color w:val="auto"/>
        </w:rPr>
        <w:t>NARCO Products</w:t>
      </w:r>
      <w:r>
        <w:rPr>
          <w:rFonts w:ascii="Arial" w:cs="Arial" w:eastAsia="Arial" w:hAnsi="Arial"/>
          <w:sz w:val="19"/>
          <w:szCs w:val="19"/>
          <w:color w:val="auto"/>
        </w:rPr>
        <w:t>—On January 4, 2002, NARCO filed a petition for reorganization under Chapter 11 of the U.S. Bankruptcy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Code. In connection with the filing of NARCO’s petition in 2002, the U.S. Bankruptcy Court for the Western District of Pennsylvania (“the Bankruptcy Court”) issued an injunction staying the prosecution of NARCO-related asbestos claims against the Company, which stay has continuously remained in place. In November 2007, the Bankruptcy Court confirmed NARCO’s Third Amended Plan of Reorganization (NARCO Plan of Reorganization). All challenges to the NARCO Plan of Reorganization were fully resolved in the third quarter of 2010. The NARCO Plan of Reorganization cannot become effective, however, until the Plan of Reorganization of certain NARCO affiliates, which is pending in Bankruptcy Court, is confirmed and then affirmed by the District Court. It is not possible to predict the timing or outcome of the Bankruptcy and District Court proceedings in the affiliates’ case. We expect that the stay enjoining litigation against NARCO and Honeywell will remain in effect until the effective date of the NARCO Plan of Reorganization.</w:t>
      </w:r>
    </w:p>
    <w:p>
      <w:pPr>
        <w:spacing w:after="0" w:line="94"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In connection with NARCO’s bankruptcy filing, we agreed to certain obligations which will be triggered upon the effective date of the NARCO Plan of Reorganization. Honeywell will provide NARCO with $20 million in financing and simultaneously forgive such indebtedness. We will also pay $40 million to NARCO’s former parent company and $16 million to certain asbestos claimants whose claims were resolved during the pendency of the NARCO bankruptcy proceedings. These amounts are expected to be paid during the first year of trust operations.</w:t>
      </w:r>
    </w:p>
    <w:p>
      <w:pPr>
        <w:spacing w:after="0" w:line="91"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When the NARCO Plan of Reorganization becomes effective, in connection with its implementation, a federally authorized 524(g) trust (“NARCO Trust”) will be established for the evaluation and resolution of all existing and future NARCO asbestos claims. When the NARCO Trust is established, both Honeywell and NARCO will be entitled to a permanent channeling injunction barring all present and future individual actions in state or federal courts and requiring all asbestos related claims based on exposure to NARCO products to be made against the Trust. The NARCO Trust will review submitted claims and determine award amounts in accordance with established Trust Distribution Procedures approved by the Bankruptcy Court which set forth all criteria claimants must meet to qualify for compensation including, among other things, exposure and medical criteria that determine the award amount.</w:t>
      </w:r>
    </w:p>
    <w:p>
      <w:pPr>
        <w:spacing w:after="0" w:line="30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Once the NARCO Trust is established and operational, Honeywell will be obligated to fund NARCO asbestos claims submitted to the trust which qualify for payment under the Trust Distribution Procedures, subject to annual caps up to $150 million in any year, provided, however, that the first $100 million of claims processed through the NARCO Trust (the “Initial Claims Amount”) will not count against the first year annual cap and any unused portion of the Initial Claims Amount will roll over to subsequent years until fully utilized.</w:t>
      </w:r>
    </w:p>
    <w:p>
      <w:pPr>
        <w:spacing w:after="0" w:line="31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Once the NARCO Trust is established and operational, Honeywell will also be responsible for the following funding obligations which are not subject to the annual cap described above: a) previously approved payments due to claimants pursuant to settlement agreements reached during the pendency of the NARCO bankruptcy proceedings which provide that a portion of these settlements is to be paid by the NARCO Trust, which amounts are estimated at $130 million and are expected to be paid during the first year of trust operations and, b)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which amounts are estimated at $150 million and are expected to be paid during the first two years of trust operations.</w:t>
      </w:r>
    </w:p>
    <w:p>
      <w:pPr>
        <w:spacing w:after="0" w:line="83"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the amounts discussed above, unsettled claims pending as of the time NARCO filed for bankruptcy protection and for the estimated value of future NARCO asbestos claims expected to be asserted against the NARCO Trust through 2018. In light of the uncertainties inherent in making long-term projections and in connection with the initial operation of a 524(g) trust, as well as the stay of all NARCO asbestos claims since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auto"/>
        </w:rPr>
        <w:t>January 2002, we do not believe that we have a reasonable basis for estimating NARCO asbestos claims beyond 2018. In the absence of actual trust experience on which to base the estimate, Honeywell projected the probable value, including trust claim handling costs, of asbestos related future liabilities based on Company specific and general asbestos claims filing rates, expected rates of disease and anticipated claim values. Specifically, the valuation methodology included an analysis of the population likely to have been exposed to asbestos containing products, epidemiological studies estimating the number of people likely to develop asbestos related diseases, NARCO asbestos claims filing history, general asbestos claims filing rates in the tort system and in certain operating asbestos trusts, and the claims experience in those forums, the pending inventory of NARCO asbestos claims, disease criteria and payment values contained in the Trust Distribution Procedures and an estimated approval rate of claims submitted to the NARCO Trust. This methodology used to estimate the liability for future claims has been commonly accepted by numerous bankruptcy courts addressing 524(g) trusts and resulted in a range of estimated liability for future claims of $743 to $961 million. We believe that no amount within this range is a better estimate than any other amount and accordingly, we have recorded the minimum amount in the range.</w:t>
      </w:r>
    </w:p>
    <w:p>
      <w:pPr>
        <w:spacing w:after="0" w:line="101" w:lineRule="exact"/>
        <w:rPr>
          <w:sz w:val="20"/>
          <w:szCs w:val="20"/>
          <w:color w:val="auto"/>
        </w:rPr>
      </w:pPr>
    </w:p>
    <w:p>
      <w:pPr>
        <w:ind w:right="240" w:firstLine="357"/>
        <w:spacing w:after="0" w:line="239" w:lineRule="auto"/>
        <w:rPr>
          <w:sz w:val="20"/>
          <w:szCs w:val="20"/>
          <w:color w:val="auto"/>
        </w:rPr>
      </w:pPr>
      <w:r>
        <w:rPr>
          <w:rFonts w:ascii="Arial" w:cs="Arial" w:eastAsia="Arial" w:hAnsi="Arial"/>
          <w:sz w:val="19"/>
          <w:szCs w:val="19"/>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At December 31, 2012, a significant portion of this coverage is with insurance companies with whom we have agreements to pay full policy limits.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with our insurers, our knowledge of any pertinent solvency issues surrounding insurers and various judicial determinations relevant to our insurance programs.</w:t>
      </w:r>
    </w:p>
    <w:p>
      <w:pPr>
        <w:spacing w:after="0" w:line="93"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2006, Travelers Casualty and Insurance Company (“Travelers”) filed a declaratory judgment action in the Supreme Court of New York, County of New York against Honeywell and other insurance carriers that provide coverage for NARCO asbestos claims, seeking a declaration regarding coverage obligations for NARCO asbestos claims under high excess insurance coverage issued by Travelers and the other insurance carriers. The other insurance carriers asserted cross claims against Honeywell seeking declarations regarding their coverage obligations for NARCO asbestos claims under high excess insurance coverage issued by them. Since then, the Company has entered into settlement agreements resolving all NARCO-related asbestos coverage issues with almost all of these insurance carriers, including Travelers. Honeywell believes it is entitled to the remaining coverage at issue. While Honeywell expects to prevail in this matter, an adverse outcome is not expected to have a material impact on our consolidated results of operations, financial position or operating cash flows.</w:t>
      </w:r>
    </w:p>
    <w:p>
      <w:pPr>
        <w:spacing w:after="0" w:line="95"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Projecting future events is subject to many uncertainties that could cause the NARCO related asbestos liabilities or assets to be higher or lower than those projected and recorded. There is no assurance that the plan of reorganization will become final, that insurance recoveries will be timely or whether there will be any NARCO 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6" w:right="29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Friction Products</w:t>
      </w:r>
      <w:r>
        <w:rPr>
          <w:rFonts w:ascii="Arial" w:cs="Arial" w:eastAsia="Arial" w:hAnsi="Arial"/>
          <w:sz w:val="19"/>
          <w:szCs w:val="19"/>
          <w:color w:val="auto"/>
        </w:rPr>
        <w:t>—The following tables present information regarding Bendix related asbestos claims activity: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Years Ended</w:t>
            </w:r>
          </w:p>
        </w:tc>
      </w:t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500" w:type="dxa"/>
            <w:vAlign w:val="bottom"/>
          </w:tcPr>
          <w:p>
            <w:pPr>
              <w:spacing w:after="0"/>
              <w:rPr>
                <w:sz w:val="17"/>
                <w:szCs w:val="17"/>
                <w:color w:val="auto"/>
              </w:rPr>
            </w:pPr>
          </w:p>
        </w:tc>
        <w:tc>
          <w:tcPr>
            <w:tcW w:w="7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Claims Activity</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2011</w:t>
            </w:r>
          </w:p>
        </w:tc>
      </w:tr>
      <w:tr>
        <w:trPr>
          <w:trHeight w:val="264"/>
        </w:trPr>
        <w:tc>
          <w:tcPr>
            <w:tcW w:w="500" w:type="dxa"/>
            <w:vAlign w:val="bottom"/>
          </w:tcPr>
          <w:p>
            <w:pPr>
              <w:spacing w:after="0"/>
              <w:rPr>
                <w:sz w:val="22"/>
                <w:szCs w:val="22"/>
                <w:color w:val="auto"/>
              </w:rPr>
            </w:pPr>
          </w:p>
        </w:tc>
        <w:tc>
          <w:tcPr>
            <w:tcW w:w="79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Claims Unresolved at the beginning of year</w:t>
            </w:r>
          </w:p>
        </w:tc>
        <w:tc>
          <w:tcPr>
            <w:tcW w:w="1200" w:type="dxa"/>
            <w:vAlign w:val="bottom"/>
            <w:gridSpan w:val="2"/>
            <w:shd w:val="clear" w:color="auto" w:fill="E5FFFF"/>
          </w:tcPr>
          <w:p>
            <w:pPr>
              <w:jc w:val="right"/>
              <w:ind w:right="56"/>
              <w:spacing w:after="0"/>
              <w:rPr>
                <w:sz w:val="20"/>
                <w:szCs w:val="20"/>
                <w:color w:val="auto"/>
              </w:rPr>
            </w:pPr>
            <w:r>
              <w:rPr>
                <w:rFonts w:ascii="Arial" w:cs="Arial" w:eastAsia="Arial" w:hAnsi="Arial"/>
                <w:sz w:val="19"/>
                <w:szCs w:val="19"/>
                <w:color w:val="auto"/>
              </w:rPr>
              <w:t>22,571</w:t>
            </w:r>
          </w:p>
        </w:tc>
        <w:tc>
          <w:tcPr>
            <w:tcW w:w="1220" w:type="dxa"/>
            <w:vAlign w:val="bottom"/>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22,480</w:t>
            </w:r>
          </w:p>
        </w:tc>
      </w:tr>
      <w:tr>
        <w:trPr>
          <w:trHeight w:val="270"/>
        </w:trPr>
        <w:tc>
          <w:tcPr>
            <w:tcW w:w="500" w:type="dxa"/>
            <w:vAlign w:val="bottom"/>
          </w:tcPr>
          <w:p>
            <w:pPr>
              <w:spacing w:after="0"/>
              <w:rPr>
                <w:sz w:val="23"/>
                <w:szCs w:val="23"/>
                <w:color w:val="auto"/>
              </w:rPr>
            </w:pPr>
          </w:p>
        </w:tc>
        <w:tc>
          <w:tcPr>
            <w:tcW w:w="7980" w:type="dxa"/>
            <w:vAlign w:val="bottom"/>
            <w:gridSpan w:val="2"/>
          </w:tcPr>
          <w:p>
            <w:pPr>
              <w:ind w:left="20"/>
              <w:spacing w:after="0"/>
              <w:rPr>
                <w:sz w:val="20"/>
                <w:szCs w:val="20"/>
                <w:color w:val="auto"/>
              </w:rPr>
            </w:pPr>
            <w:r>
              <w:rPr>
                <w:rFonts w:ascii="Arial" w:cs="Arial" w:eastAsia="Arial" w:hAnsi="Arial"/>
                <w:sz w:val="19"/>
                <w:szCs w:val="19"/>
                <w:color w:val="auto"/>
              </w:rPr>
              <w:t>Claims Filed</w:t>
            </w:r>
          </w:p>
        </w:tc>
        <w:tc>
          <w:tcPr>
            <w:tcW w:w="1200" w:type="dxa"/>
            <w:vAlign w:val="bottom"/>
            <w:gridSpan w:val="2"/>
          </w:tcPr>
          <w:p>
            <w:pPr>
              <w:jc w:val="right"/>
              <w:ind w:right="56"/>
              <w:spacing w:after="0"/>
              <w:rPr>
                <w:sz w:val="20"/>
                <w:szCs w:val="20"/>
                <w:color w:val="auto"/>
              </w:rPr>
            </w:pPr>
            <w:r>
              <w:rPr>
                <w:rFonts w:ascii="Arial" w:cs="Arial" w:eastAsia="Arial" w:hAnsi="Arial"/>
                <w:sz w:val="19"/>
                <w:szCs w:val="19"/>
                <w:color w:val="auto"/>
              </w:rPr>
              <w:t>3,920</w:t>
            </w:r>
          </w:p>
        </w:tc>
        <w:tc>
          <w:tcPr>
            <w:tcW w:w="1220" w:type="dxa"/>
            <w:vAlign w:val="bottom"/>
            <w:gridSpan w:val="2"/>
          </w:tcPr>
          <w:p>
            <w:pPr>
              <w:jc w:val="right"/>
              <w:ind w:right="72"/>
              <w:spacing w:after="0"/>
              <w:rPr>
                <w:sz w:val="20"/>
                <w:szCs w:val="20"/>
                <w:color w:val="auto"/>
              </w:rPr>
            </w:pPr>
            <w:r>
              <w:rPr>
                <w:rFonts w:ascii="Arial" w:cs="Arial" w:eastAsia="Arial" w:hAnsi="Arial"/>
                <w:sz w:val="19"/>
                <w:szCs w:val="19"/>
                <w:color w:val="auto"/>
              </w:rPr>
              <w:t>3,592</w:t>
            </w:r>
          </w:p>
        </w:tc>
      </w:tr>
      <w:tr>
        <w:trPr>
          <w:trHeight w:val="270"/>
        </w:trPr>
        <w:tc>
          <w:tcPr>
            <w:tcW w:w="500" w:type="dxa"/>
            <w:vAlign w:val="bottom"/>
          </w:tcPr>
          <w:p>
            <w:pPr>
              <w:spacing w:after="0"/>
              <w:rPr>
                <w:sz w:val="23"/>
                <w:szCs w:val="23"/>
                <w:color w:val="auto"/>
              </w:rPr>
            </w:pPr>
          </w:p>
        </w:tc>
        <w:tc>
          <w:tcPr>
            <w:tcW w:w="79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Claims Resolved (a)</w:t>
            </w:r>
          </w:p>
        </w:tc>
        <w:tc>
          <w:tcPr>
            <w:tcW w:w="300" w:type="dxa"/>
            <w:vAlign w:val="bottom"/>
            <w:shd w:val="clear" w:color="auto" w:fill="E5FFFF"/>
          </w:tcPr>
          <w:p>
            <w:pPr>
              <w:spacing w:after="0"/>
              <w:rPr>
                <w:sz w:val="23"/>
                <w:szCs w:val="23"/>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(3,350 )</w:t>
            </w:r>
          </w:p>
        </w:tc>
        <w:tc>
          <w:tcPr>
            <w:tcW w:w="28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(3,501 )</w:t>
            </w:r>
          </w:p>
        </w:tc>
      </w:tr>
      <w:tr>
        <w:trPr>
          <w:trHeight w:val="304"/>
        </w:trPr>
        <w:tc>
          <w:tcPr>
            <w:tcW w:w="500" w:type="dxa"/>
            <w:vAlign w:val="bottom"/>
          </w:tcPr>
          <w:p>
            <w:pPr>
              <w:spacing w:after="0"/>
              <w:rPr>
                <w:sz w:val="24"/>
                <w:szCs w:val="24"/>
                <w:color w:val="auto"/>
              </w:rPr>
            </w:pPr>
          </w:p>
        </w:tc>
        <w:tc>
          <w:tcPr>
            <w:tcW w:w="7980" w:type="dxa"/>
            <w:vAlign w:val="bottom"/>
            <w:gridSpan w:val="2"/>
          </w:tcPr>
          <w:p>
            <w:pPr>
              <w:ind w:left="20"/>
              <w:spacing w:after="0"/>
              <w:rPr>
                <w:sz w:val="20"/>
                <w:szCs w:val="20"/>
                <w:color w:val="auto"/>
              </w:rPr>
            </w:pPr>
            <w:r>
              <w:rPr>
                <w:rFonts w:ascii="Arial" w:cs="Arial" w:eastAsia="Arial" w:hAnsi="Arial"/>
                <w:sz w:val="19"/>
                <w:szCs w:val="19"/>
                <w:color w:val="auto"/>
              </w:rPr>
              <w:t>Claims Unresolved at the end of year</w:t>
            </w:r>
          </w:p>
        </w:tc>
        <w:tc>
          <w:tcPr>
            <w:tcW w:w="1200" w:type="dxa"/>
            <w:vAlign w:val="bottom"/>
            <w:gridSpan w:val="2"/>
          </w:tcPr>
          <w:p>
            <w:pPr>
              <w:jc w:val="right"/>
              <w:ind w:right="56"/>
              <w:spacing w:after="0"/>
              <w:rPr>
                <w:sz w:val="20"/>
                <w:szCs w:val="20"/>
                <w:color w:val="auto"/>
              </w:rPr>
            </w:pPr>
            <w:r>
              <w:rPr>
                <w:rFonts w:ascii="Arial" w:cs="Arial" w:eastAsia="Arial" w:hAnsi="Arial"/>
                <w:sz w:val="19"/>
                <w:szCs w:val="19"/>
                <w:color w:val="auto"/>
              </w:rPr>
              <w:t>23,141</w:t>
            </w:r>
          </w:p>
        </w:tc>
        <w:tc>
          <w:tcPr>
            <w:tcW w:w="1220" w:type="dxa"/>
            <w:vAlign w:val="bottom"/>
            <w:gridSpan w:val="2"/>
          </w:tcPr>
          <w:p>
            <w:pPr>
              <w:jc w:val="right"/>
              <w:ind w:right="72"/>
              <w:spacing w:after="0"/>
              <w:rPr>
                <w:sz w:val="20"/>
                <w:szCs w:val="20"/>
                <w:color w:val="auto"/>
              </w:rPr>
            </w:pPr>
            <w:r>
              <w:rPr>
                <w:rFonts w:ascii="Arial" w:cs="Arial" w:eastAsia="Arial" w:hAnsi="Arial"/>
                <w:sz w:val="19"/>
                <w:szCs w:val="19"/>
                <w:color w:val="auto"/>
              </w:rPr>
              <w:t>22,571</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right="120" w:hanging="332"/>
        <w:spacing w:after="0" w:line="242" w:lineRule="auto"/>
        <w:tabs>
          <w:tab w:leader="none" w:pos="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number of claims resolved in 2012 includes approximately 288 claims previously classified as inactive (85% non-malignant and accrued liability of approximately $1.3 million) which were activated during 2012. The number of claims resolved in 2011 includes approximately 351 claims previously classified as inactive (82% non-malignant and accrued liability of approximately $1.7 million) which were activated during 2011.</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bottom w:val="single" w:sz="8" w:color="auto"/>
            </w:tcBorders>
            <w:gridSpan w:val="6"/>
          </w:tcPr>
          <w:p>
            <w:pPr>
              <w:jc w:val="right"/>
              <w:ind w:right="408"/>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Disease Distribution of Unresolved Claims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4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Mesothelioma and Other Cancer Claims</w:t>
            </w:r>
          </w:p>
        </w:tc>
        <w:tc>
          <w:tcPr>
            <w:tcW w:w="20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5,367</w:t>
            </w:r>
          </w:p>
        </w:tc>
        <w:tc>
          <w:tcPr>
            <w:tcW w:w="1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4,943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500" w:type="dxa"/>
            <w:vAlign w:val="bottom"/>
          </w:tcPr>
          <w:p>
            <w:pPr>
              <w:ind w:left="20"/>
              <w:spacing w:after="0"/>
              <w:rPr>
                <w:sz w:val="20"/>
                <w:szCs w:val="20"/>
                <w:color w:val="auto"/>
              </w:rPr>
            </w:pPr>
            <w:r>
              <w:rPr>
                <w:rFonts w:ascii="Arial" w:cs="Arial" w:eastAsia="Arial" w:hAnsi="Arial"/>
                <w:sz w:val="19"/>
                <w:szCs w:val="19"/>
                <w:color w:val="auto"/>
              </w:rPr>
              <w:t>Nonmalignant Claims</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17,774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17,628</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45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Claims</w:t>
            </w: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6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23,141</w:t>
            </w:r>
          </w:p>
        </w:tc>
        <w:tc>
          <w:tcPr>
            <w:tcW w:w="1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22,571</w:t>
            </w:r>
          </w:p>
        </w:tc>
        <w:tc>
          <w:tcPr>
            <w:tcW w:w="0" w:type="dxa"/>
            <w:vAlign w:val="bottom"/>
          </w:tcPr>
          <w:p>
            <w:pPr>
              <w:spacing w:after="0"/>
              <w:rPr>
                <w:sz w:val="1"/>
                <w:szCs w:val="1"/>
                <w:color w:val="auto"/>
              </w:rPr>
            </w:pPr>
          </w:p>
        </w:tc>
      </w:tr>
      <w:tr>
        <w:trPr>
          <w:trHeight w:val="20"/>
        </w:trPr>
        <w:tc>
          <w:tcPr>
            <w:tcW w:w="8320" w:type="dxa"/>
            <w:vAlign w:val="bottom"/>
            <w:gridSpan w:val="12"/>
            <w:vMerge w:val="restart"/>
          </w:tcPr>
          <w:p>
            <w:pPr>
              <w:spacing w:after="0"/>
              <w:rPr>
                <w:sz w:val="20"/>
                <w:szCs w:val="20"/>
                <w:color w:val="auto"/>
              </w:rPr>
            </w:pPr>
            <w:r>
              <w:rPr>
                <w:rFonts w:ascii="Arial" w:cs="Arial" w:eastAsia="Arial" w:hAnsi="Arial"/>
                <w:sz w:val="19"/>
                <w:szCs w:val="19"/>
                <w:color w:val="auto"/>
              </w:rPr>
              <w:t>Honeywell has experienced average resolution values per claim excluding legal costs as follows:</w:t>
            </w: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320" w:type="dxa"/>
            <w:vAlign w:val="bottom"/>
            <w:gridSpan w:val="1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w w:val="98"/>
              </w:rPr>
              <w:t>Years Ended December 31,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b w:val="1"/>
                <w:bCs w:val="1"/>
                <w:color w:val="auto"/>
              </w:rPr>
              <w:t>2010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2008</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8"/>
              </w:rPr>
              <w:t>(in whole dollars)</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50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Malignant claims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49,000</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48,000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54,000</w:t>
            </w:r>
          </w:p>
        </w:tc>
        <w:tc>
          <w:tcPr>
            <w:tcW w:w="2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50,000</w:t>
            </w:r>
          </w:p>
        </w:tc>
        <w:tc>
          <w:tcPr>
            <w:tcW w:w="100" w:type="dxa"/>
            <w:vAlign w:val="bottom"/>
            <w:shd w:val="clear" w:color="auto" w:fill="E5FFFF"/>
          </w:tcPr>
          <w:p>
            <w:pPr>
              <w:spacing w:after="0"/>
              <w:rPr>
                <w:sz w:val="23"/>
                <w:szCs w:val="23"/>
                <w:color w:val="auto"/>
              </w:rPr>
            </w:pPr>
          </w:p>
        </w:tc>
        <w:tc>
          <w:tcPr>
            <w:tcW w:w="42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65,000</w:t>
            </w:r>
          </w:p>
        </w:tc>
        <w:tc>
          <w:tcPr>
            <w:tcW w:w="0" w:type="dxa"/>
            <w:vAlign w:val="bottom"/>
          </w:tcPr>
          <w:p>
            <w:pPr>
              <w:spacing w:after="0"/>
              <w:rPr>
                <w:sz w:val="1"/>
                <w:szCs w:val="1"/>
                <w:color w:val="auto"/>
              </w:rPr>
            </w:pPr>
          </w:p>
        </w:tc>
      </w:tr>
      <w:tr>
        <w:trPr>
          <w:trHeight w:val="274"/>
        </w:trPr>
        <w:tc>
          <w:tcPr>
            <w:tcW w:w="140" w:type="dxa"/>
            <w:vAlign w:val="bottom"/>
          </w:tcPr>
          <w:p>
            <w:pPr>
              <w:spacing w:after="0"/>
              <w:rPr>
                <w:sz w:val="23"/>
                <w:szCs w:val="23"/>
                <w:color w:val="auto"/>
              </w:rPr>
            </w:pPr>
          </w:p>
        </w:tc>
        <w:tc>
          <w:tcPr>
            <w:tcW w:w="4500" w:type="dxa"/>
            <w:vAlign w:val="bottom"/>
          </w:tcPr>
          <w:p>
            <w:pPr>
              <w:ind w:left="20"/>
              <w:spacing w:after="0"/>
              <w:rPr>
                <w:sz w:val="20"/>
                <w:szCs w:val="20"/>
                <w:color w:val="auto"/>
              </w:rPr>
            </w:pPr>
            <w:r>
              <w:rPr>
                <w:rFonts w:ascii="Arial" w:cs="Arial" w:eastAsia="Arial" w:hAnsi="Arial"/>
                <w:sz w:val="19"/>
                <w:szCs w:val="19"/>
                <w:color w:val="auto"/>
              </w:rPr>
              <w:t>Nonmalignant claims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9"/>
              <w:spacing w:after="0"/>
              <w:rPr>
                <w:sz w:val="20"/>
                <w:szCs w:val="20"/>
                <w:color w:val="auto"/>
              </w:rPr>
            </w:pPr>
            <w:r>
              <w:rPr>
                <w:rFonts w:ascii="Arial" w:cs="Arial" w:eastAsia="Arial" w:hAnsi="Arial"/>
                <w:sz w:val="19"/>
                <w:szCs w:val="19"/>
                <w:color w:val="auto"/>
              </w:rPr>
              <w:t>1,400</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1,000</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9"/>
              <w:spacing w:after="0"/>
              <w:rPr>
                <w:sz w:val="20"/>
                <w:szCs w:val="20"/>
                <w:color w:val="auto"/>
              </w:rPr>
            </w:pPr>
            <w:r>
              <w:rPr>
                <w:rFonts w:ascii="Arial" w:cs="Arial" w:eastAsia="Arial" w:hAnsi="Arial"/>
                <w:sz w:val="19"/>
                <w:szCs w:val="19"/>
                <w:color w:val="auto"/>
              </w:rPr>
              <w:t>1,300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10"/>
              <w:spacing w:after="0"/>
              <w:rPr>
                <w:sz w:val="20"/>
                <w:szCs w:val="20"/>
                <w:color w:val="auto"/>
              </w:rPr>
            </w:pPr>
            <w:r>
              <w:rPr>
                <w:rFonts w:ascii="Arial" w:cs="Arial" w:eastAsia="Arial" w:hAnsi="Arial"/>
                <w:sz w:val="19"/>
                <w:szCs w:val="19"/>
                <w:color w:val="auto"/>
              </w:rPr>
              <w:t>200</w:t>
            </w:r>
          </w:p>
        </w:tc>
        <w:tc>
          <w:tcPr>
            <w:tcW w:w="10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1,500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It is not possible to predict whether resolution values for Bendix related asbestos claims will increase, decrease or stabilize in the future.</w:t>
      </w:r>
    </w:p>
    <w:p>
      <w:pPr>
        <w:spacing w:after="0" w:line="8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resolution of pending (claims actually filed as of the financial statement date) and future Bendix 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78"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The liability for future claims represents the estimated value of future asbestos related bodily injury claims expected to be asserted against Bendix over the next five years. Such estimated cost of future Bendix 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future NARCO related asbestos claims liability.</w:t>
      </w:r>
    </w:p>
    <w:p>
      <w:pPr>
        <w:spacing w:after="0" w:line="91" w:lineRule="exact"/>
        <w:rPr>
          <w:sz w:val="20"/>
          <w:szCs w:val="20"/>
          <w:color w:val="auto"/>
        </w:rPr>
      </w:pPr>
    </w:p>
    <w:p>
      <w:pPr>
        <w:ind w:right="180" w:firstLine="357"/>
        <w:spacing w:after="0" w:line="241" w:lineRule="auto"/>
        <w:rPr>
          <w:sz w:val="20"/>
          <w:szCs w:val="20"/>
          <w:color w:val="auto"/>
        </w:rPr>
      </w:pPr>
      <w:r>
        <w:rPr>
          <w:rFonts w:ascii="Arial" w:cs="Arial" w:eastAsia="Arial" w:hAnsi="Arial"/>
          <w:sz w:val="19"/>
          <w:szCs w:val="19"/>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historical experience with our insurers, our ongoing review of the solvency of our insurers, our interpretation of judicial determinations relevant to our insurance programs, and our consideration of the impacts of any settlements reached with our insurers. Insurance receivables are also recorded when structured insurance settlements provide for future fixed payment streams that are not contingent upon future claims or other events. Such amounts are recorded at the net present value of the fixed payment stream.</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On a cumulative historical basis, Honeywell has recorded insurance receivables equal to approximately 38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31 percent.</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believes it has sufficient insurance coverage and reserves to cover all pending Bendix related asbestos claims and Bendix related asbestos claims estimated to be filed within the next five years. Although it is impossible to predict the outcome of either pending or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change.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67"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b w:val="1"/>
          <w:bCs w:val="1"/>
          <w:i w:val="1"/>
          <w:iCs w:val="1"/>
          <w:color w:val="auto"/>
        </w:rPr>
        <w:t>Allen, et al. v. Honeywell Retirement Earnings Plan</w:t>
      </w:r>
      <w:r>
        <w:rPr>
          <w:rFonts w:ascii="Arial" w:cs="Arial" w:eastAsia="Arial" w:hAnsi="Arial"/>
          <w:sz w:val="19"/>
          <w:szCs w:val="19"/>
          <w:color w:val="auto"/>
        </w:rPr>
        <w:t>—Pursuant to a settlement approved by the U.S. District Court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District of Arizona in February 2008, 18 of 21 claims alleged by plaintiffs in this class action lawsuit were dismissed with prejudice in exchange for approximately $35 million (paid from the Company’s pension plan) and the maximum aggregate liability for the remaining three claims (alleging that Honeywell impermissibly reduced the pension benefits of certain employees of a predecessor entity when the plan was amended in 1983 and failed to calculate benefits in accordance with the terms of the plan) was capped at $500 million. In October 2009, the Court granted summary judgment in favor of the Honeywell Retirement Earnings Plan with respect to the claim regarding the calculation of benefits. In May 2011, the parties engaged in mediation and reached an agreement in principle to settle the three remaining claims for $ 23.8 million (also to be paid from the Company’s pension plan). The Court approved the settlement on July 20, 2012 and all claims in this matter are now fully resolved.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b w:val="1"/>
          <w:bCs w:val="1"/>
          <w:i w:val="1"/>
          <w:iCs w:val="1"/>
          <w:color w:val="auto"/>
        </w:rPr>
        <w:t>Quick Lube</w:t>
      </w:r>
      <w:r>
        <w:rPr>
          <w:rFonts w:ascii="Arial" w:cs="Arial" w:eastAsia="Arial" w:hAnsi="Arial"/>
          <w:sz w:val="19"/>
          <w:szCs w:val="19"/>
          <w:color w:val="auto"/>
        </w:rPr>
        <w:t>—On March 31, 2008, S&amp;E Quick Lube, a filter distributor, filed suit in U.S. District Court for the District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Connecticut alleging that twelve filter manufacturers, including Honeywell, engaged in a conspiracy to fix prices, rig bids and allocate U.S. customers for aftermarket automotive filters. This suit is a purported class action on behalf of direct purchasers of filters from the defendants. Parallel purported class actions, including on behalf of indirect purchasers of filters, have been filed by other plaintiffs in a variety of jurisdictions in the United States and Canada. The U.S cases have been consolidated into a single multi-district litigation in the Northern District of Illinois. In June 2011, plaintiff’s principal witness pled guilty to a felony count of having made false statements to federal investigators. On March 8, 2012, Honeywell entered into a settlement agreement to resolve the multi-district litigation class action as to all plaintiffs. On October 10, 2012 and November 28, 2012, the District Court for the Northern District of Illinois issued orders granting final approval of the U.S. multi-district litigation settlement as to all plaintiffs. As previously reported, the Antitrust Division of the Department of Justice notified Honeywell in January 2010 that it had officially closed its investigation into possible collusion in the replacement auto filters industry. The class action in Canada is still pending but we do not expect the resolution to have a material impact on our results of operations or operating cash flows in the periods recognized or paid.</w:t>
      </w:r>
    </w:p>
    <w:p>
      <w:pPr>
        <w:spacing w:after="0" w:line="68"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Honeywell v. United Auto Workers (“UAW”) et. al</w:t>
      </w:r>
      <w:r>
        <w:rPr>
          <w:rFonts w:ascii="Arial" w:cs="Arial" w:eastAsia="Arial" w:hAnsi="Arial"/>
          <w:sz w:val="19"/>
          <w:szCs w:val="19"/>
          <w:color w:val="auto"/>
        </w:rPr>
        <w:t>—In July 2011, Honeywell filed an action in federal court (District of New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Jersey) against the UAW and all former employees who retired under a series of Master Collective Bargaining Agreements (“MCBAs”) between Honeywell and the UAW. The Company is seeking a declaratory judgment that certain express limitations on its obligation to contribute toward the healthcare coverage of such retirees (the “CAPS”) set forth in the MCBAs may be implemented, effective January 1, 2012. In September 2011, the UAW and certain retiree defendants filed a motion to dismiss the New Jersey action and filed suit in the Eastern District of Michigan alleging that the MCBAs do not provide for CAPS on the Company’s liability for healthcare coverage. The UAW and retiree plaintiffs subsequently filed a motion for class certification and a motion for partial summary judgment in the Michigan action, seeking a ruling that retirees who retired prior to the initial inclusion of the CAPS in the 2003 MCBA are not covered by the CAPS as a matter of law. In December 2011, the New Jersey action was dismissed on forum grounds. Honeywell appealed the New Jersey court’s dismissal to the United States Court of Appeals for the Third Circuit. The Third Circuit denied the appeal. Honeywell has now answered the UAW’s complaint in Michigan and has asserted a counterclaim for fraudulent inducement.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$175 million, reflecting the estimated value of these CAPS.</w:t>
      </w:r>
    </w:p>
    <w:p>
      <w:pPr>
        <w:spacing w:after="0" w:line="96"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ind w:right="320" w:firstLine="357"/>
        <w:spacing w:after="0" w:line="279" w:lineRule="auto"/>
        <w:rPr>
          <w:sz w:val="20"/>
          <w:szCs w:val="20"/>
          <w:color w:val="auto"/>
        </w:rPr>
      </w:pPr>
      <w:r>
        <w:rPr>
          <w:rFonts w:ascii="Arial" w:cs="Arial" w:eastAsia="Arial" w:hAnsi="Arial"/>
          <w:sz w:val="19"/>
          <w:szCs w:val="19"/>
          <w:b w:val="1"/>
          <w:bCs w:val="1"/>
          <w:i w:val="1"/>
          <w:iCs w:val="1"/>
          <w:color w:val="auto"/>
        </w:rPr>
        <w:t>Warranties and Guarantees</w:t>
      </w:r>
      <w:r>
        <w:rPr>
          <w:rFonts w:ascii="Arial" w:cs="Arial" w:eastAsia="Arial" w:hAnsi="Arial"/>
          <w:sz w:val="19"/>
          <w:szCs w:val="19"/>
          <w:color w:val="auto"/>
        </w:rPr>
        <w:t>—We have issued or are a party to the following direct and indirect guarantees at December 31,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2012:</w:t>
      </w:r>
    </w:p>
    <w:tbl>
      <w:tblPr>
        <w:tblLayout w:type="fixed"/>
        <w:tblInd w:w="100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1460" w:type="dxa"/>
            <w:vAlign w:val="bottom"/>
            <w:gridSpan w:val="2"/>
          </w:tcPr>
          <w:p>
            <w:pPr>
              <w:jc w:val="right"/>
              <w:spacing w:after="0" w:line="177" w:lineRule="exact"/>
              <w:rPr>
                <w:sz w:val="20"/>
                <w:szCs w:val="20"/>
                <w:color w:val="auto"/>
              </w:rPr>
            </w:pPr>
            <w:r>
              <w:rPr>
                <w:rFonts w:ascii="Arial" w:cs="Arial" w:eastAsia="Arial" w:hAnsi="Arial"/>
                <w:sz w:val="16"/>
                <w:szCs w:val="16"/>
                <w:b w:val="1"/>
                <w:bCs w:val="1"/>
                <w:color w:val="auto"/>
                <w:w w:val="98"/>
              </w:rPr>
              <w:t>Maximum Potential</w:t>
            </w:r>
          </w:p>
        </w:tc>
      </w:tr>
      <w:tr>
        <w:trPr>
          <w:trHeight w:val="204"/>
        </w:trPr>
        <w:tc>
          <w:tcPr>
            <w:tcW w:w="7940" w:type="dxa"/>
            <w:vAlign w:val="bottom"/>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Future Payments</w:t>
            </w:r>
          </w:p>
        </w:tc>
      </w:tr>
      <w:tr>
        <w:trPr>
          <w:trHeight w:val="264"/>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Operating lease residual values</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03"/>
              <w:spacing w:after="0"/>
              <w:rPr>
                <w:sz w:val="20"/>
                <w:szCs w:val="20"/>
                <w:color w:val="auto"/>
              </w:rPr>
            </w:pPr>
            <w:r>
              <w:rPr>
                <w:rFonts w:ascii="Arial" w:cs="Arial" w:eastAsia="Arial" w:hAnsi="Arial"/>
                <w:sz w:val="19"/>
                <w:szCs w:val="19"/>
                <w:color w:val="auto"/>
              </w:rPr>
              <w:t>51</w:t>
            </w:r>
          </w:p>
        </w:tc>
      </w:tr>
      <w:tr>
        <w:trPr>
          <w:trHeight w:val="270"/>
        </w:trPr>
        <w:tc>
          <w:tcPr>
            <w:tcW w:w="7940" w:type="dxa"/>
            <w:vAlign w:val="bottom"/>
          </w:tcPr>
          <w:p>
            <w:pPr>
              <w:ind w:left="20"/>
              <w:spacing w:after="0"/>
              <w:rPr>
                <w:sz w:val="20"/>
                <w:szCs w:val="20"/>
                <w:color w:val="auto"/>
              </w:rPr>
            </w:pPr>
            <w:r>
              <w:rPr>
                <w:rFonts w:ascii="Arial" w:cs="Arial" w:eastAsia="Arial" w:hAnsi="Arial"/>
                <w:sz w:val="19"/>
                <w:szCs w:val="19"/>
                <w:color w:val="auto"/>
              </w:rPr>
              <w:t>Other third parties’ financing</w:t>
            </w:r>
          </w:p>
        </w:tc>
        <w:tc>
          <w:tcPr>
            <w:tcW w:w="680" w:type="dxa"/>
            <w:vAlign w:val="bottom"/>
          </w:tcPr>
          <w:p>
            <w:pPr>
              <w:spacing w:after="0"/>
              <w:rPr>
                <w:sz w:val="23"/>
                <w:szCs w:val="23"/>
                <w:color w:val="auto"/>
              </w:rPr>
            </w:pPr>
          </w:p>
        </w:tc>
        <w:tc>
          <w:tcPr>
            <w:tcW w:w="780" w:type="dxa"/>
            <w:vAlign w:val="bottom"/>
          </w:tcPr>
          <w:p>
            <w:pPr>
              <w:jc w:val="right"/>
              <w:ind w:right="403"/>
              <w:spacing w:after="0"/>
              <w:rPr>
                <w:sz w:val="20"/>
                <w:szCs w:val="20"/>
                <w:color w:val="auto"/>
              </w:rPr>
            </w:pPr>
            <w:r>
              <w:rPr>
                <w:rFonts w:ascii="Arial" w:cs="Arial" w:eastAsia="Arial" w:hAnsi="Arial"/>
                <w:sz w:val="19"/>
                <w:szCs w:val="19"/>
                <w:color w:val="auto"/>
              </w:rPr>
              <w:t>5</w:t>
            </w:r>
          </w:p>
        </w:tc>
      </w:tr>
      <w:tr>
        <w:trPr>
          <w:trHeight w:val="270"/>
        </w:trPr>
        <w:tc>
          <w:tcPr>
            <w:tcW w:w="7940" w:type="dxa"/>
            <w:vAlign w:val="bottom"/>
            <w:shd w:val="clear" w:color="auto" w:fill="E5FFFF"/>
          </w:tcPr>
          <w:p>
            <w:pPr>
              <w:ind w:left="20"/>
              <w:spacing w:after="0"/>
              <w:rPr>
                <w:sz w:val="20"/>
                <w:szCs w:val="20"/>
                <w:color w:val="auto"/>
              </w:rPr>
            </w:pPr>
            <w:r>
              <w:rPr>
                <w:rFonts w:ascii="Arial" w:cs="Arial" w:eastAsia="Arial" w:hAnsi="Arial"/>
                <w:sz w:val="19"/>
                <w:szCs w:val="19"/>
                <w:color w:val="auto"/>
              </w:rPr>
              <w:t>Unconsolidated affiliates’ financing</w:t>
            </w:r>
          </w:p>
        </w:tc>
        <w:tc>
          <w:tcPr>
            <w:tcW w:w="6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03"/>
              <w:spacing w:after="0"/>
              <w:rPr>
                <w:sz w:val="20"/>
                <w:szCs w:val="20"/>
                <w:color w:val="auto"/>
              </w:rPr>
            </w:pPr>
            <w:r>
              <w:rPr>
                <w:rFonts w:ascii="Arial" w:cs="Arial" w:eastAsia="Arial" w:hAnsi="Arial"/>
                <w:sz w:val="19"/>
                <w:szCs w:val="19"/>
                <w:color w:val="auto"/>
              </w:rPr>
              <w:t>12</w:t>
            </w:r>
          </w:p>
        </w:tc>
      </w:tr>
      <w:tr>
        <w:trPr>
          <w:trHeight w:val="270"/>
        </w:trPr>
        <w:tc>
          <w:tcPr>
            <w:tcW w:w="7940" w:type="dxa"/>
            <w:vAlign w:val="bottom"/>
          </w:tcPr>
          <w:p>
            <w:pPr>
              <w:ind w:left="20"/>
              <w:spacing w:after="0"/>
              <w:rPr>
                <w:sz w:val="20"/>
                <w:szCs w:val="20"/>
                <w:color w:val="auto"/>
              </w:rPr>
            </w:pPr>
            <w:r>
              <w:rPr>
                <w:rFonts w:ascii="Arial" w:cs="Arial" w:eastAsia="Arial" w:hAnsi="Arial"/>
                <w:sz w:val="19"/>
                <w:szCs w:val="19"/>
                <w:color w:val="auto"/>
              </w:rPr>
              <w:t>Customer financing</w:t>
            </w:r>
          </w:p>
        </w:tc>
        <w:tc>
          <w:tcPr>
            <w:tcW w:w="6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color w:val="auto"/>
              </w:rPr>
              <w:t>9</w:t>
            </w:r>
          </w:p>
        </w:tc>
      </w:tr>
      <w:tr>
        <w:trPr>
          <w:trHeight w:val="34"/>
        </w:trPr>
        <w:tc>
          <w:tcPr>
            <w:tcW w:w="7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940" w:type="dxa"/>
            <w:vAlign w:val="bottom"/>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shd w:val="clear" w:color="auto" w:fill="E5FFFF"/>
          </w:tcPr>
          <w:p>
            <w:pPr>
              <w:jc w:val="right"/>
              <w:ind w:right="403"/>
              <w:spacing w:after="0"/>
              <w:rPr>
                <w:sz w:val="20"/>
                <w:szCs w:val="20"/>
                <w:color w:val="auto"/>
              </w:rPr>
            </w:pPr>
            <w:r>
              <w:rPr>
                <w:rFonts w:ascii="Arial" w:cs="Arial" w:eastAsia="Arial" w:hAnsi="Arial"/>
                <w:sz w:val="19"/>
                <w:szCs w:val="19"/>
                <w:color w:val="auto"/>
              </w:rPr>
              <w:t>77</w:t>
            </w:r>
          </w:p>
        </w:tc>
      </w:tr>
      <w:tr>
        <w:trPr>
          <w:trHeight w:val="20"/>
        </w:trPr>
        <w:tc>
          <w:tcPr>
            <w:tcW w:w="7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280" w:firstLine="357"/>
        <w:spacing w:after="0" w:line="253" w:lineRule="auto"/>
        <w:rPr>
          <w:sz w:val="20"/>
          <w:szCs w:val="20"/>
          <w:color w:val="auto"/>
        </w:rPr>
      </w:pPr>
      <w:r>
        <w:rPr>
          <w:rFonts w:ascii="Arial" w:cs="Arial" w:eastAsia="Arial" w:hAnsi="Arial"/>
          <w:sz w:val="19"/>
          <w:szCs w:val="19"/>
          <w:color w:val="auto"/>
        </w:rPr>
        <w:t>We do not expect that these guarantees will have a material adverse effect on our consolidated results of operations, financial position or liquidity.</w:t>
      </w:r>
    </w:p>
    <w:p>
      <w:pPr>
        <w:spacing w:after="0" w:line="80"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87"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Years Ended</w:t>
      </w:r>
    </w:p>
    <w:p>
      <w:pPr>
        <w:spacing w:after="0" w:line="11"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December 31,</w:t>
      </w:r>
    </w:p>
    <w:tbl>
      <w:tblPr>
        <w:tblLayout w:type="fixed"/>
        <w:tblInd w:w="50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2011</w:t>
            </w: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2010</w:t>
            </w:r>
          </w:p>
        </w:tc>
      </w:tr>
      <w:tr>
        <w:trPr>
          <w:trHeight w:val="264"/>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402</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415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407</w:t>
            </w:r>
          </w:p>
        </w:tc>
      </w:tr>
      <w:tr>
        <w:trPr>
          <w:trHeight w:val="270"/>
        </w:trPr>
        <w:tc>
          <w:tcPr>
            <w:tcW w:w="7460" w:type="dxa"/>
            <w:vAlign w:val="bottom"/>
          </w:tcPr>
          <w:p>
            <w:pPr>
              <w:ind w:left="20"/>
              <w:spacing w:after="0"/>
              <w:rPr>
                <w:sz w:val="20"/>
                <w:szCs w:val="20"/>
                <w:color w:val="auto"/>
              </w:rPr>
            </w:pPr>
            <w:r>
              <w:rPr>
                <w:rFonts w:ascii="Arial" w:cs="Arial" w:eastAsia="Arial" w:hAnsi="Arial"/>
                <w:sz w:val="19"/>
                <w:szCs w:val="19"/>
                <w:color w:val="auto"/>
              </w:rPr>
              <w:t>Accruals for warranties/guarantees issued during the year</w:t>
            </w:r>
          </w:p>
        </w:tc>
        <w:tc>
          <w:tcPr>
            <w:tcW w:w="200" w:type="dxa"/>
            <w:vAlign w:val="bottom"/>
          </w:tcPr>
          <w:p>
            <w:pPr>
              <w:spacing w:after="0"/>
              <w:rPr>
                <w:sz w:val="23"/>
                <w:szCs w:val="23"/>
                <w:color w:val="auto"/>
              </w:rPr>
            </w:pPr>
          </w:p>
        </w:tc>
        <w:tc>
          <w:tcPr>
            <w:tcW w:w="580" w:type="dxa"/>
            <w:vAlign w:val="bottom"/>
          </w:tcPr>
          <w:p>
            <w:pPr>
              <w:jc w:val="right"/>
              <w:ind w:right="46"/>
              <w:spacing w:after="0"/>
              <w:rPr>
                <w:sz w:val="20"/>
                <w:szCs w:val="20"/>
                <w:color w:val="auto"/>
              </w:rPr>
            </w:pPr>
            <w:r>
              <w:rPr>
                <w:rFonts w:ascii="Arial" w:cs="Arial" w:eastAsia="Arial" w:hAnsi="Arial"/>
                <w:sz w:val="19"/>
                <w:szCs w:val="19"/>
                <w:color w:val="auto"/>
              </w:rPr>
              <w:t>196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66"/>
              <w:spacing w:after="0"/>
              <w:rPr>
                <w:sz w:val="20"/>
                <w:szCs w:val="20"/>
                <w:color w:val="auto"/>
              </w:rPr>
            </w:pPr>
            <w:r>
              <w:rPr>
                <w:rFonts w:ascii="Arial" w:cs="Arial" w:eastAsia="Arial" w:hAnsi="Arial"/>
                <w:sz w:val="19"/>
                <w:szCs w:val="19"/>
                <w:color w:val="auto"/>
              </w:rPr>
              <w:t>197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214</w:t>
            </w: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Adjustment of pre-existing warranties/guarantees</w:t>
            </w: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(13 )</w:t>
            </w:r>
          </w:p>
        </w:tc>
      </w:tr>
      <w:tr>
        <w:trPr>
          <w:trHeight w:val="270"/>
        </w:trPr>
        <w:tc>
          <w:tcPr>
            <w:tcW w:w="7460" w:type="dxa"/>
            <w:vAlign w:val="bottom"/>
          </w:tcPr>
          <w:p>
            <w:pPr>
              <w:ind w:left="20"/>
              <w:spacing w:after="0"/>
              <w:rPr>
                <w:sz w:val="20"/>
                <w:szCs w:val="20"/>
                <w:color w:val="auto"/>
              </w:rPr>
            </w:pPr>
            <w:r>
              <w:rPr>
                <w:rFonts w:ascii="Arial" w:cs="Arial" w:eastAsia="Arial" w:hAnsi="Arial"/>
                <w:sz w:val="19"/>
                <w:szCs w:val="19"/>
                <w:color w:val="auto"/>
              </w:rPr>
              <w:t>Settlement of warranty/guarantee claims</w:t>
            </w: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(193 )</w:t>
            </w:r>
          </w:p>
        </w:tc>
      </w:tr>
      <w:tr>
        <w:trPr>
          <w:trHeight w:val="34"/>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End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407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402</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415</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Product warranties and product performance guarantees are included in the following balance sheet accounts: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5"/>
              </w:rPr>
              <w:t>2011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3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Accrued liabilities</w:t>
            </w:r>
          </w:p>
        </w:tc>
        <w:tc>
          <w:tcPr>
            <w:tcW w:w="61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$ 375</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367</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280" w:type="dxa"/>
            <w:vAlign w:val="bottom"/>
          </w:tcPr>
          <w:p>
            <w:pPr>
              <w:ind w:left="20"/>
              <w:spacing w:after="0"/>
              <w:rPr>
                <w:sz w:val="20"/>
                <w:szCs w:val="20"/>
                <w:color w:val="auto"/>
              </w:rPr>
            </w:pPr>
            <w:r>
              <w:rPr>
                <w:rFonts w:ascii="Arial" w:cs="Arial" w:eastAsia="Arial" w:hAnsi="Arial"/>
                <w:sz w:val="19"/>
                <w:szCs w:val="19"/>
                <w:color w:val="auto"/>
              </w:rPr>
              <w:t>Other liabilities</w:t>
            </w:r>
          </w:p>
        </w:tc>
        <w:tc>
          <w:tcPr>
            <w:tcW w:w="6120" w:type="dxa"/>
            <w:vAlign w:val="bottom"/>
            <w:gridSpan w:val="2"/>
          </w:tcPr>
          <w:p>
            <w:pPr>
              <w:jc w:val="right"/>
              <w:ind w:right="1"/>
              <w:spacing w:after="0"/>
              <w:rPr>
                <w:sz w:val="20"/>
                <w:szCs w:val="20"/>
                <w:color w:val="auto"/>
              </w:rPr>
            </w:pPr>
            <w:r>
              <w:rPr>
                <w:rFonts w:ascii="Arial" w:cs="Arial" w:eastAsia="Arial" w:hAnsi="Arial"/>
                <w:sz w:val="19"/>
                <w:szCs w:val="19"/>
                <w:color w:val="auto"/>
              </w:rPr>
              <w:t>32</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9"/>
                <w:szCs w:val="19"/>
                <w:color w:val="auto"/>
              </w:rPr>
              <w:t>35</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3280" w:type="dxa"/>
            <w:vAlign w:val="bottom"/>
            <w:shd w:val="clear" w:color="auto" w:fill="E5FFFF"/>
          </w:tcPr>
          <w:p>
            <w:pPr>
              <w:spacing w:after="0"/>
              <w:rPr>
                <w:sz w:val="23"/>
                <w:szCs w:val="23"/>
                <w:color w:val="auto"/>
              </w:rPr>
            </w:pPr>
          </w:p>
        </w:tc>
        <w:tc>
          <w:tcPr>
            <w:tcW w:w="61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$ 407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402</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60" w:type="dxa"/>
            <w:vAlign w:val="bottom"/>
            <w:vMerge w:val="restart"/>
          </w:tcPr>
          <w:p>
            <w:pPr>
              <w:jc w:val="right"/>
              <w:ind w:right="3263"/>
              <w:spacing w:after="0"/>
              <w:rPr>
                <w:sz w:val="20"/>
                <w:szCs w:val="20"/>
                <w:color w:val="auto"/>
              </w:rPr>
            </w:pPr>
            <w:r>
              <w:rPr>
                <w:rFonts w:ascii="Arial" w:cs="Arial" w:eastAsia="Arial" w:hAnsi="Arial"/>
                <w:sz w:val="19"/>
                <w:szCs w:val="19"/>
                <w:color w:val="auto"/>
              </w:rPr>
              <w:t>102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23—Pension and Other Postretirement Benefits</w:t>
      </w:r>
    </w:p>
    <w:p>
      <w:pPr>
        <w:spacing w:after="0" w:line="130"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We sponsor both funded and unfunded U.S. and non-U.S. defined benefit pension plans covering the majority of our employees and retirees. Pension benefits for substantially all U.S. employees are provided through non-contributory, qualified and non-qualified defined benefit pension plans. U.S. defined benefit pension plans comprise 76 percent of our projected benefit obligation. All non-union hourly and salaried employees joining Honeywell for the first time after December 31, 2012, are not eligible to participate in Honeywell’s U.S. defined benefit pension plans. Non-U.S. employees, who are not U.S. citizens, are covered by various retirement benefit arrangements, some of which are considered to be defined benefit pension plans for accounting purposes. Non-U.S. defined benefit pension plans comprise 24 percent of our projected benefit obligation.</w:t>
      </w:r>
    </w:p>
    <w:p>
      <w:pPr>
        <w:spacing w:after="0" w:line="91"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also sponsor postretirement benefit plans that provide health care benefits and life insurance coverage to eligible retirees. Our retiree medical plans mainly cover U.S. employees who retire with pension eligibility for prescription drug, hospital, professional and other medical services. Most of the U.S. retiree medical plans require deductibles and copayments, and virtually all are integrated with Medicare. Retiree contributions are generally required based on coverage type, plan and Medicare eligibility. All non-union hourly and salaried employees joining Honeywell after January 1, 2000 are not eligible to participate in our retiree medical and life insurance plans. Less than 5 percent of Honeywell’s U.S. employees are eligible for a retiree medical subsidy from the Company; and this subsidy is limited to a fixed-dollar amount. In addition, more than half of Honeywell’s current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95"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In 2011, in connection with new collective bargaining agreements reached with several of its union groups, Honeywell amended its U.S. retiree medical plans eliminating the subsidy for those union employees resulted in curtailment gains totaling $167 million. The curtailment gains represented the recognition in net periodic postretirement benefit cost of prior service credits attributable to the future years of service of the union groups for which future accrual of benefits was eliminated.</w:t>
      </w:r>
    </w:p>
    <w:p>
      <w:pPr>
        <w:spacing w:after="0" w:line="91"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In 2010, Honeywell amended its U.S. retiree medical plan to no longer offer certain post-age-65 retirees Honeywell group coverage and facilitate their purchase of an individual plan in the Medicare marketplace. This plan amendment reduced the accumulated postretirement benefit obligation by $137 million which will be recognized as part of net periodic postretirement benefit cost over the average future service period to full eligibility of the remaining active union employees still eligible for a retiree medical subsidy. Also in 2010, in connection with a new collective bargaining agreement reached with one of its union groups, Honeywell amended its U.S. retiree medical plan eliminating the subsidy for those union employees who retire after February 1, 2013. This plan amendment reduced the accumulated postretirement benefit obligation by $39 million which will be recognized as part of net periodic postretirement benefit cost over the average future service period to full eligibility of the remaining active union employees still eligible for a retiree medical subsidy. This plan amendment also resulted in a curtailment gain of $37 million in 2010 which represented the recognition in net periodic postretirement benefit cost of prior service credits attributable to the future years of service of the union group for which future accrual of benefits was eliminated.</w:t>
      </w:r>
    </w:p>
    <w:p>
      <w:pPr>
        <w:spacing w:after="0" w:line="78"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The following tables summarize the balance sheet impact, including the benefit obligations, assets and funded status associated with our significant pension and other postretirement benefit plans at December 31, 2012 and 2011.</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6"/>
                <w:szCs w:val="16"/>
                <w:b w:val="1"/>
                <w:bCs w:val="1"/>
                <w:color w:val="auto"/>
              </w:rPr>
              <w:t>Pension Benefits</w:t>
            </w: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6"/>
                <w:szCs w:val="16"/>
                <w:b w:val="1"/>
                <w:bCs w:val="1"/>
                <w:color w:val="auto"/>
              </w:rPr>
              <w:t>U.S. Plans</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37"/>
        </w:trPr>
        <w:tc>
          <w:tcPr>
            <w:tcW w:w="69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 in benefit obligation:</w:t>
            </w:r>
          </w:p>
        </w:tc>
        <w:tc>
          <w:tcPr>
            <w:tcW w:w="20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15,600</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14,990</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5"/>
              <w:spacing w:after="0"/>
              <w:rPr>
                <w:sz w:val="20"/>
                <w:szCs w:val="20"/>
                <w:color w:val="auto"/>
              </w:rPr>
            </w:pPr>
            <w:r>
              <w:rPr>
                <w:rFonts w:ascii="Arial" w:cs="Arial" w:eastAsia="Arial" w:hAnsi="Arial"/>
                <w:sz w:val="19"/>
                <w:szCs w:val="19"/>
                <w:color w:val="auto"/>
              </w:rPr>
              <w:t>4,648</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ind w:right="44"/>
              <w:spacing w:after="0"/>
              <w:rPr>
                <w:sz w:val="20"/>
                <w:szCs w:val="20"/>
                <w:color w:val="auto"/>
              </w:rPr>
            </w:pPr>
            <w:r>
              <w:rPr>
                <w:rFonts w:ascii="Arial" w:cs="Arial" w:eastAsia="Arial" w:hAnsi="Arial"/>
                <w:sz w:val="19"/>
                <w:szCs w:val="19"/>
                <w:color w:val="auto"/>
              </w:rPr>
              <w:t>4,373</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Service cost</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256</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232</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48</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Interest cost</w:t>
            </w:r>
          </w:p>
        </w:tc>
        <w:tc>
          <w:tcPr>
            <w:tcW w:w="20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738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761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65"/>
              <w:spacing w:after="0"/>
              <w:rPr>
                <w:sz w:val="20"/>
                <w:szCs w:val="20"/>
                <w:color w:val="auto"/>
              </w:rPr>
            </w:pPr>
            <w:r>
              <w:rPr>
                <w:rFonts w:ascii="Arial" w:cs="Arial" w:eastAsia="Arial" w:hAnsi="Arial"/>
                <w:sz w:val="19"/>
                <w:szCs w:val="19"/>
                <w:color w:val="auto"/>
              </w:rPr>
              <w:t>221</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9"/>
                <w:szCs w:val="19"/>
                <w:color w:val="auto"/>
              </w:rPr>
              <w:t>239</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Plan amendments</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Actuarial losses</w:t>
            </w:r>
          </w:p>
        </w:tc>
        <w:tc>
          <w:tcPr>
            <w:tcW w:w="20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1,493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566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65"/>
              <w:spacing w:after="0"/>
              <w:rPr>
                <w:sz w:val="20"/>
                <w:szCs w:val="20"/>
                <w:color w:val="auto"/>
              </w:rPr>
            </w:pPr>
            <w:r>
              <w:rPr>
                <w:rFonts w:ascii="Arial" w:cs="Arial" w:eastAsia="Arial" w:hAnsi="Arial"/>
                <w:sz w:val="19"/>
                <w:szCs w:val="19"/>
                <w:color w:val="auto"/>
              </w:rPr>
              <w:t>372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9"/>
                <w:szCs w:val="19"/>
                <w:color w:val="auto"/>
              </w:rPr>
              <w:t>171</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Divestitures</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Benefits paid</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(970 )</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(952 )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(188 )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(189 )</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Settlements and curtailments</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(25 )</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24</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187</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 obligation at end of year</w:t>
            </w: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17,117</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15,600</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5,272</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4,648</w:t>
            </w:r>
          </w:p>
        </w:tc>
        <w:tc>
          <w:tcPr>
            <w:tcW w:w="0" w:type="dxa"/>
            <w:vAlign w:val="bottom"/>
          </w:tcPr>
          <w:p>
            <w:pPr>
              <w:spacing w:after="0"/>
              <w:rPr>
                <w:sz w:val="1"/>
                <w:szCs w:val="1"/>
                <w:color w:val="auto"/>
              </w:rPr>
            </w:pPr>
          </w:p>
        </w:tc>
      </w:tr>
      <w:tr>
        <w:trPr>
          <w:trHeight w:val="277"/>
        </w:trPr>
        <w:tc>
          <w:tcPr>
            <w:tcW w:w="6900" w:type="dxa"/>
            <w:vAlign w:val="bottom"/>
            <w:gridSpan w:val="2"/>
          </w:tcPr>
          <w:p>
            <w:pPr>
              <w:ind w:left="20"/>
              <w:spacing w:after="0"/>
              <w:rPr>
                <w:sz w:val="20"/>
                <w:szCs w:val="20"/>
                <w:color w:val="auto"/>
              </w:rPr>
            </w:pPr>
            <w:r>
              <w:rPr>
                <w:rFonts w:ascii="Arial" w:cs="Arial" w:eastAsia="Arial" w:hAnsi="Arial"/>
                <w:sz w:val="19"/>
                <w:szCs w:val="19"/>
                <w:color w:val="auto"/>
              </w:rPr>
              <w:t>Change in plan assets: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Fair value of plan assets at beginning of year</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12,836</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12,181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3,958</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3,939</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Actual return on plan assets</w:t>
            </w:r>
          </w:p>
        </w:tc>
        <w:tc>
          <w:tcPr>
            <w:tcW w:w="20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1,654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(41 )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65"/>
              <w:spacing w:after="0"/>
              <w:rPr>
                <w:sz w:val="20"/>
                <w:szCs w:val="20"/>
                <w:color w:val="auto"/>
              </w:rPr>
            </w:pPr>
            <w:r>
              <w:rPr>
                <w:rFonts w:ascii="Arial" w:cs="Arial" w:eastAsia="Arial" w:hAnsi="Arial"/>
                <w:sz w:val="19"/>
                <w:szCs w:val="19"/>
                <w:color w:val="auto"/>
              </w:rPr>
              <w:t>336</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9"/>
                <w:szCs w:val="19"/>
                <w:color w:val="auto"/>
              </w:rPr>
              <w:t>87</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Company contributions</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825</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1,681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271</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Divestitures</w:t>
            </w:r>
          </w:p>
        </w:tc>
        <w:tc>
          <w:tcPr>
            <w:tcW w:w="20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(33 )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Benefits paid</w:t>
            </w:r>
          </w:p>
        </w:tc>
        <w:tc>
          <w:tcPr>
            <w:tcW w:w="20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(970 )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(952 )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(188 )</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(189 )</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Settlements and curtailments</w:t>
            </w:r>
          </w:p>
        </w:tc>
        <w:tc>
          <w:tcPr>
            <w:tcW w:w="200" w:type="dxa"/>
            <w:vAlign w:val="bottom"/>
          </w:tcPr>
          <w:p>
            <w:pPr>
              <w:spacing w:after="0"/>
              <w:rPr>
                <w:sz w:val="23"/>
                <w:szCs w:val="23"/>
                <w:color w:val="auto"/>
              </w:rPr>
            </w:pPr>
          </w:p>
        </w:tc>
        <w:tc>
          <w:tcPr>
            <w:tcW w:w="7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(16 )</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(25 )</w:t>
            </w: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166</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304"/>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Fair value of plan assets at end of year</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14,345</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12,836</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4,527</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3,958</w:t>
            </w: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Funded status of plans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(2,772 )</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(2,764 )</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(745 )</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(690 )</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0"/>
              <w:spacing w:after="0"/>
              <w:rPr>
                <w:sz w:val="20"/>
                <w:szCs w:val="20"/>
                <w:color w:val="auto"/>
              </w:rPr>
            </w:pPr>
            <w:r>
              <w:rPr>
                <w:rFonts w:ascii="Arial" w:cs="Arial" w:eastAsia="Arial" w:hAnsi="Arial"/>
                <w:sz w:val="19"/>
                <w:szCs w:val="19"/>
                <w:color w:val="auto"/>
              </w:rPr>
              <w:t>Amounts recognized in Consolidated Balance Sheet consist of: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0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Prepaid pension benefit cost(1)</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87</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70"/>
        </w:trPr>
        <w:tc>
          <w:tcPr>
            <w:tcW w:w="6900" w:type="dxa"/>
            <w:vAlign w:val="bottom"/>
            <w:gridSpan w:val="2"/>
          </w:tcPr>
          <w:p>
            <w:pPr>
              <w:ind w:left="380"/>
              <w:spacing w:after="0"/>
              <w:rPr>
                <w:sz w:val="20"/>
                <w:szCs w:val="20"/>
                <w:color w:val="auto"/>
              </w:rPr>
            </w:pPr>
            <w:r>
              <w:rPr>
                <w:rFonts w:ascii="Arial" w:cs="Arial" w:eastAsia="Arial" w:hAnsi="Arial"/>
                <w:sz w:val="19"/>
                <w:szCs w:val="19"/>
                <w:color w:val="auto"/>
              </w:rPr>
              <w:t>Accrued pension liability(2)</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(2,772 )</w:t>
            </w:r>
          </w:p>
        </w:tc>
        <w:tc>
          <w:tcPr>
            <w:tcW w:w="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(2,764 )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(832 )</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(774 )</w:t>
            </w: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0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amount recognized</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(2,772 )</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(2,764 )</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(745 )</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(690 )</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00" w:type="dxa"/>
            <w:vAlign w:val="bottom"/>
            <w:tcBorders>
              <w:bottom w:val="single" w:sz="8" w:color="auto"/>
            </w:tcBorders>
          </w:tcPr>
          <w:p>
            <w:pPr>
              <w:spacing w:after="0"/>
              <w:rPr>
                <w:sz w:val="21"/>
                <w:szCs w:val="21"/>
                <w:color w:val="auto"/>
              </w:rPr>
            </w:pPr>
          </w:p>
        </w:tc>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Included in Other Assets on Consolidated Balance Sheet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9"/>
          <w:szCs w:val="19"/>
          <w:color w:val="auto"/>
        </w:rPr>
        <w:t>(2) Included in Other Liabilities - Non-Current on Consolidated Balance Sheet</w:t>
      </w: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Other</w:t>
      </w:r>
    </w:p>
    <w:p>
      <w:pPr>
        <w:spacing w:after="0" w:line="3"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Postretirement</w:t>
      </w:r>
    </w:p>
    <w:p>
      <w:pPr>
        <w:jc w:val="center"/>
        <w:ind w:left="8080"/>
        <w:spacing w:after="0"/>
        <w:rPr>
          <w:sz w:val="20"/>
          <w:szCs w:val="20"/>
          <w:color w:val="auto"/>
        </w:rPr>
      </w:pPr>
      <w:r>
        <w:rPr>
          <w:rFonts w:ascii="Arial" w:cs="Arial" w:eastAsia="Arial" w:hAnsi="Arial"/>
          <w:sz w:val="16"/>
          <w:szCs w:val="16"/>
          <w:b w:val="1"/>
          <w:bCs w:val="1"/>
          <w:color w:val="auto"/>
        </w:rPr>
        <w:t>Benefits</w:t>
      </w:r>
    </w:p>
    <w:tbl>
      <w:tblPr>
        <w:tblLayout w:type="fixed"/>
        <w:tblInd w:w="0" w:type="dxa"/>
        <w:tblCellMar>
          <w:top w:w="0" w:type="dxa"/>
          <w:left w:w="0" w:type="dxa"/>
          <w:bottom w:w="0" w:type="dxa"/>
          <w:right w:w="0" w:type="dxa"/>
        </w:tblCellMar>
      </w:tblP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2011</w:t>
            </w:r>
          </w:p>
        </w:tc>
      </w:tr>
      <w:tr>
        <w:trPr>
          <w:trHeight w:val="237"/>
        </w:trPr>
        <w:tc>
          <w:tcPr>
            <w:tcW w:w="500" w:type="dxa"/>
            <w:vAlign w:val="bottom"/>
          </w:tcPr>
          <w:p>
            <w:pPr>
              <w:spacing w:after="0"/>
              <w:rPr>
                <w:sz w:val="20"/>
                <w:szCs w:val="20"/>
                <w:color w:val="auto"/>
              </w:rPr>
            </w:pPr>
          </w:p>
        </w:tc>
        <w:tc>
          <w:tcPr>
            <w:tcW w:w="8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Change in benefit obligation:</w:t>
            </w:r>
          </w:p>
        </w:tc>
        <w:tc>
          <w:tcPr>
            <w:tcW w:w="220" w:type="dxa"/>
            <w:vAlign w:val="bottom"/>
            <w:shd w:val="clear" w:color="auto" w:fill="E5FFFF"/>
          </w:tcPr>
          <w:p>
            <w:pPr>
              <w:spacing w:after="0"/>
              <w:rPr>
                <w:sz w:val="20"/>
                <w:szCs w:val="20"/>
                <w:color w:val="auto"/>
              </w:rPr>
            </w:pPr>
          </w:p>
        </w:tc>
        <w:tc>
          <w:tcPr>
            <w:tcW w:w="7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Benefit obligation at beginning of year</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1,534</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1,628</w:t>
            </w: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Service cost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w:t>
            </w: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Interest cost</w:t>
            </w:r>
          </w:p>
        </w:tc>
        <w:tc>
          <w:tcPr>
            <w:tcW w:w="22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69</w:t>
            </w: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Plan amendments</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(22 )</w:t>
            </w: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Actuarial losses</w:t>
            </w:r>
          </w:p>
        </w:tc>
        <w:tc>
          <w:tcPr>
            <w:tcW w:w="22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34</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6</w:t>
            </w: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Benefits paid</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(144 )</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(138 )</w:t>
            </w: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Settlements and curtailments</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(10 )</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Benefit obligation at end of year</w:t>
            </w: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1,477</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1,534</w:t>
            </w:r>
          </w:p>
        </w:tc>
      </w:tr>
      <w:tr>
        <w:trPr>
          <w:trHeight w:val="277"/>
        </w:trPr>
        <w:tc>
          <w:tcPr>
            <w:tcW w:w="500" w:type="dxa"/>
            <w:vAlign w:val="bottom"/>
          </w:tcPr>
          <w:p>
            <w:pPr>
              <w:spacing w:after="0"/>
              <w:rPr>
                <w:sz w:val="24"/>
                <w:szCs w:val="24"/>
                <w:color w:val="auto"/>
              </w:rPr>
            </w:pPr>
          </w:p>
        </w:tc>
        <w:tc>
          <w:tcPr>
            <w:tcW w:w="8080" w:type="dxa"/>
            <w:vAlign w:val="bottom"/>
            <w:gridSpan w:val="2"/>
          </w:tcPr>
          <w:p>
            <w:pPr>
              <w:ind w:left="20"/>
              <w:spacing w:after="0"/>
              <w:rPr>
                <w:sz w:val="20"/>
                <w:szCs w:val="20"/>
                <w:color w:val="auto"/>
              </w:rPr>
            </w:pPr>
            <w:r>
              <w:rPr>
                <w:rFonts w:ascii="Arial" w:cs="Arial" w:eastAsia="Arial" w:hAnsi="Arial"/>
                <w:sz w:val="19"/>
                <w:szCs w:val="19"/>
                <w:color w:val="auto"/>
              </w:rPr>
              <w:t>Change in plan assets: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Fair value of plan assets at beginning of year</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Actual return on plan assets</w:t>
            </w:r>
          </w:p>
        </w:tc>
        <w:tc>
          <w:tcPr>
            <w:tcW w:w="220" w:type="dxa"/>
            <w:vAlign w:val="bottom"/>
          </w:tcPr>
          <w:p>
            <w:pPr>
              <w:spacing w:after="0"/>
              <w:rPr>
                <w:sz w:val="23"/>
                <w:szCs w:val="23"/>
                <w:color w:val="auto"/>
              </w:rPr>
            </w:pPr>
          </w:p>
        </w:tc>
        <w:tc>
          <w:tcPr>
            <w:tcW w:w="76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Company contributions</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Benefits paid</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Fair value of plan assets at end of year</w:t>
            </w: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r>
      <w:tr>
        <w:trPr>
          <w:trHeight w:val="277"/>
        </w:trPr>
        <w:tc>
          <w:tcPr>
            <w:tcW w:w="500" w:type="dxa"/>
            <w:vAlign w:val="bottom"/>
          </w:tcPr>
          <w:p>
            <w:pPr>
              <w:spacing w:after="0"/>
              <w:rPr>
                <w:sz w:val="24"/>
                <w:szCs w:val="24"/>
                <w:color w:val="auto"/>
              </w:rPr>
            </w:pPr>
          </w:p>
        </w:tc>
        <w:tc>
          <w:tcPr>
            <w:tcW w:w="8080" w:type="dxa"/>
            <w:vAlign w:val="bottom"/>
            <w:gridSpan w:val="2"/>
          </w:tcPr>
          <w:p>
            <w:pPr>
              <w:ind w:left="20"/>
              <w:spacing w:after="0"/>
              <w:rPr>
                <w:sz w:val="20"/>
                <w:szCs w:val="20"/>
                <w:color w:val="auto"/>
              </w:rPr>
            </w:pPr>
            <w:r>
              <w:rPr>
                <w:rFonts w:ascii="Arial" w:cs="Arial" w:eastAsia="Arial" w:hAnsi="Arial"/>
                <w:sz w:val="19"/>
                <w:szCs w:val="19"/>
                <w:color w:val="auto"/>
              </w:rPr>
              <w:t>Funded status of plans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(1,477 )</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(1,534 )</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3"/>
        </w:trPr>
        <w:tc>
          <w:tcPr>
            <w:tcW w:w="500" w:type="dxa"/>
            <w:vAlign w:val="bottom"/>
          </w:tcPr>
          <w:p>
            <w:pPr>
              <w:spacing w:after="0"/>
              <w:rPr>
                <w:sz w:val="21"/>
                <w:szCs w:val="21"/>
                <w:color w:val="auto"/>
              </w:rPr>
            </w:pPr>
          </w:p>
        </w:tc>
        <w:tc>
          <w:tcPr>
            <w:tcW w:w="80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Amounts recognized in Consolidated Balance Sheet consist of:</w:t>
            </w:r>
          </w:p>
        </w:tc>
        <w:tc>
          <w:tcPr>
            <w:tcW w:w="22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r>
      <w:tr>
        <w:trPr>
          <w:trHeight w:val="270"/>
        </w:trPr>
        <w:tc>
          <w:tcPr>
            <w:tcW w:w="500" w:type="dxa"/>
            <w:vAlign w:val="bottom"/>
          </w:tcPr>
          <w:p>
            <w:pPr>
              <w:spacing w:after="0"/>
              <w:rPr>
                <w:sz w:val="23"/>
                <w:szCs w:val="23"/>
                <w:color w:val="auto"/>
              </w:rPr>
            </w:pPr>
          </w:p>
        </w:tc>
        <w:tc>
          <w:tcPr>
            <w:tcW w:w="8080" w:type="dxa"/>
            <w:vAlign w:val="bottom"/>
            <w:gridSpan w:val="2"/>
          </w:tcPr>
          <w:p>
            <w:pPr>
              <w:ind w:left="380"/>
              <w:spacing w:after="0"/>
              <w:rPr>
                <w:sz w:val="20"/>
                <w:szCs w:val="20"/>
                <w:color w:val="auto"/>
              </w:rPr>
            </w:pPr>
            <w:r>
              <w:rPr>
                <w:rFonts w:ascii="Arial" w:cs="Arial" w:eastAsia="Arial" w:hAnsi="Arial"/>
                <w:sz w:val="19"/>
                <w:szCs w:val="19"/>
                <w:color w:val="auto"/>
              </w:rPr>
              <w:t>Accrued liabilities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(167 )</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(167 )</w:t>
            </w:r>
          </w:p>
        </w:tc>
      </w:tr>
      <w:tr>
        <w:trPr>
          <w:trHeight w:val="270"/>
        </w:trPr>
        <w:tc>
          <w:tcPr>
            <w:tcW w:w="500" w:type="dxa"/>
            <w:vAlign w:val="bottom"/>
          </w:tcPr>
          <w:p>
            <w:pPr>
              <w:spacing w:after="0"/>
              <w:rPr>
                <w:sz w:val="23"/>
                <w:szCs w:val="23"/>
                <w:color w:val="auto"/>
              </w:rPr>
            </w:pPr>
          </w:p>
        </w:tc>
        <w:tc>
          <w:tcPr>
            <w:tcW w:w="808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Postretirement benefit obligations other than pensions(1)</w:t>
            </w:r>
          </w:p>
        </w:tc>
        <w:tc>
          <w:tcPr>
            <w:tcW w:w="22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(1,310 )</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(1,367 )</w:t>
            </w:r>
          </w:p>
        </w:tc>
      </w:tr>
      <w:tr>
        <w:trPr>
          <w:trHeight w:val="277"/>
        </w:trPr>
        <w:tc>
          <w:tcPr>
            <w:tcW w:w="500" w:type="dxa"/>
            <w:vAlign w:val="bottom"/>
          </w:tcPr>
          <w:p>
            <w:pPr>
              <w:spacing w:after="0"/>
              <w:rPr>
                <w:sz w:val="24"/>
                <w:szCs w:val="24"/>
                <w:color w:val="auto"/>
              </w:rPr>
            </w:pPr>
          </w:p>
        </w:tc>
        <w:tc>
          <w:tcPr>
            <w:tcW w:w="8080" w:type="dxa"/>
            <w:vAlign w:val="bottom"/>
            <w:gridSpan w:val="2"/>
          </w:tcPr>
          <w:p>
            <w:pPr>
              <w:ind w:left="20"/>
              <w:spacing w:after="0"/>
              <w:rPr>
                <w:sz w:val="20"/>
                <w:szCs w:val="20"/>
                <w:color w:val="auto"/>
              </w:rPr>
            </w:pPr>
            <w:r>
              <w:rPr>
                <w:rFonts w:ascii="Arial" w:cs="Arial" w:eastAsia="Arial" w:hAnsi="Arial"/>
                <w:sz w:val="19"/>
                <w:szCs w:val="19"/>
                <w:color w:val="auto"/>
              </w:rPr>
              <w:t>Net amount recognized</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(1,477 )</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(1,534 )</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9"/>
          <w:szCs w:val="19"/>
          <w:color w:val="auto"/>
        </w:rPr>
        <w:t>(1) Excludes Non-U.S. plans of $55 and $50 million in 2012 and 2011, respectively.</w:t>
      </w:r>
    </w:p>
    <w:p>
      <w:pPr>
        <w:spacing w:after="0" w:line="106" w:lineRule="exact"/>
        <w:rPr>
          <w:sz w:val="20"/>
          <w:szCs w:val="20"/>
          <w:color w:val="auto"/>
        </w:rPr>
      </w:pPr>
    </w:p>
    <w:p>
      <w:pPr>
        <w:ind w:right="440" w:firstLine="357"/>
        <w:spacing w:after="0" w:line="253" w:lineRule="auto"/>
        <w:rPr>
          <w:sz w:val="20"/>
          <w:szCs w:val="20"/>
          <w:color w:val="auto"/>
        </w:rPr>
      </w:pPr>
      <w:r>
        <w:rPr>
          <w:rFonts w:ascii="Arial" w:cs="Arial" w:eastAsia="Arial" w:hAnsi="Arial"/>
          <w:sz w:val="19"/>
          <w:szCs w:val="19"/>
          <w:color w:val="auto"/>
        </w:rPr>
        <w:t>Amounts recognized in Accumulated Other Comprehensive (Income) Loss associated with our significant pension and other postretirement benefit plans at December 31, 2012 and 2011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6"/>
                <w:szCs w:val="16"/>
                <w:b w:val="1"/>
                <w:bCs w:val="1"/>
                <w:color w:val="auto"/>
              </w:rPr>
              <w:t>Pension Benefits</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Plans</w:t>
            </w:r>
          </w:p>
        </w:tc>
        <w:tc>
          <w:tcPr>
            <w:tcW w:w="6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6"/>
                <w:szCs w:val="16"/>
                <w:b w:val="1"/>
                <w:bCs w:val="1"/>
                <w:color w:val="auto"/>
              </w:rPr>
              <w:t>Non-U.S. Plans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5"/>
              </w:rPr>
              <w:t>2011</w:t>
            </w:r>
          </w:p>
        </w:tc>
        <w:tc>
          <w:tcPr>
            <w:tcW w:w="300" w:type="dxa"/>
            <w:vAlign w:val="bottom"/>
          </w:tcPr>
          <w:p>
            <w:pPr>
              <w:spacing w:after="0"/>
              <w:rPr>
                <w:sz w:val="17"/>
                <w:szCs w:val="17"/>
                <w:color w:val="auto"/>
              </w:rPr>
            </w:pPr>
          </w:p>
        </w:tc>
        <w:tc>
          <w:tcPr>
            <w:tcW w:w="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w w:val="95"/>
              </w:rPr>
              <w:t>2011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3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Transition obligation</w:t>
            </w:r>
          </w:p>
        </w:tc>
        <w:tc>
          <w:tcPr>
            <w:tcW w:w="2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52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50"/>
              <w:spacing w:after="0"/>
              <w:rPr>
                <w:sz w:val="20"/>
                <w:szCs w:val="20"/>
                <w:color w:val="auto"/>
              </w:rPr>
            </w:pPr>
            <w:r>
              <w:rPr>
                <w:rFonts w:ascii="Arial" w:cs="Arial" w:eastAsia="Arial" w:hAnsi="Arial"/>
                <w:sz w:val="19"/>
                <w:szCs w:val="19"/>
                <w:color w:val="auto"/>
              </w:rPr>
              <w:t>5</w:t>
            </w:r>
          </w:p>
        </w:tc>
        <w:tc>
          <w:tcPr>
            <w:tcW w:w="52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7</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9"/>
                <w:szCs w:val="19"/>
                <w:color w:val="auto"/>
              </w:rPr>
              <w:t>Prior service cost (credit)</w:t>
            </w:r>
          </w:p>
        </w:tc>
        <w:tc>
          <w:tcPr>
            <w:tcW w:w="2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9"/>
                <w:szCs w:val="19"/>
                <w:color w:val="auto"/>
              </w:rPr>
              <w:t>120</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9"/>
              <w:spacing w:after="0"/>
              <w:rPr>
                <w:sz w:val="20"/>
                <w:szCs w:val="20"/>
                <w:color w:val="auto"/>
              </w:rPr>
            </w:pPr>
            <w:r>
              <w:rPr>
                <w:rFonts w:ascii="Arial" w:cs="Arial" w:eastAsia="Arial" w:hAnsi="Arial"/>
                <w:sz w:val="19"/>
                <w:szCs w:val="19"/>
                <w:color w:val="auto"/>
              </w:rPr>
              <w:t>148</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(16 )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(17 )</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actuarial loss</w:t>
            </w:r>
          </w:p>
        </w:tc>
        <w:tc>
          <w:tcPr>
            <w:tcW w:w="264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1,712</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1,559</w:t>
            </w:r>
          </w:p>
        </w:tc>
        <w:tc>
          <w:tcPr>
            <w:tcW w:w="30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9"/>
                <w:szCs w:val="19"/>
                <w:color w:val="auto"/>
              </w:rPr>
              <w:t>530</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8"/>
              <w:spacing w:after="0"/>
              <w:rPr>
                <w:sz w:val="20"/>
                <w:szCs w:val="20"/>
                <w:color w:val="auto"/>
              </w:rPr>
            </w:pPr>
            <w:r>
              <w:rPr>
                <w:rFonts w:ascii="Arial" w:cs="Arial" w:eastAsia="Arial" w:hAnsi="Arial"/>
                <w:sz w:val="19"/>
                <w:szCs w:val="19"/>
                <w:color w:val="auto"/>
              </w:rPr>
              <w:t>430</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9"/>
                <w:szCs w:val="19"/>
                <w:color w:val="auto"/>
              </w:rPr>
              <w:t>Net amount recognized</w:t>
            </w:r>
          </w:p>
        </w:tc>
        <w:tc>
          <w:tcPr>
            <w:tcW w:w="26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color w:val="auto"/>
              </w:rPr>
              <w:t>1,832</w:t>
            </w:r>
          </w:p>
        </w:tc>
        <w:tc>
          <w:tcPr>
            <w:tcW w:w="30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color w:val="auto"/>
              </w:rPr>
              <w:t>1,707</w:t>
            </w:r>
          </w:p>
        </w:tc>
        <w:tc>
          <w:tcPr>
            <w:tcW w:w="300" w:type="dxa"/>
            <w:vAlign w:val="bottom"/>
          </w:tcPr>
          <w:p>
            <w:pPr>
              <w:spacing w:after="0"/>
              <w:rPr>
                <w:sz w:val="24"/>
                <w:szCs w:val="24"/>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9"/>
                <w:szCs w:val="19"/>
                <w:color w:val="auto"/>
              </w:rPr>
              <w:t>519</w:t>
            </w:r>
          </w:p>
        </w:tc>
        <w:tc>
          <w:tcPr>
            <w:tcW w:w="300" w:type="dxa"/>
            <w:vAlign w:val="bottom"/>
            <w:gridSpan w:val="2"/>
          </w:tcPr>
          <w:p>
            <w:pPr>
              <w:spacing w:after="0"/>
              <w:rPr>
                <w:sz w:val="24"/>
                <w:szCs w:val="24"/>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420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8"/>
              </w:rPr>
              <w:t>Other</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6"/>
          </w:tcPr>
          <w:p>
            <w:pPr>
              <w:jc w:val="center"/>
              <w:ind w:right="68"/>
              <w:spacing w:after="0" w:line="176" w:lineRule="exact"/>
              <w:rPr>
                <w:sz w:val="20"/>
                <w:szCs w:val="20"/>
                <w:color w:val="auto"/>
              </w:rPr>
            </w:pPr>
            <w:r>
              <w:rPr>
                <w:rFonts w:ascii="Arial" w:cs="Arial" w:eastAsia="Arial" w:hAnsi="Arial"/>
                <w:sz w:val="16"/>
                <w:szCs w:val="16"/>
                <w:b w:val="1"/>
                <w:bCs w:val="1"/>
                <w:color w:val="auto"/>
                <w:w w:val="97"/>
              </w:rPr>
              <w:t>Postretirement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center"/>
              <w:ind w:left="330"/>
              <w:spacing w:after="0"/>
              <w:rPr>
                <w:sz w:val="20"/>
                <w:szCs w:val="20"/>
                <w:color w:val="auto"/>
              </w:rPr>
            </w:pPr>
            <w:r>
              <w:rPr>
                <w:rFonts w:ascii="Arial" w:cs="Arial" w:eastAsia="Arial" w:hAnsi="Arial"/>
                <w:sz w:val="16"/>
                <w:szCs w:val="16"/>
                <w:b w:val="1"/>
                <w:bCs w:val="1"/>
                <w:color w:val="auto"/>
                <w:w w:val="98"/>
              </w:rPr>
              <w:t>Benefits</w:t>
            </w:r>
          </w:p>
        </w:tc>
        <w:tc>
          <w:tcPr>
            <w:tcW w:w="5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Prior service (credit)</w:t>
            </w:r>
          </w:p>
        </w:tc>
        <w:tc>
          <w:tcPr>
            <w:tcW w:w="26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(48 )</w:t>
            </w:r>
          </w:p>
        </w:tc>
        <w:tc>
          <w:tcPr>
            <w:tcW w:w="52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(67 )</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9"/>
                <w:szCs w:val="19"/>
                <w:color w:val="auto"/>
              </w:rPr>
              <w:t>Net actuarial loss</w:t>
            </w:r>
          </w:p>
        </w:tc>
        <w:tc>
          <w:tcPr>
            <w:tcW w:w="2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color w:val="auto"/>
              </w:rPr>
              <w:t>391</w:t>
            </w:r>
          </w:p>
        </w:tc>
        <w:tc>
          <w:tcPr>
            <w:tcW w:w="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391</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3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amount recognized</w:t>
            </w:r>
          </w:p>
        </w:tc>
        <w:tc>
          <w:tcPr>
            <w:tcW w:w="26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20" w:type="dxa"/>
            <w:vAlign w:val="bottom"/>
            <w:shd w:val="clear" w:color="auto" w:fill="E5FFFF"/>
          </w:tcPr>
          <w:p>
            <w:pPr>
              <w:spacing w:after="0"/>
              <w:rPr>
                <w:sz w:val="23"/>
                <w:szCs w:val="23"/>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343</w:t>
            </w:r>
          </w:p>
        </w:tc>
        <w:tc>
          <w:tcPr>
            <w:tcW w:w="1100" w:type="dxa"/>
            <w:vAlign w:val="bottom"/>
            <w:gridSpan w:val="5"/>
            <w:shd w:val="clear" w:color="auto" w:fill="E5FFFF"/>
          </w:tcPr>
          <w:p>
            <w:pPr>
              <w:jc w:val="right"/>
              <w:ind w:right="68"/>
              <w:spacing w:after="0"/>
              <w:rPr>
                <w:sz w:val="20"/>
                <w:szCs w:val="20"/>
                <w:color w:val="auto"/>
              </w:rPr>
            </w:pPr>
            <w:r>
              <w:rPr>
                <w:rFonts w:ascii="Arial" w:cs="Arial" w:eastAsia="Arial" w:hAnsi="Arial"/>
                <w:sz w:val="19"/>
                <w:szCs w:val="19"/>
                <w:color w:val="auto"/>
              </w:rPr>
              <w:t>$ 324</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40" w:type="dxa"/>
            <w:vAlign w:val="bottom"/>
            <w:vMerge w:val="restart"/>
          </w:tcPr>
          <w:p>
            <w:pPr>
              <w:jc w:val="right"/>
              <w:ind w:right="763"/>
              <w:spacing w:after="0"/>
              <w:rPr>
                <w:sz w:val="20"/>
                <w:szCs w:val="20"/>
                <w:color w:val="auto"/>
              </w:rPr>
            </w:pPr>
            <w:r>
              <w:rPr>
                <w:rFonts w:ascii="Arial" w:cs="Arial" w:eastAsia="Arial" w:hAnsi="Arial"/>
                <w:sz w:val="19"/>
                <w:szCs w:val="19"/>
                <w:color w:val="auto"/>
              </w:rPr>
              <w:t>105</w:t>
            </w: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720" w:firstLine="357"/>
        <w:spacing w:after="0" w:line="253" w:lineRule="auto"/>
        <w:rPr>
          <w:sz w:val="20"/>
          <w:szCs w:val="20"/>
          <w:color w:val="auto"/>
        </w:rPr>
      </w:pPr>
      <w:r>
        <w:rPr>
          <w:rFonts w:ascii="Arial" w:cs="Arial" w:eastAsia="Arial" w:hAnsi="Arial"/>
          <w:sz w:val="19"/>
          <w:szCs w:val="19"/>
          <w:color w:val="auto"/>
        </w:rPr>
        <w:t>The components of net periodic benefit cost and other amounts recognized in other comprehensive (income) loss for our significant plans for the years ended December 31, 2012, 2011, and 2010 include the following components: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6"/>
                <w:szCs w:val="16"/>
                <w:b w:val="1"/>
                <w:bCs w:val="1"/>
                <w:color w:val="auto"/>
              </w:rPr>
              <w:t>Pension Benefits</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U.S. Plans</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9"/>
              </w:rPr>
              <w:t>Non-U.S. Plans</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260" w:type="dxa"/>
            <w:vAlign w:val="bottom"/>
            <w:gridSpan w:val="2"/>
          </w:tcPr>
          <w:p>
            <w:pPr>
              <w:spacing w:after="0"/>
              <w:rPr>
                <w:sz w:val="17"/>
                <w:szCs w:val="17"/>
                <w:color w:val="auto"/>
              </w:rPr>
            </w:pPr>
          </w:p>
        </w:tc>
        <w:tc>
          <w:tcPr>
            <w:tcW w:w="9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64"/>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Service cost</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2"/>
                <w:szCs w:val="22"/>
                <w:color w:val="auto"/>
              </w:rPr>
            </w:pP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256</w:t>
            </w:r>
          </w:p>
        </w:tc>
        <w:tc>
          <w:tcPr>
            <w:tcW w:w="46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232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221</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48</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59</w:t>
            </w: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Interest cost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738</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761</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768</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221</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239</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Expected return on plan assets</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(1,020 )</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(1,014 )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(291 )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(284 )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(248 )</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Amortization of transition obligation</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Amortization of prior service cost (credit)</w:t>
            </w:r>
          </w:p>
        </w:tc>
        <w:tc>
          <w:tcPr>
            <w:tcW w:w="1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28</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33</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32</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Recognition of actuarial losses</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707</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1,568</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182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250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234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289</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Settlements and curtailments</w:t>
            </w:r>
          </w:p>
        </w:tc>
        <w:tc>
          <w:tcPr>
            <w:tcW w:w="160" w:type="dxa"/>
            <w:vAlign w:val="bottom"/>
            <w:tcBorders>
              <w:bottom w:val="single" w:sz="8" w:color="auto"/>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24</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2</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w:t>
            </w:r>
          </w:p>
        </w:tc>
        <w:tc>
          <w:tcPr>
            <w:tcW w:w="28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58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304"/>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Net periodic benefit cost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709</w:t>
            </w:r>
          </w:p>
        </w:tc>
        <w:tc>
          <w:tcPr>
            <w:tcW w:w="46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1,604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301</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230</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249</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324</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Other Changes in Plan Assets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Plans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9"/>
              </w:rPr>
              <w:t>Non-U.S. Plans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5120" w:type="dxa"/>
            <w:vAlign w:val="bottom"/>
            <w:gridSpan w:val="3"/>
            <w:vMerge w:val="restart"/>
          </w:tcPr>
          <w:p>
            <w:pPr>
              <w:ind w:left="20"/>
              <w:spacing w:after="0" w:line="176" w:lineRule="exact"/>
              <w:rPr>
                <w:sz w:val="20"/>
                <w:szCs w:val="20"/>
                <w:color w:val="auto"/>
              </w:rPr>
            </w:pPr>
            <w:r>
              <w:rPr>
                <w:rFonts w:ascii="Arial" w:cs="Arial" w:eastAsia="Arial" w:hAnsi="Arial"/>
                <w:sz w:val="16"/>
                <w:szCs w:val="16"/>
                <w:b w:val="1"/>
                <w:bCs w:val="1"/>
                <w:color w:val="auto"/>
              </w:rPr>
              <w:t>Benefits Obligations Recognized in</w:t>
            </w: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4"/>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1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95"/>
              </w:rPr>
              <w:t>2012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64"/>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Actuarial (gains)/losses</w:t>
            </w: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859</w:t>
            </w:r>
          </w:p>
        </w:tc>
        <w:tc>
          <w:tcPr>
            <w:tcW w:w="46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1,628</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325</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327</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368</w:t>
            </w: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(20 )</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Prior service cost (credit)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5</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117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Transition obligation recognized during year</w:t>
            </w:r>
          </w:p>
        </w:tc>
        <w:tc>
          <w:tcPr>
            <w:tcW w:w="1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Prior service (cost) credit recognized during year</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(28 )</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(33 )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(32 )</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0"/>
        </w:trPr>
        <w:tc>
          <w:tcPr>
            <w:tcW w:w="512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Actuarial losses recognized during year</w:t>
            </w:r>
          </w:p>
        </w:tc>
        <w:tc>
          <w:tcPr>
            <w:tcW w:w="1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(707 )</w:t>
            </w:r>
          </w:p>
        </w:tc>
        <w:tc>
          <w:tcPr>
            <w:tcW w:w="2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(1,568 )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(182 )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(234 )</w:t>
            </w:r>
          </w:p>
        </w:tc>
        <w:tc>
          <w:tcPr>
            <w:tcW w:w="2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(289 )</w:t>
            </w:r>
          </w:p>
        </w:tc>
        <w:tc>
          <w:tcPr>
            <w:tcW w:w="0" w:type="dxa"/>
            <w:vAlign w:val="bottom"/>
          </w:tcPr>
          <w:p>
            <w:pPr>
              <w:spacing w:after="0"/>
              <w:rPr>
                <w:sz w:val="1"/>
                <w:szCs w:val="1"/>
                <w:color w:val="auto"/>
              </w:rPr>
            </w:pPr>
          </w:p>
        </w:tc>
      </w:tr>
      <w:tr>
        <w:trPr>
          <w:trHeight w:val="270"/>
        </w:trPr>
        <w:tc>
          <w:tcPr>
            <w:tcW w:w="5120" w:type="dxa"/>
            <w:vAlign w:val="bottom"/>
            <w:gridSpan w:val="3"/>
          </w:tcPr>
          <w:p>
            <w:pPr>
              <w:ind w:left="20"/>
              <w:spacing w:after="0"/>
              <w:rPr>
                <w:sz w:val="20"/>
                <w:szCs w:val="20"/>
                <w:color w:val="auto"/>
              </w:rPr>
            </w:pPr>
            <w:r>
              <w:rPr>
                <w:rFonts w:ascii="Arial" w:cs="Arial" w:eastAsia="Arial" w:hAnsi="Arial"/>
                <w:sz w:val="19"/>
                <w:szCs w:val="19"/>
                <w:color w:val="auto"/>
              </w:rPr>
              <w:t>Foreign exchange translation adjustments</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23</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(11 )</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(17 )</w:t>
            </w:r>
          </w:p>
        </w:tc>
        <w:tc>
          <w:tcPr>
            <w:tcW w:w="0" w:type="dxa"/>
            <w:vAlign w:val="bottom"/>
          </w:tcPr>
          <w:p>
            <w:pPr>
              <w:spacing w:after="0"/>
              <w:rPr>
                <w:sz w:val="1"/>
                <w:szCs w:val="1"/>
                <w:color w:val="auto"/>
              </w:rPr>
            </w:pPr>
          </w:p>
        </w:tc>
      </w:tr>
      <w:tr>
        <w:trPr>
          <w:trHeight w:val="34"/>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gridSpan w:val="3"/>
            <w:shd w:val="clear" w:color="auto" w:fill="E5FFFF"/>
          </w:tcPr>
          <w:p>
            <w:pPr>
              <w:ind w:left="380"/>
              <w:spacing w:after="0"/>
              <w:rPr>
                <w:sz w:val="20"/>
                <w:szCs w:val="20"/>
                <w:color w:val="auto"/>
              </w:rPr>
            </w:pPr>
            <w:r>
              <w:rPr>
                <w:rFonts w:ascii="Arial" w:cs="Arial" w:eastAsia="Arial" w:hAnsi="Arial"/>
                <w:sz w:val="19"/>
                <w:szCs w:val="19"/>
                <w:color w:val="auto"/>
              </w:rPr>
              <w:t>Total recognized in other comprehensive</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E5FFFF"/>
          </w:tcPr>
          <w:p>
            <w:pPr>
              <w:ind w:left="560"/>
              <w:spacing w:after="0"/>
              <w:rPr>
                <w:sz w:val="20"/>
                <w:szCs w:val="20"/>
                <w:color w:val="auto"/>
              </w:rPr>
            </w:pPr>
            <w:r>
              <w:rPr>
                <w:rFonts w:ascii="Arial" w:cs="Arial" w:eastAsia="Arial" w:hAnsi="Arial"/>
                <w:sz w:val="19"/>
                <w:szCs w:val="19"/>
                <w:color w:val="auto"/>
              </w:rPr>
              <w:t>(income) loss</w:t>
            </w: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124</w:t>
            </w:r>
          </w:p>
        </w:tc>
        <w:tc>
          <w:tcPr>
            <w:tcW w:w="46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228</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100</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123</w:t>
            </w: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(326 )</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ind w:left="380"/>
              <w:spacing w:after="0"/>
              <w:rPr>
                <w:sz w:val="20"/>
                <w:szCs w:val="20"/>
                <w:color w:val="auto"/>
              </w:rPr>
            </w:pPr>
            <w:r>
              <w:rPr>
                <w:rFonts w:ascii="Arial" w:cs="Arial" w:eastAsia="Arial" w:hAnsi="Arial"/>
                <w:sz w:val="19"/>
                <w:szCs w:val="19"/>
                <w:color w:val="auto"/>
              </w:rPr>
              <w:t>Total recognized in net periodic benefit cost and other</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2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ind w:left="560"/>
              <w:spacing w:after="0"/>
              <w:rPr>
                <w:sz w:val="20"/>
                <w:szCs w:val="20"/>
                <w:color w:val="auto"/>
              </w:rPr>
            </w:pPr>
            <w:r>
              <w:rPr>
                <w:rFonts w:ascii="Arial" w:cs="Arial" w:eastAsia="Arial" w:hAnsi="Arial"/>
                <w:sz w:val="19"/>
                <w:szCs w:val="19"/>
                <w:color w:val="auto"/>
              </w:rPr>
              <w:t>comprehensive (income) loss</w:t>
            </w: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64"/>
              <w:spacing w:after="0"/>
              <w:rPr>
                <w:sz w:val="20"/>
                <w:szCs w:val="20"/>
                <w:color w:val="auto"/>
              </w:rPr>
            </w:pPr>
            <w:r>
              <w:rPr>
                <w:rFonts w:ascii="Arial" w:cs="Arial" w:eastAsia="Arial" w:hAnsi="Arial"/>
                <w:sz w:val="19"/>
                <w:szCs w:val="19"/>
                <w:color w:val="auto"/>
              </w:rPr>
              <w:t>833</w:t>
            </w:r>
          </w:p>
        </w:tc>
        <w:tc>
          <w:tcPr>
            <w:tcW w:w="46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5"/>
              <w:spacing w:after="0"/>
              <w:rPr>
                <w:sz w:val="20"/>
                <w:szCs w:val="20"/>
                <w:color w:val="auto"/>
              </w:rPr>
            </w:pPr>
            <w:r>
              <w:rPr>
                <w:rFonts w:ascii="Arial" w:cs="Arial" w:eastAsia="Arial" w:hAnsi="Arial"/>
                <w:sz w:val="19"/>
                <w:szCs w:val="19"/>
                <w:color w:val="auto"/>
              </w:rPr>
              <w:t>1,636</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529</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330</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45"/>
              <w:spacing w:after="0"/>
              <w:rPr>
                <w:sz w:val="20"/>
                <w:szCs w:val="20"/>
                <w:color w:val="auto"/>
              </w:rPr>
            </w:pPr>
            <w:r>
              <w:rPr>
                <w:rFonts w:ascii="Arial" w:cs="Arial" w:eastAsia="Arial" w:hAnsi="Arial"/>
                <w:sz w:val="19"/>
                <w:szCs w:val="19"/>
                <w:color w:val="auto"/>
              </w:rPr>
              <w:t>372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The estimated prior service cost for pension benefits that will be amortized from accumulated other comprehensive (income) loss into net periodic benefit cost in 2013 are expected to be $23 million and $(2) million for U.S. and Non-U.S. benefit plans, respectively.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6"/>
          </w:tcPr>
          <w:p>
            <w:pPr>
              <w:jc w:val="center"/>
              <w:ind w:left="268"/>
              <w:spacing w:after="0"/>
              <w:rPr>
                <w:sz w:val="20"/>
                <w:szCs w:val="20"/>
                <w:color w:val="auto"/>
              </w:rPr>
            </w:pPr>
            <w:r>
              <w:rPr>
                <w:rFonts w:ascii="Arial" w:cs="Arial" w:eastAsia="Arial" w:hAnsi="Arial"/>
                <w:sz w:val="16"/>
                <w:szCs w:val="16"/>
                <w:b w:val="1"/>
                <w:bCs w:val="1"/>
                <w:color w:val="auto"/>
                <w:w w:val="98"/>
              </w:rPr>
              <w:t>Other Postretirement</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6"/>
          </w:tcPr>
          <w:p>
            <w:pPr>
              <w:jc w:val="center"/>
              <w:ind w:left="268"/>
              <w:spacing w:after="0" w:line="176" w:lineRule="exact"/>
              <w:rPr>
                <w:sz w:val="20"/>
                <w:szCs w:val="20"/>
                <w:color w:val="auto"/>
              </w:rPr>
            </w:pPr>
            <w:r>
              <w:rPr>
                <w:rFonts w:ascii="Arial" w:cs="Arial" w:eastAsia="Arial" w:hAnsi="Arial"/>
                <w:sz w:val="16"/>
                <w:szCs w:val="16"/>
                <w:b w:val="1"/>
                <w:bCs w:val="1"/>
                <w:color w:val="auto"/>
                <w:w w:val="98"/>
              </w:rPr>
              <w:t>Benefits Years Ended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38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w w:val="95"/>
              </w:rPr>
              <w:t>2010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4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Service cost</w:t>
            </w:r>
          </w:p>
        </w:tc>
        <w:tc>
          <w:tcPr>
            <w:tcW w:w="42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1</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2"/>
                <w:szCs w:val="22"/>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9"/>
                <w:szCs w:val="19"/>
                <w:color w:val="auto"/>
              </w:rPr>
              <w:t>Interest cost</w:t>
            </w:r>
          </w:p>
        </w:tc>
        <w:tc>
          <w:tcPr>
            <w:tcW w:w="3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69</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Amortization of prior service (credit)</w:t>
            </w:r>
          </w:p>
        </w:tc>
        <w:tc>
          <w:tcPr>
            <w:tcW w:w="38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7"/>
              </w:rPr>
              <w:t>(14 )</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(34 )</w:t>
            </w:r>
          </w:p>
        </w:tc>
        <w:tc>
          <w:tcPr>
            <w:tcW w:w="3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9"/>
                <w:szCs w:val="19"/>
                <w:color w:val="auto"/>
              </w:rPr>
              <w:t>Recognition of actuarial losses</w:t>
            </w:r>
          </w:p>
        </w:tc>
        <w:tc>
          <w:tcPr>
            <w:tcW w:w="3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9"/>
                <w:szCs w:val="19"/>
                <w:color w:val="auto"/>
              </w:rPr>
              <w:t>34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9"/>
                <w:szCs w:val="19"/>
                <w:color w:val="auto"/>
              </w:rPr>
              <w:t>38</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06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Settlements and curtailments</w:t>
            </w:r>
          </w:p>
        </w:tc>
        <w:tc>
          <w:tcPr>
            <w:tcW w:w="380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(6 )</w:t>
            </w:r>
          </w:p>
        </w:tc>
        <w:tc>
          <w:tcPr>
            <w:tcW w:w="300" w:type="dxa"/>
            <w:vAlign w:val="bottom"/>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(167 )</w:t>
            </w:r>
          </w:p>
        </w:tc>
        <w:tc>
          <w:tcPr>
            <w:tcW w:w="32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9"/>
                <w:szCs w:val="19"/>
                <w:color w:val="auto"/>
              </w:rPr>
              <w:t>Net periodic benefit (income) cost</w:t>
            </w:r>
          </w:p>
        </w:tc>
        <w:tc>
          <w:tcPr>
            <w:tcW w:w="42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ind w:right="48"/>
              <w:spacing w:after="0"/>
              <w:rPr>
                <w:sz w:val="20"/>
                <w:szCs w:val="20"/>
                <w:color w:val="auto"/>
              </w:rPr>
            </w:pPr>
            <w:r>
              <w:rPr>
                <w:rFonts w:ascii="Arial" w:cs="Arial" w:eastAsia="Arial" w:hAnsi="Arial"/>
                <w:sz w:val="19"/>
                <w:szCs w:val="19"/>
                <w:color w:val="auto"/>
              </w:rPr>
              <w:t>68</w:t>
            </w: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(93 )</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66"/>
              <w:spacing w:after="0"/>
              <w:rPr>
                <w:sz w:val="20"/>
                <w:szCs w:val="20"/>
                <w:color w:val="auto"/>
              </w:rPr>
            </w:pPr>
            <w:r>
              <w:rPr>
                <w:rFonts w:ascii="Arial" w:cs="Arial" w:eastAsia="Arial" w:hAnsi="Arial"/>
                <w:sz w:val="19"/>
                <w:szCs w:val="19"/>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0" w:type="dxa"/>
            <w:vAlign w:val="bottom"/>
            <w:vMerge w:val="restart"/>
          </w:tcPr>
          <w:p>
            <w:pPr>
              <w:jc w:val="right"/>
              <w:ind w:right="2383"/>
              <w:spacing w:after="0"/>
              <w:rPr>
                <w:sz w:val="20"/>
                <w:szCs w:val="20"/>
                <w:color w:val="auto"/>
              </w:rPr>
            </w:pPr>
            <w:r>
              <w:rPr>
                <w:rFonts w:ascii="Arial" w:cs="Arial" w:eastAsia="Arial" w:hAnsi="Arial"/>
                <w:sz w:val="19"/>
                <w:szCs w:val="19"/>
                <w:color w:val="auto"/>
              </w:rPr>
              <w:t>106</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Other Changes in Plan Assets and Benefits Obligations</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7"/>
          </w:tcPr>
          <w:p>
            <w:pPr>
              <w:jc w:val="right"/>
              <w:ind w:right="285"/>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Recognized in Other Comprehensive (Income) Loss</w:t>
            </w:r>
          </w:p>
        </w:tc>
        <w:tc>
          <w:tcPr>
            <w:tcW w:w="28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2010</w:t>
            </w:r>
          </w:p>
        </w:tc>
      </w:tr>
      <w:tr>
        <w:trPr>
          <w:trHeight w:val="264"/>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losses</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34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160</w:t>
            </w:r>
          </w:p>
        </w:tc>
      </w:tr>
      <w:tr>
        <w:trPr>
          <w:trHeight w:val="270"/>
        </w:trPr>
        <w:tc>
          <w:tcPr>
            <w:tcW w:w="7820" w:type="dxa"/>
            <w:vAlign w:val="bottom"/>
          </w:tcPr>
          <w:p>
            <w:pPr>
              <w:ind w:left="20"/>
              <w:spacing w:after="0"/>
              <w:rPr>
                <w:sz w:val="20"/>
                <w:szCs w:val="20"/>
                <w:color w:val="auto"/>
              </w:rPr>
            </w:pPr>
            <w:r>
              <w:rPr>
                <w:rFonts w:ascii="Arial" w:cs="Arial" w:eastAsia="Arial" w:hAnsi="Arial"/>
                <w:sz w:val="19"/>
                <w:szCs w:val="19"/>
                <w:color w:val="auto"/>
              </w:rPr>
              <w:t>Prior service (credit)</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(21 )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(176 )</w:t>
            </w:r>
          </w:p>
        </w:tc>
      </w:tr>
      <w:tr>
        <w:trPr>
          <w:trHeight w:val="270"/>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Prior service credit recognized during year</w:t>
            </w:r>
          </w:p>
        </w:tc>
        <w:tc>
          <w:tcPr>
            <w:tcW w:w="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14</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34</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44</w:t>
            </w:r>
          </w:p>
        </w:tc>
      </w:tr>
      <w:tr>
        <w:trPr>
          <w:trHeight w:val="270"/>
        </w:trPr>
        <w:tc>
          <w:tcPr>
            <w:tcW w:w="7820" w:type="dxa"/>
            <w:vAlign w:val="bottom"/>
          </w:tcPr>
          <w:p>
            <w:pPr>
              <w:ind w:left="20"/>
              <w:spacing w:after="0"/>
              <w:rPr>
                <w:sz w:val="20"/>
                <w:szCs w:val="20"/>
                <w:color w:val="auto"/>
              </w:rPr>
            </w:pPr>
            <w:r>
              <w:rPr>
                <w:rFonts w:ascii="Arial" w:cs="Arial" w:eastAsia="Arial" w:hAnsi="Arial"/>
                <w:sz w:val="19"/>
                <w:szCs w:val="19"/>
                <w:color w:val="auto"/>
              </w:rPr>
              <w:t>Actuarial losses recognized during year</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w w:val="97"/>
              </w:rPr>
              <w:t>(34 )</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(38 )</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(34 )</w:t>
            </w:r>
          </w:p>
        </w:tc>
      </w:tr>
      <w:tr>
        <w:trPr>
          <w:trHeight w:val="270"/>
        </w:trPr>
        <w:tc>
          <w:tcPr>
            <w:tcW w:w="7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Settlements and curtailments</w:t>
            </w:r>
          </w:p>
        </w:tc>
        <w:tc>
          <w:tcPr>
            <w:tcW w:w="28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167</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20" w:type="dxa"/>
            <w:vAlign w:val="bottom"/>
            <w:tcBorders>
              <w:bottom w:val="single" w:sz="8" w:color="auto"/>
            </w:tcBorders>
            <w:shd w:val="clear" w:color="auto" w:fill="E5FFFF"/>
          </w:tcPr>
          <w:p>
            <w:pPr>
              <w:jc w:val="right"/>
              <w:ind w:right="65"/>
              <w:spacing w:after="0"/>
              <w:rPr>
                <w:sz w:val="20"/>
                <w:szCs w:val="20"/>
                <w:color w:val="auto"/>
              </w:rPr>
            </w:pPr>
            <w:r>
              <w:rPr>
                <w:rFonts w:ascii="Arial" w:cs="Arial" w:eastAsia="Arial" w:hAnsi="Arial"/>
                <w:sz w:val="19"/>
                <w:szCs w:val="19"/>
                <w:color w:val="auto"/>
              </w:rPr>
              <w:t>47</w:t>
            </w:r>
          </w:p>
        </w:tc>
      </w:tr>
      <w:tr>
        <w:trPr>
          <w:trHeight w:val="304"/>
        </w:trPr>
        <w:tc>
          <w:tcPr>
            <w:tcW w:w="7820" w:type="dxa"/>
            <w:vAlign w:val="bottom"/>
          </w:tcPr>
          <w:p>
            <w:pPr>
              <w:ind w:left="380"/>
              <w:spacing w:after="0"/>
              <w:rPr>
                <w:sz w:val="20"/>
                <w:szCs w:val="20"/>
                <w:color w:val="auto"/>
              </w:rPr>
            </w:pPr>
            <w:r>
              <w:rPr>
                <w:rFonts w:ascii="Arial" w:cs="Arial" w:eastAsia="Arial" w:hAnsi="Arial"/>
                <w:sz w:val="19"/>
                <w:szCs w:val="19"/>
                <w:color w:val="auto"/>
              </w:rPr>
              <w:t>Total recognized in other comprehensive loss (income)</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ind w:right="45"/>
              <w:spacing w:after="0"/>
              <w:rPr>
                <w:sz w:val="20"/>
                <w:szCs w:val="20"/>
                <w:color w:val="auto"/>
              </w:rPr>
            </w:pPr>
            <w:r>
              <w:rPr>
                <w:rFonts w:ascii="Arial" w:cs="Arial" w:eastAsia="Arial" w:hAnsi="Arial"/>
                <w:sz w:val="19"/>
                <w:szCs w:val="19"/>
                <w:color w:val="auto"/>
              </w:rPr>
              <w:t>19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65"/>
              <w:spacing w:after="0"/>
              <w:rPr>
                <w:sz w:val="20"/>
                <w:szCs w:val="20"/>
                <w:color w:val="auto"/>
              </w:rPr>
            </w:pPr>
            <w:r>
              <w:rPr>
                <w:rFonts w:ascii="Arial" w:cs="Arial" w:eastAsia="Arial" w:hAnsi="Arial"/>
                <w:sz w:val="19"/>
                <w:szCs w:val="19"/>
                <w:color w:val="auto"/>
              </w:rPr>
              <w:t>148</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65"/>
              <w:spacing w:after="0"/>
              <w:rPr>
                <w:sz w:val="20"/>
                <w:szCs w:val="20"/>
                <w:color w:val="auto"/>
              </w:rPr>
            </w:pPr>
            <w:r>
              <w:rPr>
                <w:rFonts w:ascii="Arial" w:cs="Arial" w:eastAsia="Arial" w:hAnsi="Arial"/>
                <w:sz w:val="19"/>
                <w:szCs w:val="19"/>
                <w:color w:val="auto"/>
              </w:rPr>
              <w:t>41</w:t>
            </w:r>
          </w:p>
        </w:tc>
      </w:tr>
      <w:tr>
        <w:trPr>
          <w:trHeight w:val="20"/>
        </w:trPr>
        <w:tc>
          <w:tcPr>
            <w:tcW w:w="7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70"/>
        </w:trPr>
        <w:tc>
          <w:tcPr>
            <w:tcW w:w="7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Total recognized in net periodic benefit cost and other comprehensive loss (income)</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87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55</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65"/>
              <w:spacing w:after="0"/>
              <w:rPr>
                <w:sz w:val="20"/>
                <w:szCs w:val="20"/>
                <w:color w:val="auto"/>
              </w:rPr>
            </w:pPr>
            <w:r>
              <w:rPr>
                <w:rFonts w:ascii="Arial" w:cs="Arial" w:eastAsia="Arial" w:hAnsi="Arial"/>
                <w:sz w:val="19"/>
                <w:szCs w:val="19"/>
                <w:color w:val="auto"/>
              </w:rPr>
              <w:t>67</w:t>
            </w:r>
          </w:p>
        </w:tc>
      </w:tr>
      <w:tr>
        <w:trPr>
          <w:trHeight w:val="20"/>
        </w:trPr>
        <w:tc>
          <w:tcPr>
            <w:tcW w:w="7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The estimated net loss and prior service (credit) for other postretirement benefits that will be amortized from accumulated other comprehensive (income) loss into net periodic benefit cost in 2013 are expected to be $41 and $(13) million, respectively.</w:t>
      </w:r>
    </w:p>
    <w:p>
      <w:pPr>
        <w:spacing w:after="0" w:line="80"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Major actuarial assumptions used in determining the benefit obligations and net periodic benefit cost for our significant benefit plans are presented in the following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6"/>
                <w:szCs w:val="16"/>
                <w:b w:val="1"/>
                <w:bCs w:val="1"/>
                <w:color w:val="auto"/>
              </w:rPr>
              <w:t>Pension Benefits</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U.S. Plans</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9"/>
              </w:rPr>
              <w:t>Non-U.S. Plans</w:t>
            </w: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760" w:type="dxa"/>
            <w:vAlign w:val="bottom"/>
          </w:tcPr>
          <w:p>
            <w:pPr>
              <w:jc w:val="right"/>
              <w:ind w:right="106"/>
              <w:spacing w:after="0"/>
              <w:rPr>
                <w:sz w:val="20"/>
                <w:szCs w:val="20"/>
                <w:color w:val="auto"/>
              </w:rPr>
            </w:pPr>
            <w:r>
              <w:rPr>
                <w:rFonts w:ascii="Arial" w:cs="Arial" w:eastAsia="Arial" w:hAnsi="Arial"/>
                <w:sz w:val="16"/>
                <w:szCs w:val="16"/>
                <w:b w:val="1"/>
                <w:bCs w:val="1"/>
                <w:color w:val="auto"/>
              </w:rPr>
              <w:t>2012</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ind w:right="121"/>
              <w:spacing w:after="0"/>
              <w:rPr>
                <w:sz w:val="20"/>
                <w:szCs w:val="20"/>
                <w:color w:val="auto"/>
              </w:rPr>
            </w:pPr>
            <w:r>
              <w:rPr>
                <w:rFonts w:ascii="Arial" w:cs="Arial" w:eastAsia="Arial" w:hAnsi="Arial"/>
                <w:sz w:val="16"/>
                <w:szCs w:val="16"/>
                <w:b w:val="1"/>
                <w:bCs w:val="1"/>
                <w:color w:val="auto"/>
              </w:rPr>
              <w:t>2012</w:t>
            </w:r>
          </w:p>
        </w:tc>
        <w:tc>
          <w:tcPr>
            <w:tcW w:w="1040" w:type="dxa"/>
            <w:vAlign w:val="bottom"/>
            <w:gridSpan w:val="2"/>
          </w:tcPr>
          <w:p>
            <w:pPr>
              <w:jc w:val="center"/>
              <w:ind w:left="191"/>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17"/>
                <w:szCs w:val="17"/>
                <w:color w:val="auto"/>
              </w:rPr>
            </w:pPr>
          </w:p>
        </w:tc>
      </w:tr>
      <w:tr>
        <w:trPr>
          <w:trHeight w:val="223"/>
        </w:trPr>
        <w:tc>
          <w:tcPr>
            <w:tcW w:w="5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assumptions used to determine benefit obligations</w:t>
            </w:r>
          </w:p>
        </w:tc>
        <w:tc>
          <w:tcPr>
            <w:tcW w:w="7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tcBorders>
              <w:top w:val="single" w:sz="8" w:color="auto"/>
            </w:tcBorders>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7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tcBorders>
              <w:top w:val="single" w:sz="8" w:color="auto"/>
            </w:tcBorders>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40" w:type="dxa"/>
            <w:vAlign w:val="bottom"/>
            <w:tcBorders>
              <w:top w:val="single" w:sz="8" w:color="auto"/>
            </w:tcBorders>
            <w:shd w:val="clear" w:color="auto" w:fill="E5FFFF"/>
          </w:tcPr>
          <w:p>
            <w:pPr>
              <w:spacing w:after="0"/>
              <w:rPr>
                <w:sz w:val="19"/>
                <w:szCs w:val="19"/>
                <w:color w:val="auto"/>
              </w:rPr>
            </w:pPr>
          </w:p>
        </w:tc>
        <w:tc>
          <w:tcPr>
            <w:tcW w:w="20" w:type="dxa"/>
            <w:vAlign w:val="bottom"/>
            <w:tcBorders>
              <w:top w:val="single" w:sz="8" w:color="auto"/>
            </w:tcBorders>
            <w:shd w:val="clear" w:color="auto" w:fill="E5FFFF"/>
          </w:tcPr>
          <w:p>
            <w:pPr>
              <w:spacing w:after="0"/>
              <w:rPr>
                <w:sz w:val="19"/>
                <w:szCs w:val="19"/>
                <w:color w:val="auto"/>
              </w:rPr>
            </w:pPr>
          </w:p>
        </w:tc>
      </w:tr>
      <w:tr>
        <w:trPr>
          <w:trHeight w:val="230"/>
        </w:trPr>
        <w:tc>
          <w:tcPr>
            <w:tcW w:w="54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as of December 31:</w:t>
            </w:r>
          </w:p>
        </w:tc>
        <w:tc>
          <w:tcPr>
            <w:tcW w:w="7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7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r>
      <w:tr>
        <w:trPr>
          <w:trHeight w:val="270"/>
        </w:trPr>
        <w:tc>
          <w:tcPr>
            <w:tcW w:w="5460" w:type="dxa"/>
            <w:vAlign w:val="bottom"/>
          </w:tcPr>
          <w:p>
            <w:pPr>
              <w:ind w:left="380"/>
              <w:spacing w:after="0"/>
              <w:rPr>
                <w:sz w:val="20"/>
                <w:szCs w:val="20"/>
                <w:color w:val="auto"/>
              </w:rPr>
            </w:pPr>
            <w:r>
              <w:rPr>
                <w:rFonts w:ascii="Arial" w:cs="Arial" w:eastAsia="Arial" w:hAnsi="Arial"/>
                <w:sz w:val="19"/>
                <w:szCs w:val="19"/>
                <w:color w:val="auto"/>
              </w:rPr>
              <w:t>Discount rate</w:t>
            </w:r>
          </w:p>
        </w:tc>
        <w:tc>
          <w:tcPr>
            <w:tcW w:w="760" w:type="dxa"/>
            <w:vAlign w:val="bottom"/>
          </w:tcPr>
          <w:p>
            <w:pPr>
              <w:jc w:val="right"/>
              <w:spacing w:after="0"/>
              <w:rPr>
                <w:sz w:val="20"/>
                <w:szCs w:val="20"/>
                <w:color w:val="auto"/>
              </w:rPr>
            </w:pPr>
            <w:r>
              <w:rPr>
                <w:rFonts w:ascii="Arial" w:cs="Arial" w:eastAsia="Arial" w:hAnsi="Arial"/>
                <w:sz w:val="19"/>
                <w:szCs w:val="19"/>
                <w:color w:val="auto"/>
              </w:rPr>
              <w:t>4.06 %</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4.89 %</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5.25 %</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4.29 %</w:t>
            </w:r>
          </w:p>
        </w:tc>
        <w:tc>
          <w:tcPr>
            <w:tcW w:w="1040" w:type="dxa"/>
            <w:vAlign w:val="bottom"/>
            <w:gridSpan w:val="2"/>
          </w:tcPr>
          <w:p>
            <w:pPr>
              <w:ind w:left="400"/>
              <w:spacing w:after="0"/>
              <w:rPr>
                <w:sz w:val="20"/>
                <w:szCs w:val="20"/>
                <w:color w:val="auto"/>
              </w:rPr>
            </w:pPr>
            <w:r>
              <w:rPr>
                <w:rFonts w:ascii="Arial" w:cs="Arial" w:eastAsia="Arial" w:hAnsi="Arial"/>
                <w:sz w:val="19"/>
                <w:szCs w:val="19"/>
                <w:color w:val="auto"/>
              </w:rPr>
              <w:t>4.84 %</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5.40 %</w:t>
            </w:r>
          </w:p>
        </w:tc>
        <w:tc>
          <w:tcPr>
            <w:tcW w:w="20" w:type="dxa"/>
            <w:vAlign w:val="bottom"/>
          </w:tcPr>
          <w:p>
            <w:pPr>
              <w:spacing w:after="0"/>
              <w:rPr>
                <w:sz w:val="23"/>
                <w:szCs w:val="23"/>
                <w:color w:val="auto"/>
              </w:rPr>
            </w:pPr>
          </w:p>
        </w:tc>
      </w:tr>
      <w:tr>
        <w:trPr>
          <w:trHeight w:val="270"/>
        </w:trPr>
        <w:tc>
          <w:tcPr>
            <w:tcW w:w="5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rate of compensation increase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4.50 %</w:t>
            </w: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3.55 %</w:t>
            </w:r>
          </w:p>
        </w:tc>
        <w:tc>
          <w:tcPr>
            <w:tcW w:w="104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rPr>
              <w:t>3.67 %</w:t>
            </w:r>
          </w:p>
        </w:tc>
        <w:tc>
          <w:tcPr>
            <w:tcW w:w="28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3.79 %</w:t>
            </w:r>
          </w:p>
        </w:tc>
        <w:tc>
          <w:tcPr>
            <w:tcW w:w="20" w:type="dxa"/>
            <w:vAlign w:val="bottom"/>
            <w:shd w:val="clear" w:color="auto" w:fill="E5FFFF"/>
          </w:tcPr>
          <w:p>
            <w:pPr>
              <w:spacing w:after="0"/>
              <w:rPr>
                <w:sz w:val="23"/>
                <w:szCs w:val="23"/>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9"/>
                <w:szCs w:val="19"/>
                <w:color w:val="auto"/>
              </w:rPr>
              <w:t>Actuarial assumptions used to determine net periodic</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460" w:type="dxa"/>
            <w:vAlign w:val="bottom"/>
          </w:tcPr>
          <w:p>
            <w:pPr>
              <w:ind w:left="200"/>
              <w:spacing w:after="0" w:line="216" w:lineRule="exact"/>
              <w:rPr>
                <w:sz w:val="20"/>
                <w:szCs w:val="20"/>
                <w:color w:val="auto"/>
              </w:rPr>
            </w:pPr>
            <w:r>
              <w:rPr>
                <w:rFonts w:ascii="Arial" w:cs="Arial" w:eastAsia="Arial" w:hAnsi="Arial"/>
                <w:sz w:val="19"/>
                <w:szCs w:val="19"/>
                <w:color w:val="auto"/>
              </w:rPr>
              <w:t>benefit cost for years ended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60" w:type="dxa"/>
            <w:vAlign w:val="bottom"/>
          </w:tcPr>
          <w:p>
            <w:pPr>
              <w:ind w:left="200"/>
              <w:spacing w:after="0"/>
              <w:rPr>
                <w:sz w:val="20"/>
                <w:szCs w:val="20"/>
                <w:color w:val="auto"/>
              </w:rPr>
            </w:pPr>
            <w:r>
              <w:rPr>
                <w:rFonts w:ascii="Arial" w:cs="Arial" w:eastAsia="Arial" w:hAnsi="Arial"/>
                <w:sz w:val="19"/>
                <w:szCs w:val="19"/>
                <w:color w:val="auto"/>
              </w:rPr>
              <w:t>December 31:</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5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Discount rate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4.89 %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5.25 %</w:t>
            </w: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5.75 %</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4.84 %</w:t>
            </w:r>
          </w:p>
        </w:tc>
        <w:tc>
          <w:tcPr>
            <w:tcW w:w="104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rPr>
              <w:t>5.40 %</w:t>
            </w:r>
          </w:p>
        </w:tc>
        <w:tc>
          <w:tcPr>
            <w:tcW w:w="28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5.71 %</w:t>
            </w:r>
          </w:p>
        </w:tc>
        <w:tc>
          <w:tcPr>
            <w:tcW w:w="20" w:type="dxa"/>
            <w:vAlign w:val="bottom"/>
            <w:shd w:val="clear" w:color="auto" w:fill="E5FFFF"/>
          </w:tcPr>
          <w:p>
            <w:pPr>
              <w:spacing w:after="0"/>
              <w:rPr>
                <w:sz w:val="23"/>
                <w:szCs w:val="23"/>
                <w:color w:val="auto"/>
              </w:rPr>
            </w:pPr>
          </w:p>
        </w:tc>
      </w:tr>
      <w:tr>
        <w:trPr>
          <w:trHeight w:val="270"/>
        </w:trPr>
        <w:tc>
          <w:tcPr>
            <w:tcW w:w="5460" w:type="dxa"/>
            <w:vAlign w:val="bottom"/>
          </w:tcPr>
          <w:p>
            <w:pPr>
              <w:ind w:left="380"/>
              <w:spacing w:after="0"/>
              <w:rPr>
                <w:sz w:val="20"/>
                <w:szCs w:val="20"/>
                <w:color w:val="auto"/>
              </w:rPr>
            </w:pPr>
            <w:r>
              <w:rPr>
                <w:rFonts w:ascii="Arial" w:cs="Arial" w:eastAsia="Arial" w:hAnsi="Arial"/>
                <w:sz w:val="19"/>
                <w:szCs w:val="19"/>
                <w:color w:val="auto"/>
              </w:rPr>
              <w:t>Expected rate of return on plan assets</w:t>
            </w:r>
          </w:p>
        </w:tc>
        <w:tc>
          <w:tcPr>
            <w:tcW w:w="760" w:type="dxa"/>
            <w:vAlign w:val="bottom"/>
          </w:tcPr>
          <w:p>
            <w:pPr>
              <w:jc w:val="right"/>
              <w:spacing w:after="0"/>
              <w:rPr>
                <w:sz w:val="20"/>
                <w:szCs w:val="20"/>
                <w:color w:val="auto"/>
              </w:rPr>
            </w:pPr>
            <w:r>
              <w:rPr>
                <w:rFonts w:ascii="Arial" w:cs="Arial" w:eastAsia="Arial" w:hAnsi="Arial"/>
                <w:sz w:val="19"/>
                <w:szCs w:val="19"/>
                <w:color w:val="auto"/>
              </w:rPr>
              <w:t>8.00 %</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8.00 %</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9.00 %</w:t>
            </w: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7.03 %</w:t>
            </w:r>
          </w:p>
        </w:tc>
        <w:tc>
          <w:tcPr>
            <w:tcW w:w="1040" w:type="dxa"/>
            <w:vAlign w:val="bottom"/>
            <w:gridSpan w:val="2"/>
          </w:tcPr>
          <w:p>
            <w:pPr>
              <w:ind w:left="400"/>
              <w:spacing w:after="0"/>
              <w:rPr>
                <w:sz w:val="20"/>
                <w:szCs w:val="20"/>
                <w:color w:val="auto"/>
              </w:rPr>
            </w:pPr>
            <w:r>
              <w:rPr>
                <w:rFonts w:ascii="Arial" w:cs="Arial" w:eastAsia="Arial" w:hAnsi="Arial"/>
                <w:sz w:val="19"/>
                <w:szCs w:val="19"/>
                <w:color w:val="auto"/>
              </w:rPr>
              <w:t>7.06 %</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7.51 %</w:t>
            </w:r>
          </w:p>
        </w:tc>
        <w:tc>
          <w:tcPr>
            <w:tcW w:w="20" w:type="dxa"/>
            <w:vAlign w:val="bottom"/>
          </w:tcPr>
          <w:p>
            <w:pPr>
              <w:spacing w:after="0"/>
              <w:rPr>
                <w:sz w:val="23"/>
                <w:szCs w:val="23"/>
                <w:color w:val="auto"/>
              </w:rPr>
            </w:pPr>
          </w:p>
        </w:tc>
      </w:tr>
      <w:tr>
        <w:trPr>
          <w:trHeight w:val="270"/>
        </w:trPr>
        <w:tc>
          <w:tcPr>
            <w:tcW w:w="5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Expected annual rate of compensation increase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4.50 %</w:t>
            </w:r>
          </w:p>
        </w:tc>
        <w:tc>
          <w:tcPr>
            <w:tcW w:w="280" w:type="dxa"/>
            <w:vAlign w:val="bottom"/>
            <w:shd w:val="clear" w:color="auto" w:fill="E5FFFF"/>
          </w:tcPr>
          <w:p>
            <w:pPr>
              <w:spacing w:after="0"/>
              <w:rPr>
                <w:sz w:val="23"/>
                <w:szCs w:val="23"/>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4.50 %</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3.67 %</w:t>
            </w:r>
          </w:p>
        </w:tc>
        <w:tc>
          <w:tcPr>
            <w:tcW w:w="1040" w:type="dxa"/>
            <w:vAlign w:val="bottom"/>
            <w:gridSpan w:val="2"/>
            <w:shd w:val="clear" w:color="auto" w:fill="E5FFFF"/>
          </w:tcPr>
          <w:p>
            <w:pPr>
              <w:ind w:left="400"/>
              <w:spacing w:after="0"/>
              <w:rPr>
                <w:sz w:val="20"/>
                <w:szCs w:val="20"/>
                <w:color w:val="auto"/>
              </w:rPr>
            </w:pPr>
            <w:r>
              <w:rPr>
                <w:rFonts w:ascii="Arial" w:cs="Arial" w:eastAsia="Arial" w:hAnsi="Arial"/>
                <w:sz w:val="19"/>
                <w:szCs w:val="19"/>
                <w:color w:val="auto"/>
              </w:rPr>
              <w:t>3.79 %</w:t>
            </w:r>
          </w:p>
        </w:tc>
        <w:tc>
          <w:tcPr>
            <w:tcW w:w="280" w:type="dxa"/>
            <w:vAlign w:val="bottom"/>
            <w:shd w:val="clear" w:color="auto" w:fill="E5FFFF"/>
          </w:tcPr>
          <w:p>
            <w:pPr>
              <w:spacing w:after="0"/>
              <w:rPr>
                <w:sz w:val="23"/>
                <w:szCs w:val="23"/>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3.87 %</w:t>
            </w:r>
          </w:p>
        </w:tc>
        <w:tc>
          <w:tcPr>
            <w:tcW w:w="20" w:type="dxa"/>
            <w:vAlign w:val="bottom"/>
            <w:shd w:val="clear" w:color="auto" w:fill="E5FFFF"/>
          </w:tcPr>
          <w:p>
            <w:pPr>
              <w:spacing w:after="0"/>
              <w:rPr>
                <w:sz w:val="23"/>
                <w:szCs w:val="23"/>
                <w:color w:val="auto"/>
              </w:rPr>
            </w:pPr>
          </w:p>
        </w:tc>
      </w:tr>
      <w:tr>
        <w:trPr>
          <w:trHeight w:val="229"/>
        </w:trPr>
        <w:tc>
          <w:tcPr>
            <w:tcW w:w="5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gridSpan w:val="3"/>
          </w:tcPr>
          <w:p>
            <w:pPr>
              <w:jc w:val="center"/>
              <w:ind w:right="60"/>
              <w:spacing w:after="0" w:line="176" w:lineRule="exact"/>
              <w:rPr>
                <w:sz w:val="20"/>
                <w:szCs w:val="20"/>
                <w:color w:val="auto"/>
              </w:rPr>
            </w:pPr>
            <w:r>
              <w:rPr>
                <w:rFonts w:ascii="Arial" w:cs="Arial" w:eastAsia="Arial" w:hAnsi="Arial"/>
                <w:sz w:val="16"/>
                <w:szCs w:val="16"/>
                <w:b w:val="1"/>
                <w:bCs w:val="1"/>
                <w:color w:val="auto"/>
                <w:w w:val="97"/>
              </w:rPr>
              <w:t>Postretirement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5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8"/>
              </w:rPr>
              <w:t>Benefits</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2012</w:t>
            </w:r>
          </w:p>
        </w:tc>
        <w:tc>
          <w:tcPr>
            <w:tcW w:w="1040" w:type="dxa"/>
            <w:vAlign w:val="bottom"/>
            <w:gridSpan w:val="2"/>
          </w:tcPr>
          <w:p>
            <w:pPr>
              <w:jc w:val="center"/>
              <w:ind w:left="131"/>
              <w:spacing w:after="0"/>
              <w:rPr>
                <w:sz w:val="20"/>
                <w:szCs w:val="20"/>
                <w:color w:val="auto"/>
              </w:rPr>
            </w:pPr>
            <w:r>
              <w:rPr>
                <w:rFonts w:ascii="Arial" w:cs="Arial" w:eastAsia="Arial" w:hAnsi="Arial"/>
                <w:sz w:val="16"/>
                <w:szCs w:val="16"/>
                <w:b w:val="1"/>
                <w:bCs w:val="1"/>
                <w:color w:val="auto"/>
                <w:w w:val="95"/>
              </w:rPr>
              <w:t>2011</w:t>
            </w:r>
          </w:p>
        </w:tc>
        <w:tc>
          <w:tcPr>
            <w:tcW w:w="28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-3810</wp:posOffset>
            </wp:positionV>
            <wp:extent cx="692086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Actuarial assumptions used to determine benefit obligations as of December 31:</w:t>
      </w:r>
    </w:p>
    <w:p>
      <w:pPr>
        <w:spacing w:after="0" w:line="52"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600" w:type="dxa"/>
            <w:vAlign w:val="bottom"/>
          </w:tcPr>
          <w:p>
            <w:pPr>
              <w:ind w:left="380"/>
              <w:spacing w:after="0"/>
              <w:rPr>
                <w:sz w:val="20"/>
                <w:szCs w:val="20"/>
                <w:color w:val="auto"/>
              </w:rPr>
            </w:pPr>
            <w:r>
              <w:rPr>
                <w:rFonts w:ascii="Arial" w:cs="Arial" w:eastAsia="Arial" w:hAnsi="Arial"/>
                <w:sz w:val="19"/>
                <w:szCs w:val="19"/>
                <w:color w:val="auto"/>
              </w:rPr>
              <w:t>Discount rate</w:t>
            </w:r>
          </w:p>
        </w:tc>
        <w:tc>
          <w:tcPr>
            <w:tcW w:w="1380" w:type="dxa"/>
            <w:vAlign w:val="bottom"/>
          </w:tcPr>
          <w:p>
            <w:pPr>
              <w:jc w:val="right"/>
              <w:ind w:right="143"/>
              <w:spacing w:after="0"/>
              <w:rPr>
                <w:sz w:val="20"/>
                <w:szCs w:val="20"/>
                <w:color w:val="auto"/>
              </w:rPr>
            </w:pPr>
            <w:r>
              <w:rPr>
                <w:rFonts w:ascii="Arial" w:cs="Arial" w:eastAsia="Arial" w:hAnsi="Arial"/>
                <w:sz w:val="19"/>
                <w:szCs w:val="19"/>
                <w:color w:val="auto"/>
              </w:rPr>
              <w:t>3.40 %</w:t>
            </w:r>
          </w:p>
        </w:tc>
        <w:tc>
          <w:tcPr>
            <w:tcW w:w="1060" w:type="dxa"/>
            <w:vAlign w:val="bottom"/>
          </w:tcPr>
          <w:p>
            <w:pPr>
              <w:jc w:val="right"/>
              <w:ind w:right="143"/>
              <w:spacing w:after="0"/>
              <w:rPr>
                <w:sz w:val="20"/>
                <w:szCs w:val="20"/>
                <w:color w:val="auto"/>
              </w:rPr>
            </w:pPr>
            <w:r>
              <w:rPr>
                <w:rFonts w:ascii="Arial" w:cs="Arial" w:eastAsia="Arial" w:hAnsi="Arial"/>
                <w:sz w:val="19"/>
                <w:szCs w:val="19"/>
                <w:color w:val="auto"/>
              </w:rPr>
              <w:t>4.00 %</w:t>
            </w:r>
          </w:p>
        </w:tc>
        <w:tc>
          <w:tcPr>
            <w:tcW w:w="860" w:type="dxa"/>
            <w:vAlign w:val="bottom"/>
          </w:tcPr>
          <w:p>
            <w:pPr>
              <w:jc w:val="right"/>
              <w:spacing w:after="0"/>
              <w:rPr>
                <w:sz w:val="20"/>
                <w:szCs w:val="20"/>
                <w:color w:val="auto"/>
              </w:rPr>
            </w:pPr>
            <w:r>
              <w:rPr>
                <w:rFonts w:ascii="Arial" w:cs="Arial" w:eastAsia="Arial" w:hAnsi="Arial"/>
                <w:sz w:val="19"/>
                <w:szCs w:val="19"/>
                <w:color w:val="auto"/>
              </w:rPr>
              <w:t>4.70 %</w:t>
            </w:r>
          </w:p>
        </w:tc>
      </w:tr>
      <w:tr>
        <w:trPr>
          <w:trHeight w:val="230"/>
        </w:trPr>
        <w:tc>
          <w:tcPr>
            <w:tcW w:w="7600" w:type="dxa"/>
            <w:vAlign w:val="bottom"/>
            <w:shd w:val="clear" w:color="auto" w:fill="E5FFFF"/>
          </w:tcPr>
          <w:p>
            <w:pPr>
              <w:ind w:left="20"/>
              <w:spacing w:after="0"/>
              <w:rPr>
                <w:sz w:val="20"/>
                <w:szCs w:val="20"/>
                <w:color w:val="auto"/>
              </w:rPr>
            </w:pPr>
            <w:r>
              <w:rPr>
                <w:rFonts w:ascii="Arial" w:cs="Arial" w:eastAsia="Arial" w:hAnsi="Arial"/>
                <w:sz w:val="19"/>
                <w:szCs w:val="19"/>
                <w:color w:val="auto"/>
              </w:rPr>
              <w:t>Actuarial assumptions used to determine net periodic benefit cost for years ended</w:t>
            </w:r>
          </w:p>
        </w:tc>
        <w:tc>
          <w:tcPr>
            <w:tcW w:w="138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r>
      <w:tr>
        <w:trPr>
          <w:trHeight w:val="230"/>
        </w:trPr>
        <w:tc>
          <w:tcPr>
            <w:tcW w:w="7600" w:type="dxa"/>
            <w:vAlign w:val="bottom"/>
            <w:shd w:val="clear" w:color="auto" w:fill="E5FFFF"/>
          </w:tcPr>
          <w:p>
            <w:pPr>
              <w:ind w:left="200"/>
              <w:spacing w:after="0"/>
              <w:rPr>
                <w:sz w:val="20"/>
                <w:szCs w:val="20"/>
                <w:color w:val="auto"/>
              </w:rPr>
            </w:pPr>
            <w:r>
              <w:rPr>
                <w:rFonts w:ascii="Arial" w:cs="Arial" w:eastAsia="Arial" w:hAnsi="Arial"/>
                <w:sz w:val="19"/>
                <w:szCs w:val="19"/>
                <w:color w:val="auto"/>
              </w:rPr>
              <w:t>December 31:</w:t>
            </w:r>
          </w:p>
        </w:tc>
        <w:tc>
          <w:tcPr>
            <w:tcW w:w="138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860" w:type="dxa"/>
            <w:vAlign w:val="bottom"/>
            <w:shd w:val="clear" w:color="auto" w:fill="E5FFFF"/>
          </w:tcPr>
          <w:p>
            <w:pPr>
              <w:spacing w:after="0"/>
              <w:rPr>
                <w:sz w:val="19"/>
                <w:szCs w:val="19"/>
                <w:color w:val="auto"/>
              </w:rPr>
            </w:pPr>
          </w:p>
        </w:tc>
      </w:tr>
      <w:tr>
        <w:trPr>
          <w:trHeight w:val="274"/>
        </w:trPr>
        <w:tc>
          <w:tcPr>
            <w:tcW w:w="7600" w:type="dxa"/>
            <w:vAlign w:val="bottom"/>
          </w:tcPr>
          <w:p>
            <w:pPr>
              <w:ind w:left="380"/>
              <w:spacing w:after="0"/>
              <w:rPr>
                <w:sz w:val="20"/>
                <w:szCs w:val="20"/>
                <w:color w:val="auto"/>
              </w:rPr>
            </w:pPr>
            <w:r>
              <w:rPr>
                <w:rFonts w:ascii="Arial" w:cs="Arial" w:eastAsia="Arial" w:hAnsi="Arial"/>
                <w:sz w:val="19"/>
                <w:szCs w:val="19"/>
                <w:color w:val="auto"/>
              </w:rPr>
              <w:t>Discount rate</w:t>
            </w:r>
          </w:p>
        </w:tc>
        <w:tc>
          <w:tcPr>
            <w:tcW w:w="1380" w:type="dxa"/>
            <w:vAlign w:val="bottom"/>
          </w:tcPr>
          <w:p>
            <w:pPr>
              <w:jc w:val="right"/>
              <w:ind w:right="143"/>
              <w:spacing w:after="0"/>
              <w:rPr>
                <w:sz w:val="20"/>
                <w:szCs w:val="20"/>
                <w:color w:val="auto"/>
              </w:rPr>
            </w:pPr>
            <w:r>
              <w:rPr>
                <w:rFonts w:ascii="Arial" w:cs="Arial" w:eastAsia="Arial" w:hAnsi="Arial"/>
                <w:sz w:val="19"/>
                <w:szCs w:val="19"/>
                <w:color w:val="auto"/>
              </w:rPr>
              <w:t>4.00 %</w:t>
            </w:r>
          </w:p>
        </w:tc>
        <w:tc>
          <w:tcPr>
            <w:tcW w:w="1060" w:type="dxa"/>
            <w:vAlign w:val="bottom"/>
          </w:tcPr>
          <w:p>
            <w:pPr>
              <w:jc w:val="right"/>
              <w:ind w:right="143"/>
              <w:spacing w:after="0"/>
              <w:rPr>
                <w:sz w:val="20"/>
                <w:szCs w:val="20"/>
                <w:color w:val="auto"/>
              </w:rPr>
            </w:pPr>
            <w:r>
              <w:rPr>
                <w:rFonts w:ascii="Arial" w:cs="Arial" w:eastAsia="Arial" w:hAnsi="Arial"/>
                <w:sz w:val="19"/>
                <w:szCs w:val="19"/>
                <w:color w:val="auto"/>
              </w:rPr>
              <w:t>4.70 %</w:t>
            </w:r>
          </w:p>
        </w:tc>
        <w:tc>
          <w:tcPr>
            <w:tcW w:w="860" w:type="dxa"/>
            <w:vAlign w:val="bottom"/>
          </w:tcPr>
          <w:p>
            <w:pPr>
              <w:jc w:val="right"/>
              <w:spacing w:after="0"/>
              <w:rPr>
                <w:sz w:val="20"/>
                <w:szCs w:val="20"/>
                <w:color w:val="auto"/>
              </w:rPr>
            </w:pPr>
            <w:r>
              <w:rPr>
                <w:rFonts w:ascii="Arial" w:cs="Arial" w:eastAsia="Arial" w:hAnsi="Arial"/>
                <w:sz w:val="19"/>
                <w:szCs w:val="19"/>
                <w:color w:val="auto"/>
              </w:rPr>
              <w:t>5.25 %</w:t>
            </w:r>
          </w:p>
        </w:tc>
      </w:tr>
    </w:tbl>
    <w:p>
      <w:pPr>
        <w:spacing w:after="0" w:line="104"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Our expected rate of return on U.S. plan assets is a long-term rate based on historical plan asset returns over varying long-term periods combined with current market conditions and broad asset mix considerations. We will use an expected rate of return on U.S. plan assets of 7.75 percent for 2013 down from 8 percent for 2012 due to lower future expected market returns. We review the expected rate of return on an annual basis and revise it as appropriate.</w:t>
      </w:r>
    </w:p>
    <w:p>
      <w:pPr>
        <w:spacing w:after="0" w:line="91" w:lineRule="exact"/>
        <w:rPr>
          <w:sz w:val="20"/>
          <w:szCs w:val="20"/>
          <w:color w:val="auto"/>
        </w:rPr>
      </w:pPr>
    </w:p>
    <w:p>
      <w:pPr>
        <w:ind w:right="380" w:firstLine="357"/>
        <w:spacing w:after="0" w:line="253" w:lineRule="auto"/>
        <w:rPr>
          <w:sz w:val="20"/>
          <w:szCs w:val="20"/>
          <w:color w:val="auto"/>
        </w:rPr>
      </w:pPr>
      <w:r>
        <w:rPr>
          <w:rFonts w:ascii="Arial" w:cs="Arial" w:eastAsia="Arial" w:hAnsi="Arial"/>
          <w:sz w:val="19"/>
          <w:szCs w:val="19"/>
          <w:color w:val="auto"/>
        </w:rPr>
        <w:t>For non-U.S. benefit plans, none of which was individually material, assumptions reflect economic assumptions applicable to each country.</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130" w:lineRule="exact"/>
        <w:rPr>
          <w:sz w:val="20"/>
          <w:szCs w:val="20"/>
          <w:color w:val="auto"/>
        </w:rPr>
      </w:pPr>
    </w:p>
    <w:p>
      <w:pPr>
        <w:ind w:right="360" w:firstLine="357"/>
        <w:spacing w:after="0" w:line="253" w:lineRule="auto"/>
        <w:rPr>
          <w:sz w:val="20"/>
          <w:szCs w:val="20"/>
          <w:color w:val="auto"/>
        </w:rPr>
      </w:pPr>
      <w:r>
        <w:rPr>
          <w:rFonts w:ascii="Arial" w:cs="Arial" w:eastAsia="Arial" w:hAnsi="Arial"/>
          <w:sz w:val="19"/>
          <w:szCs w:val="19"/>
          <w:color w:val="auto"/>
        </w:rPr>
        <w:t>Included in the aggregate data in the tables above are the amounts applicable to our pension plans with accumulated benefit obligations exceeding the fair value of plan assets. Amounts related to such plans were as follows:</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w w:val="99"/>
              </w:rPr>
              <w:t>U.S. Plans</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6"/>
                <w:szCs w:val="16"/>
                <w:b w:val="1"/>
                <w:bCs w:val="1"/>
                <w:color w:val="auto"/>
              </w:rPr>
              <w:t>Non-U.S. Plans</w:t>
            </w:r>
          </w:p>
        </w:tc>
      </w:tr>
      <w:tr>
        <w:trPr>
          <w:trHeight w:val="196"/>
        </w:trPr>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2011</w:t>
            </w:r>
          </w:p>
        </w:tc>
      </w:tr>
      <w:tr>
        <w:trPr>
          <w:trHeight w:val="264"/>
        </w:trPr>
        <w:tc>
          <w:tcPr>
            <w:tcW w:w="5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Projected benefit obligation</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ind w:left="60"/>
              <w:spacing w:after="0"/>
              <w:rPr>
                <w:sz w:val="20"/>
                <w:szCs w:val="20"/>
                <w:color w:val="auto"/>
              </w:rPr>
            </w:pPr>
            <w:r>
              <w:rPr>
                <w:rFonts w:ascii="Arial" w:cs="Arial" w:eastAsia="Arial" w:hAnsi="Arial"/>
                <w:sz w:val="19"/>
                <w:szCs w:val="19"/>
                <w:color w:val="auto"/>
              </w:rPr>
              <w:t>17,117</w:t>
            </w:r>
          </w:p>
        </w:tc>
        <w:tc>
          <w:tcPr>
            <w:tcW w:w="5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ind w:left="40"/>
              <w:spacing w:after="0"/>
              <w:rPr>
                <w:sz w:val="20"/>
                <w:szCs w:val="20"/>
                <w:color w:val="auto"/>
              </w:rPr>
            </w:pPr>
            <w:r>
              <w:rPr>
                <w:rFonts w:ascii="Arial" w:cs="Arial" w:eastAsia="Arial" w:hAnsi="Arial"/>
                <w:sz w:val="19"/>
                <w:szCs w:val="19"/>
                <w:color w:val="auto"/>
              </w:rPr>
              <w:t>15,600</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4,670</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4,141</w:t>
            </w:r>
          </w:p>
        </w:tc>
      </w:tr>
      <w:tr>
        <w:trPr>
          <w:trHeight w:val="270"/>
        </w:trPr>
        <w:tc>
          <w:tcPr>
            <w:tcW w:w="5700" w:type="dxa"/>
            <w:vAlign w:val="bottom"/>
          </w:tcPr>
          <w:p>
            <w:pPr>
              <w:ind w:left="20"/>
              <w:spacing w:after="0"/>
              <w:rPr>
                <w:sz w:val="20"/>
                <w:szCs w:val="20"/>
                <w:color w:val="auto"/>
              </w:rPr>
            </w:pPr>
            <w:r>
              <w:rPr>
                <w:rFonts w:ascii="Arial" w:cs="Arial" w:eastAsia="Arial" w:hAnsi="Arial"/>
                <w:sz w:val="19"/>
                <w:szCs w:val="19"/>
                <w:color w:val="auto"/>
              </w:rPr>
              <w:t>Accumulated benefit obligation</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ind w:left="60"/>
              <w:spacing w:after="0"/>
              <w:rPr>
                <w:sz w:val="20"/>
                <w:szCs w:val="20"/>
                <w:color w:val="auto"/>
              </w:rPr>
            </w:pPr>
            <w:r>
              <w:rPr>
                <w:rFonts w:ascii="Arial" w:cs="Arial" w:eastAsia="Arial" w:hAnsi="Arial"/>
                <w:sz w:val="19"/>
                <w:szCs w:val="19"/>
                <w:color w:val="auto"/>
              </w:rPr>
              <w:t>16,288</w:t>
            </w:r>
          </w:p>
        </w:tc>
        <w:tc>
          <w:tcPr>
            <w:tcW w:w="5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tcPr>
          <w:p>
            <w:pPr>
              <w:ind w:left="40"/>
              <w:spacing w:after="0"/>
              <w:rPr>
                <w:sz w:val="20"/>
                <w:szCs w:val="20"/>
                <w:color w:val="auto"/>
              </w:rPr>
            </w:pPr>
            <w:r>
              <w:rPr>
                <w:rFonts w:ascii="Arial" w:cs="Arial" w:eastAsia="Arial" w:hAnsi="Arial"/>
                <w:sz w:val="19"/>
                <w:szCs w:val="19"/>
                <w:color w:val="auto"/>
              </w:rPr>
              <w:t>14,845</w:t>
            </w: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10"/>
              <w:spacing w:after="0"/>
              <w:rPr>
                <w:sz w:val="20"/>
                <w:szCs w:val="20"/>
                <w:color w:val="auto"/>
              </w:rPr>
            </w:pPr>
            <w:r>
              <w:rPr>
                <w:rFonts w:ascii="Arial" w:cs="Arial" w:eastAsia="Arial" w:hAnsi="Arial"/>
                <w:sz w:val="19"/>
                <w:szCs w:val="19"/>
                <w:color w:val="auto"/>
              </w:rPr>
              <w:t>4,426</w:t>
            </w:r>
          </w:p>
        </w:tc>
        <w:tc>
          <w:tcPr>
            <w:tcW w:w="5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8"/>
              <w:spacing w:after="0"/>
              <w:rPr>
                <w:sz w:val="20"/>
                <w:szCs w:val="20"/>
                <w:color w:val="auto"/>
              </w:rPr>
            </w:pPr>
            <w:r>
              <w:rPr>
                <w:rFonts w:ascii="Arial" w:cs="Arial" w:eastAsia="Arial" w:hAnsi="Arial"/>
                <w:sz w:val="19"/>
                <w:szCs w:val="19"/>
                <w:color w:val="auto"/>
              </w:rPr>
              <w:t>3,912</w:t>
            </w:r>
          </w:p>
        </w:tc>
      </w:tr>
      <w:tr>
        <w:trPr>
          <w:trHeight w:val="270"/>
        </w:trPr>
        <w:tc>
          <w:tcPr>
            <w:tcW w:w="5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Fair value of plan assets</w:t>
            </w:r>
          </w:p>
        </w:tc>
        <w:tc>
          <w:tcPr>
            <w:tcW w:w="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ind w:left="60"/>
              <w:spacing w:after="0"/>
              <w:rPr>
                <w:sz w:val="20"/>
                <w:szCs w:val="20"/>
                <w:color w:val="auto"/>
              </w:rPr>
            </w:pPr>
            <w:r>
              <w:rPr>
                <w:rFonts w:ascii="Arial" w:cs="Arial" w:eastAsia="Arial" w:hAnsi="Arial"/>
                <w:sz w:val="19"/>
                <w:szCs w:val="19"/>
                <w:color w:val="auto"/>
              </w:rPr>
              <w:t>14,345</w:t>
            </w:r>
          </w:p>
        </w:tc>
        <w:tc>
          <w:tcPr>
            <w:tcW w:w="56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ind w:left="40"/>
              <w:spacing w:after="0"/>
              <w:rPr>
                <w:sz w:val="20"/>
                <w:szCs w:val="20"/>
                <w:color w:val="auto"/>
              </w:rPr>
            </w:pPr>
            <w:r>
              <w:rPr>
                <w:rFonts w:ascii="Arial" w:cs="Arial" w:eastAsia="Arial" w:hAnsi="Arial"/>
                <w:sz w:val="19"/>
                <w:szCs w:val="19"/>
                <w:color w:val="auto"/>
              </w:rPr>
              <w:t>12,836</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3,837</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3,367</w:t>
            </w:r>
          </w:p>
        </w:tc>
      </w:tr>
    </w:tbl>
    <w:p>
      <w:pPr>
        <w:spacing w:after="0" w:line="95"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Accumulated benefit obligation for our U.S. defined benefit pension plans were $16.3 and $14.8 billion and our Non-U.S. defined benefit plans were $5.0 and $4.4 billion at December 31, 2012 and 2011, respectively.</w:t>
      </w:r>
    </w:p>
    <w:p>
      <w:pPr>
        <w:spacing w:after="0" w:line="80" w:lineRule="exact"/>
        <w:rPr>
          <w:sz w:val="20"/>
          <w:szCs w:val="20"/>
          <w:color w:val="auto"/>
        </w:rPr>
      </w:pPr>
    </w:p>
    <w:p>
      <w:pPr>
        <w:ind w:right="140" w:firstLine="357"/>
        <w:spacing w:after="0" w:line="237" w:lineRule="auto"/>
        <w:rPr>
          <w:sz w:val="20"/>
          <w:szCs w:val="20"/>
          <w:color w:val="auto"/>
        </w:rPr>
      </w:pPr>
      <w:r>
        <w:rPr>
          <w:rFonts w:ascii="Arial" w:cs="Arial" w:eastAsia="Arial" w:hAnsi="Arial"/>
          <w:sz w:val="19"/>
          <w:szCs w:val="19"/>
          <w:color w:val="auto"/>
        </w:rPr>
        <w:t>Our asset investment strategy for our U.S. pension plans focuses on maintaining a diversified portfolio using various asset classes in order to achieve our long-term investment objectives on a risk adjusted basis. Our actual invested positions in various securities change over time based on short and longer- term investment opportunities. To achieve our objectives, we have established long-term target allocations as follows: 60-70 percent equity securities, 10-20 percent fixed income securities and cash,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5-15 percent real estate investments, and 10-20 percent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94" w:lineRule="exact"/>
        <w:rPr>
          <w:sz w:val="20"/>
          <w:szCs w:val="20"/>
          <w:color w:val="auto"/>
        </w:rPr>
      </w:pPr>
    </w:p>
    <w:p>
      <w:pPr>
        <w:ind w:right="360" w:firstLine="357"/>
        <w:spacing w:after="0" w:line="241" w:lineRule="auto"/>
        <w:rPr>
          <w:sz w:val="20"/>
          <w:szCs w:val="20"/>
          <w:color w:val="auto"/>
        </w:rPr>
      </w:pPr>
      <w:r>
        <w:rPr>
          <w:rFonts w:ascii="Arial" w:cs="Arial" w:eastAsia="Arial" w:hAnsi="Arial"/>
          <w:sz w:val="19"/>
          <w:szCs w:val="19"/>
          <w:color w:val="auto"/>
        </w:rPr>
        <w:t>Our non-U.S. pension assets are typically managed by decentralized fiduciary committees with the Honeywell Corporate Investments group providing standard funding and investment guidance. Local regulations, local funding rules, and local financial and tax considerations are part of the funding and investment allocation process in each country. While our non-U.S. investment policies are different for each country, the long-term investment objectives are generally the same as those for the U.S. pension assets.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The fair values of both our U.S. and non-U.S. pension plans assets at December 31, 2012 and 2011 by asset category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447"/>
              <w:spacing w:after="0"/>
              <w:rPr>
                <w:sz w:val="20"/>
                <w:szCs w:val="20"/>
                <w:color w:val="auto"/>
              </w:rPr>
            </w:pPr>
            <w:r>
              <w:rPr>
                <w:rFonts w:ascii="Arial" w:cs="Arial" w:eastAsia="Arial" w:hAnsi="Arial"/>
                <w:sz w:val="16"/>
                <w:szCs w:val="16"/>
                <w:b w:val="1"/>
                <w:bCs w:val="1"/>
                <w:color w:val="auto"/>
                <w:w w:val="99"/>
              </w:rPr>
              <w:t>U.S. Plans</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2012</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7"/>
                <w:szCs w:val="17"/>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w w:val="95"/>
              </w:rPr>
              <w:t>Level 3</w:t>
            </w:r>
          </w:p>
        </w:tc>
      </w:tr>
      <w:tr>
        <w:trPr>
          <w:trHeight w:val="237"/>
        </w:trPr>
        <w:tc>
          <w:tcPr>
            <w:tcW w:w="70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Common stock/preferred stock:</w:t>
            </w:r>
          </w:p>
        </w:tc>
        <w:tc>
          <w:tcPr>
            <w:tcW w:w="22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Honeywell common stock</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1,182</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$ 1,182</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U.S. large cap stocks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2,903</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2,903</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U.S. mid cap stocks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731</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731</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U.S. small cap stocks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261</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261</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International stocks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2,203</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2,073</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130</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investment trusts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44</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Fixed income 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Short term investments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1,139</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1,139</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Government securities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266</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266</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 bonds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2,728</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2,728</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Mortgage/Asset-backed securities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654</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654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Insurance contracts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Investments in private funds: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Private funds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1,100</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1,100</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Hedge funds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52</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52</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funds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254</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254</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Direct 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Direct private investments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227</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227</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Real estate properties</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w:t>
            </w:r>
          </w:p>
        </w:tc>
        <w:tc>
          <w:tcPr>
            <w:tcW w:w="320" w:type="dxa"/>
            <w:vAlign w:val="bottom"/>
          </w:tcPr>
          <w:p>
            <w:pPr>
              <w:spacing w:after="0"/>
              <w:rPr>
                <w:sz w:val="23"/>
                <w:szCs w:val="23"/>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595</w:t>
            </w:r>
          </w:p>
        </w:tc>
      </w:tr>
      <w:tr>
        <w:trPr>
          <w:trHeight w:val="34"/>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0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14,345</w:t>
            </w:r>
          </w:p>
        </w:tc>
        <w:tc>
          <w:tcPr>
            <w:tcW w:w="320" w:type="dxa"/>
            <w:vAlign w:val="bottom"/>
            <w:shd w:val="clear" w:color="auto" w:fill="E5FFFF"/>
          </w:tcPr>
          <w:p>
            <w:pPr>
              <w:spacing w:after="0"/>
              <w:rPr>
                <w:sz w:val="23"/>
                <w:szCs w:val="23"/>
                <w:color w:val="auto"/>
              </w:rPr>
            </w:pPr>
          </w:p>
        </w:tc>
        <w:tc>
          <w:tcPr>
            <w:tcW w:w="82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$ 8,333</w:t>
            </w:r>
          </w:p>
        </w:tc>
        <w:tc>
          <w:tcPr>
            <w:tcW w:w="32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3,784</w:t>
            </w:r>
          </w:p>
        </w:tc>
        <w:tc>
          <w:tcPr>
            <w:tcW w:w="300" w:type="dxa"/>
            <w:vAlign w:val="bottom"/>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2,228</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78"/>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447"/>
              <w:spacing w:after="0"/>
              <w:rPr>
                <w:sz w:val="20"/>
                <w:szCs w:val="20"/>
                <w:color w:val="auto"/>
              </w:rPr>
            </w:pPr>
            <w:r>
              <w:rPr>
                <w:rFonts w:ascii="Arial" w:cs="Arial" w:eastAsia="Arial" w:hAnsi="Arial"/>
                <w:sz w:val="16"/>
                <w:szCs w:val="16"/>
                <w:b w:val="1"/>
                <w:bCs w:val="1"/>
                <w:color w:val="auto"/>
                <w:w w:val="99"/>
              </w:rPr>
              <w:t>U.S. Plans</w:t>
            </w: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96"/>
        </w:trPr>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2011</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6"/>
        </w:trPr>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7"/>
                <w:szCs w:val="17"/>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w w:val="95"/>
              </w:rPr>
              <w:t>Level 3</w:t>
            </w:r>
          </w:p>
        </w:tc>
      </w:tr>
      <w:tr>
        <w:trPr>
          <w:trHeight w:val="237"/>
        </w:trPr>
        <w:tc>
          <w:tcPr>
            <w:tcW w:w="70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Common stock/preferred stock:</w:t>
            </w:r>
          </w:p>
        </w:tc>
        <w:tc>
          <w:tcPr>
            <w:tcW w:w="22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Honeywell common stock</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1,012</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$ 1,012</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U.S. large cap stocks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2,697</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2,416</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281</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U.S. mid cap stocks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1,087</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1,087</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U.S. small cap stocks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272</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272</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International stocks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2,010</w:t>
            </w:r>
          </w:p>
        </w:tc>
        <w:tc>
          <w:tcPr>
            <w:tcW w:w="1140" w:type="dxa"/>
            <w:vAlign w:val="bottom"/>
            <w:gridSpan w:val="2"/>
          </w:tcPr>
          <w:p>
            <w:pPr>
              <w:jc w:val="right"/>
              <w:ind w:right="7"/>
              <w:spacing w:after="0"/>
              <w:rPr>
                <w:sz w:val="20"/>
                <w:szCs w:val="20"/>
                <w:color w:val="auto"/>
              </w:rPr>
            </w:pPr>
            <w:r>
              <w:rPr>
                <w:rFonts w:ascii="Arial" w:cs="Arial" w:eastAsia="Arial" w:hAnsi="Arial"/>
                <w:sz w:val="19"/>
                <w:szCs w:val="19"/>
                <w:color w:val="auto"/>
              </w:rPr>
              <w:t>1,993</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17</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investment trusts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32</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Fixed income 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Short term investments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941</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941</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Government securities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291</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291</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 bonds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1,984</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1,984</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Mortgage/Asset-backed securities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435</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435</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Insurance contracts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Investments in private funds: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Private funds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1,039</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1,039</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Hedge funds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60</w:t>
            </w:r>
          </w:p>
        </w:tc>
        <w:tc>
          <w:tcPr>
            <w:tcW w:w="320" w:type="dxa"/>
            <w:vAlign w:val="bottom"/>
          </w:tcPr>
          <w:p>
            <w:pPr>
              <w:spacing w:after="0"/>
              <w:rPr>
                <w:sz w:val="23"/>
                <w:szCs w:val="23"/>
                <w:color w:val="auto"/>
              </w:rPr>
            </w:pPr>
          </w:p>
        </w:tc>
        <w:tc>
          <w:tcPr>
            <w:tcW w:w="8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60</w:t>
            </w: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funds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256</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256</w:t>
            </w:r>
          </w:p>
        </w:tc>
      </w:tr>
      <w:tr>
        <w:trPr>
          <w:trHeight w:val="243"/>
        </w:trPr>
        <w:tc>
          <w:tcPr>
            <w:tcW w:w="7000" w:type="dxa"/>
            <w:vAlign w:val="bottom"/>
          </w:tcPr>
          <w:p>
            <w:pPr>
              <w:ind w:left="20"/>
              <w:spacing w:after="0"/>
              <w:rPr>
                <w:sz w:val="20"/>
                <w:szCs w:val="20"/>
                <w:color w:val="auto"/>
              </w:rPr>
            </w:pPr>
            <w:r>
              <w:rPr>
                <w:rFonts w:ascii="Arial" w:cs="Arial" w:eastAsia="Arial" w:hAnsi="Arial"/>
                <w:sz w:val="19"/>
                <w:szCs w:val="19"/>
                <w:color w:val="auto"/>
              </w:rPr>
              <w:t>Direct 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0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Direct private investments</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3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161</w:t>
            </w:r>
          </w:p>
        </w:tc>
      </w:tr>
      <w:tr>
        <w:trPr>
          <w:trHeight w:val="270"/>
        </w:trPr>
        <w:tc>
          <w:tcPr>
            <w:tcW w:w="7000" w:type="dxa"/>
            <w:vAlign w:val="bottom"/>
          </w:tcPr>
          <w:p>
            <w:pPr>
              <w:ind w:left="380"/>
              <w:spacing w:after="0"/>
              <w:rPr>
                <w:sz w:val="20"/>
                <w:szCs w:val="20"/>
                <w:color w:val="auto"/>
              </w:rPr>
            </w:pPr>
            <w:r>
              <w:rPr>
                <w:rFonts w:ascii="Arial" w:cs="Arial" w:eastAsia="Arial" w:hAnsi="Arial"/>
                <w:sz w:val="19"/>
                <w:szCs w:val="19"/>
                <w:color w:val="auto"/>
              </w:rPr>
              <w:t>Real estate properties</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553</w:t>
            </w:r>
          </w:p>
        </w:tc>
        <w:tc>
          <w:tcPr>
            <w:tcW w:w="320" w:type="dxa"/>
            <w:vAlign w:val="bottom"/>
          </w:tcPr>
          <w:p>
            <w:pPr>
              <w:spacing w:after="0"/>
              <w:rPr>
                <w:sz w:val="23"/>
                <w:szCs w:val="23"/>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553</w:t>
            </w:r>
          </w:p>
        </w:tc>
      </w:tr>
      <w:tr>
        <w:trPr>
          <w:trHeight w:val="34"/>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000" w:type="dxa"/>
            <w:vAlign w:val="bottom"/>
            <w:shd w:val="clear" w:color="auto" w:fill="E5FFFF"/>
          </w:tcPr>
          <w:p>
            <w:pPr>
              <w:spacing w:after="0"/>
              <w:rPr>
                <w:sz w:val="23"/>
                <w:szCs w:val="23"/>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12,836</w:t>
            </w:r>
          </w:p>
        </w:tc>
        <w:tc>
          <w:tcPr>
            <w:tcW w:w="1140" w:type="dxa"/>
            <w:vAlign w:val="bottom"/>
            <w:gridSpan w:val="2"/>
            <w:shd w:val="clear" w:color="auto" w:fill="E5FFFF"/>
          </w:tcPr>
          <w:p>
            <w:pPr>
              <w:jc w:val="right"/>
              <w:ind w:right="7"/>
              <w:spacing w:after="0"/>
              <w:rPr>
                <w:sz w:val="20"/>
                <w:szCs w:val="20"/>
                <w:color w:val="auto"/>
              </w:rPr>
            </w:pPr>
            <w:r>
              <w:rPr>
                <w:rFonts w:ascii="Arial" w:cs="Arial" w:eastAsia="Arial" w:hAnsi="Arial"/>
                <w:sz w:val="19"/>
                <w:szCs w:val="19"/>
                <w:color w:val="auto"/>
              </w:rPr>
              <w:t>$ 7,753</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3,014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2,069</w:t>
            </w:r>
          </w:p>
        </w:tc>
      </w:tr>
      <w:tr>
        <w:trPr>
          <w:trHeight w:val="20"/>
        </w:trPr>
        <w:tc>
          <w:tcPr>
            <w:tcW w:w="7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1">
            <w:col w:w="11420"/>
          </w:cols>
          <w:pgMar w:left="240" w:top="105" w:right="239" w:bottom="1440" w:gutter="0" w:footer="0" w:header="0"/>
        </w:sectPr>
      </w:pPr>
    </w:p>
    <w:p>
      <w:pPr>
        <w:jc w:val="center"/>
        <w:ind w:right="-19"/>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2012</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37"/>
        </w:trPr>
        <w:tc>
          <w:tcPr>
            <w:tcW w:w="4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Common stock/preferred stock:</w:t>
            </w:r>
          </w:p>
        </w:tc>
        <w:tc>
          <w:tcPr>
            <w:tcW w:w="29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5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U.S. companies</w:t>
            </w:r>
          </w:p>
        </w:tc>
        <w:tc>
          <w:tcPr>
            <w:tcW w:w="31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366</w:t>
            </w:r>
          </w:p>
        </w:tc>
        <w:tc>
          <w:tcPr>
            <w:tcW w:w="1000" w:type="dxa"/>
            <w:vAlign w:val="bottom"/>
            <w:gridSpan w:val="2"/>
          </w:tcPr>
          <w:p>
            <w:pPr>
              <w:jc w:val="right"/>
              <w:ind w:right="8"/>
              <w:spacing w:after="0"/>
              <w:rPr>
                <w:sz w:val="20"/>
                <w:szCs w:val="20"/>
                <w:color w:val="auto"/>
              </w:rPr>
            </w:pPr>
            <w:r>
              <w:rPr>
                <w:rFonts w:ascii="Arial" w:cs="Arial" w:eastAsia="Arial" w:hAnsi="Arial"/>
                <w:sz w:val="19"/>
                <w:szCs w:val="19"/>
                <w:color w:val="auto"/>
              </w:rPr>
              <w:t>$ 316</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50</w:t>
            </w:r>
          </w:p>
        </w:tc>
        <w:tc>
          <w:tcPr>
            <w:tcW w:w="5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Non-U.S. companies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1,605</w:t>
            </w:r>
          </w:p>
        </w:tc>
        <w:tc>
          <w:tcPr>
            <w:tcW w:w="100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176</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1,429</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9"/>
                <w:szCs w:val="19"/>
                <w:color w:val="auto"/>
              </w:rPr>
              <w:t>Fixed income investments: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Short-term investments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104</w:t>
            </w:r>
          </w:p>
        </w:tc>
        <w:tc>
          <w:tcPr>
            <w:tcW w:w="100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104</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Government securities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1,321</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1,321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 bonds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571</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571</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Mortgage/Asset-backed securities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8</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Insurance contracts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203</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203</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9"/>
                <w:szCs w:val="19"/>
                <w:color w:val="auto"/>
              </w:rPr>
              <w:t>Investments in private funds: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Private funds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136</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136</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Hedge funds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56</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funds</w:t>
            </w:r>
          </w:p>
        </w:tc>
        <w:tc>
          <w:tcPr>
            <w:tcW w:w="294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157</w:t>
            </w:r>
          </w:p>
        </w:tc>
        <w:tc>
          <w:tcPr>
            <w:tcW w:w="300" w:type="dxa"/>
            <w:vAlign w:val="bottom"/>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157</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4,527</w:t>
            </w:r>
          </w:p>
        </w:tc>
        <w:tc>
          <w:tcPr>
            <w:tcW w:w="300" w:type="dxa"/>
            <w:vAlign w:val="bottom"/>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$ 596</w:t>
            </w:r>
          </w:p>
        </w:tc>
        <w:tc>
          <w:tcPr>
            <w:tcW w:w="30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3,582</w:t>
            </w:r>
          </w:p>
        </w:tc>
        <w:tc>
          <w:tcPr>
            <w:tcW w:w="32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349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2011</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37"/>
        </w:trPr>
        <w:tc>
          <w:tcPr>
            <w:tcW w:w="4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Common stock/preferred stock:</w:t>
            </w:r>
          </w:p>
        </w:tc>
        <w:tc>
          <w:tcPr>
            <w:tcW w:w="29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5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U.S. companies</w:t>
            </w:r>
          </w:p>
        </w:tc>
        <w:tc>
          <w:tcPr>
            <w:tcW w:w="31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371</w:t>
            </w:r>
          </w:p>
        </w:tc>
        <w:tc>
          <w:tcPr>
            <w:tcW w:w="1000" w:type="dxa"/>
            <w:vAlign w:val="bottom"/>
            <w:gridSpan w:val="2"/>
          </w:tcPr>
          <w:p>
            <w:pPr>
              <w:jc w:val="right"/>
              <w:ind w:right="8"/>
              <w:spacing w:after="0"/>
              <w:rPr>
                <w:sz w:val="20"/>
                <w:szCs w:val="20"/>
                <w:color w:val="auto"/>
              </w:rPr>
            </w:pPr>
            <w:r>
              <w:rPr>
                <w:rFonts w:ascii="Arial" w:cs="Arial" w:eastAsia="Arial" w:hAnsi="Arial"/>
                <w:sz w:val="19"/>
                <w:szCs w:val="19"/>
                <w:color w:val="auto"/>
              </w:rPr>
              <w:t>$ 249</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122</w:t>
            </w:r>
          </w:p>
        </w:tc>
        <w:tc>
          <w:tcPr>
            <w:tcW w:w="5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Non-U.S. companies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1,343</w:t>
            </w:r>
          </w:p>
        </w:tc>
        <w:tc>
          <w:tcPr>
            <w:tcW w:w="100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233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1,110</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9"/>
                <w:szCs w:val="19"/>
                <w:color w:val="auto"/>
              </w:rPr>
              <w:t>Fixed income investments: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Short-term investments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78</w:t>
            </w:r>
          </w:p>
        </w:tc>
        <w:tc>
          <w:tcPr>
            <w:tcW w:w="100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78</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Government securities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1,175</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1,175</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 bonds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463</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463</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Mortgage/Asset-backed securities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5</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Insurance contracts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197</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197</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9"/>
                <w:szCs w:val="19"/>
                <w:color w:val="auto"/>
              </w:rPr>
              <w:t>Investments in private funds:</w:t>
            </w: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Private funds</w:t>
            </w:r>
          </w:p>
        </w:tc>
        <w:tc>
          <w:tcPr>
            <w:tcW w:w="29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112</w:t>
            </w:r>
          </w:p>
        </w:tc>
        <w:tc>
          <w:tcPr>
            <w:tcW w:w="30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5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70"/>
        </w:trPr>
        <w:tc>
          <w:tcPr>
            <w:tcW w:w="4420" w:type="dxa"/>
            <w:vAlign w:val="bottom"/>
          </w:tcPr>
          <w:p>
            <w:pPr>
              <w:ind w:left="380"/>
              <w:spacing w:after="0"/>
              <w:rPr>
                <w:sz w:val="20"/>
                <w:szCs w:val="20"/>
                <w:color w:val="auto"/>
              </w:rPr>
            </w:pPr>
            <w:r>
              <w:rPr>
                <w:rFonts w:ascii="Arial" w:cs="Arial" w:eastAsia="Arial" w:hAnsi="Arial"/>
                <w:sz w:val="19"/>
                <w:szCs w:val="19"/>
                <w:color w:val="auto"/>
              </w:rPr>
              <w:t>Hedge funds</w:t>
            </w:r>
          </w:p>
        </w:tc>
        <w:tc>
          <w:tcPr>
            <w:tcW w:w="2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54</w:t>
            </w:r>
          </w:p>
        </w:tc>
        <w:tc>
          <w:tcPr>
            <w:tcW w:w="3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70"/>
        </w:trPr>
        <w:tc>
          <w:tcPr>
            <w:tcW w:w="44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Real estate funds</w:t>
            </w:r>
          </w:p>
        </w:tc>
        <w:tc>
          <w:tcPr>
            <w:tcW w:w="294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160</w:t>
            </w:r>
          </w:p>
        </w:tc>
        <w:tc>
          <w:tcPr>
            <w:tcW w:w="300" w:type="dxa"/>
            <w:vAlign w:val="bottom"/>
            <w:shd w:val="clear" w:color="auto" w:fill="E5FFFF"/>
          </w:tcPr>
          <w:p>
            <w:pPr>
              <w:spacing w:after="0"/>
              <w:rPr>
                <w:sz w:val="23"/>
                <w:szCs w:val="23"/>
                <w:color w:val="auto"/>
              </w:rPr>
            </w:pPr>
          </w:p>
        </w:tc>
        <w:tc>
          <w:tcPr>
            <w:tcW w:w="70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50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160</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31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5"/>
              <w:spacing w:after="0"/>
              <w:rPr>
                <w:sz w:val="20"/>
                <w:szCs w:val="20"/>
                <w:color w:val="auto"/>
              </w:rPr>
            </w:pPr>
            <w:r>
              <w:rPr>
                <w:rFonts w:ascii="Arial" w:cs="Arial" w:eastAsia="Arial" w:hAnsi="Arial"/>
                <w:sz w:val="19"/>
                <w:szCs w:val="19"/>
                <w:color w:val="auto"/>
              </w:rPr>
              <w:t>3,958</w:t>
            </w:r>
          </w:p>
        </w:tc>
        <w:tc>
          <w:tcPr>
            <w:tcW w:w="1000" w:type="dxa"/>
            <w:vAlign w:val="bottom"/>
            <w:gridSpan w:val="2"/>
          </w:tcPr>
          <w:p>
            <w:pPr>
              <w:jc w:val="right"/>
              <w:ind w:right="8"/>
              <w:spacing w:after="0"/>
              <w:rPr>
                <w:sz w:val="20"/>
                <w:szCs w:val="20"/>
                <w:color w:val="auto"/>
              </w:rPr>
            </w:pPr>
            <w:r>
              <w:rPr>
                <w:rFonts w:ascii="Arial" w:cs="Arial" w:eastAsia="Arial" w:hAnsi="Arial"/>
                <w:sz w:val="19"/>
                <w:szCs w:val="19"/>
                <w:color w:val="auto"/>
              </w:rPr>
              <w:t>$ 560</w:t>
            </w: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3"/>
              <w:spacing w:after="0"/>
              <w:rPr>
                <w:sz w:val="20"/>
                <w:szCs w:val="20"/>
                <w:color w:val="auto"/>
              </w:rPr>
            </w:pPr>
            <w:r>
              <w:rPr>
                <w:rFonts w:ascii="Arial" w:cs="Arial" w:eastAsia="Arial" w:hAnsi="Arial"/>
                <w:sz w:val="19"/>
                <w:szCs w:val="19"/>
                <w:color w:val="auto"/>
              </w:rPr>
              <w:t>3,072</w:t>
            </w:r>
          </w:p>
        </w:tc>
        <w:tc>
          <w:tcPr>
            <w:tcW w:w="5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ind w:right="3"/>
              <w:spacing w:after="0"/>
              <w:rPr>
                <w:sz w:val="20"/>
                <w:szCs w:val="20"/>
                <w:color w:val="auto"/>
              </w:rPr>
            </w:pPr>
            <w:r>
              <w:rPr>
                <w:rFonts w:ascii="Arial" w:cs="Arial" w:eastAsia="Arial" w:hAnsi="Arial"/>
                <w:sz w:val="19"/>
                <w:szCs w:val="19"/>
                <w:color w:val="auto"/>
              </w:rPr>
              <w:t>326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940" w:type="dxa"/>
            <w:vAlign w:val="bottom"/>
            <w:vMerge w:val="restart"/>
          </w:tcPr>
          <w:p>
            <w:pPr>
              <w:jc w:val="right"/>
              <w:ind w:right="1383"/>
              <w:spacing w:after="0"/>
              <w:rPr>
                <w:sz w:val="20"/>
                <w:szCs w:val="20"/>
                <w:color w:val="auto"/>
              </w:rPr>
            </w:pPr>
            <w:r>
              <w:rPr>
                <w:rFonts w:ascii="Arial" w:cs="Arial" w:eastAsia="Arial" w:hAnsi="Arial"/>
                <w:sz w:val="19"/>
                <w:szCs w:val="19"/>
                <w:color w:val="auto"/>
              </w:rPr>
              <w:t>110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changes in the fair value of Level 3 assets for the years ended December 31, 2012 and 2011: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7"/>
              </w:rPr>
              <w:t>U.S. Plans</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168"/>
        </w:trPr>
        <w:tc>
          <w:tcPr>
            <w:tcW w:w="5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4"/>
          </w:tcPr>
          <w:p>
            <w:pPr>
              <w:jc w:val="center"/>
              <w:ind w:right="501"/>
              <w:spacing w:after="0" w:line="168" w:lineRule="exact"/>
              <w:rPr>
                <w:sz w:val="20"/>
                <w:szCs w:val="20"/>
                <w:color w:val="auto"/>
              </w:rPr>
            </w:pPr>
            <w:r>
              <w:rPr>
                <w:rFonts w:ascii="Arial" w:cs="Arial" w:eastAsia="Arial" w:hAnsi="Arial"/>
                <w:sz w:val="16"/>
                <w:szCs w:val="16"/>
                <w:b w:val="1"/>
                <w:bCs w:val="1"/>
                <w:color w:val="auto"/>
              </w:rPr>
              <w:t>Direct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6"/>
        </w:trPr>
        <w:tc>
          <w:tcPr>
            <w:tcW w:w="5480" w:type="dxa"/>
            <w:vAlign w:val="bottom"/>
          </w:tcPr>
          <w:p>
            <w:pPr>
              <w:spacing w:after="0"/>
              <w:rPr>
                <w:sz w:val="15"/>
                <w:szCs w:val="15"/>
                <w:color w:val="auto"/>
              </w:rPr>
            </w:pPr>
          </w:p>
        </w:tc>
        <w:tc>
          <w:tcPr>
            <w:tcW w:w="860" w:type="dxa"/>
            <w:vAlign w:val="bottom"/>
          </w:tcPr>
          <w:p>
            <w:pPr>
              <w:jc w:val="right"/>
              <w:ind w:right="66"/>
              <w:spacing w:after="0" w:line="176" w:lineRule="exact"/>
              <w:rPr>
                <w:sz w:val="20"/>
                <w:szCs w:val="20"/>
                <w:color w:val="auto"/>
              </w:rPr>
            </w:pPr>
            <w:r>
              <w:rPr>
                <w:rFonts w:ascii="Arial" w:cs="Arial" w:eastAsia="Arial" w:hAnsi="Arial"/>
                <w:sz w:val="16"/>
                <w:szCs w:val="16"/>
                <w:b w:val="1"/>
                <w:bCs w:val="1"/>
                <w:color w:val="auto"/>
              </w:rPr>
              <w:t>Private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4"/>
          </w:tcPr>
          <w:p>
            <w:pPr>
              <w:jc w:val="center"/>
              <w:ind w:right="501"/>
              <w:spacing w:after="0" w:line="176" w:lineRule="exact"/>
              <w:rPr>
                <w:sz w:val="20"/>
                <w:szCs w:val="20"/>
                <w:color w:val="auto"/>
              </w:rPr>
            </w:pPr>
            <w:r>
              <w:rPr>
                <w:rFonts w:ascii="Arial" w:cs="Arial" w:eastAsia="Arial" w:hAnsi="Arial"/>
                <w:sz w:val="16"/>
                <w:szCs w:val="16"/>
                <w:b w:val="1"/>
                <w:bCs w:val="1"/>
                <w:color w:val="auto"/>
              </w:rPr>
              <w:t>Private</w:t>
            </w:r>
          </w:p>
        </w:tc>
        <w:tc>
          <w:tcPr>
            <w:tcW w:w="760" w:type="dxa"/>
            <w:vAlign w:val="bottom"/>
            <w:gridSpan w:val="4"/>
          </w:tcPr>
          <w:p>
            <w:pPr>
              <w:ind w:left="60"/>
              <w:spacing w:after="0" w:line="176" w:lineRule="exact"/>
              <w:rPr>
                <w:sz w:val="20"/>
                <w:szCs w:val="20"/>
                <w:color w:val="auto"/>
              </w:rPr>
            </w:pPr>
            <w:r>
              <w:rPr>
                <w:rFonts w:ascii="Arial" w:cs="Arial" w:eastAsia="Arial" w:hAnsi="Arial"/>
                <w:sz w:val="16"/>
                <w:szCs w:val="16"/>
                <w:b w:val="1"/>
                <w:bCs w:val="1"/>
                <w:color w:val="auto"/>
              </w:rPr>
              <w:t>Hedge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right"/>
              <w:ind w:right="21"/>
              <w:spacing w:after="0" w:line="176" w:lineRule="exact"/>
              <w:rPr>
                <w:sz w:val="20"/>
                <w:szCs w:val="20"/>
                <w:color w:val="auto"/>
              </w:rPr>
            </w:pPr>
            <w:r>
              <w:rPr>
                <w:rFonts w:ascii="Arial" w:cs="Arial" w:eastAsia="Arial" w:hAnsi="Arial"/>
                <w:sz w:val="16"/>
                <w:szCs w:val="16"/>
                <w:b w:val="1"/>
                <w:bCs w:val="1"/>
                <w:color w:val="auto"/>
              </w:rPr>
              <w:t>Real Estate</w:t>
            </w:r>
          </w:p>
        </w:tc>
        <w:tc>
          <w:tcPr>
            <w:tcW w:w="300" w:type="dxa"/>
            <w:vAlign w:val="bottom"/>
          </w:tcPr>
          <w:p>
            <w:pPr>
              <w:spacing w:after="0"/>
              <w:rPr>
                <w:sz w:val="15"/>
                <w:szCs w:val="15"/>
                <w:color w:val="auto"/>
              </w:rPr>
            </w:pPr>
          </w:p>
        </w:tc>
        <w:tc>
          <w:tcPr>
            <w:tcW w:w="1060" w:type="dxa"/>
            <w:vAlign w:val="bottom"/>
            <w:gridSpan w:val="3"/>
          </w:tcPr>
          <w:p>
            <w:pPr>
              <w:jc w:val="right"/>
              <w:ind w:right="3"/>
              <w:spacing w:after="0" w:line="176" w:lineRule="exact"/>
              <w:rPr>
                <w:sz w:val="20"/>
                <w:szCs w:val="20"/>
                <w:color w:val="auto"/>
              </w:rPr>
            </w:pPr>
            <w:r>
              <w:rPr>
                <w:rFonts w:ascii="Arial" w:cs="Arial" w:eastAsia="Arial" w:hAnsi="Arial"/>
                <w:sz w:val="16"/>
                <w:szCs w:val="16"/>
                <w:b w:val="1"/>
                <w:bCs w:val="1"/>
                <w:color w:val="auto"/>
              </w:rPr>
              <w:t>Real Estate</w:t>
            </w:r>
          </w:p>
        </w:tc>
      </w:tr>
      <w:tr>
        <w:trPr>
          <w:trHeight w:val="204"/>
        </w:trPr>
        <w:tc>
          <w:tcPr>
            <w:tcW w:w="5480" w:type="dxa"/>
            <w:vAlign w:val="bottom"/>
          </w:tcPr>
          <w:p>
            <w:pPr>
              <w:spacing w:after="0"/>
              <w:rPr>
                <w:sz w:val="17"/>
                <w:szCs w:val="17"/>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rPr>
              <w:t>Funds</w:t>
            </w:r>
          </w:p>
        </w:tc>
        <w:tc>
          <w:tcPr>
            <w:tcW w:w="300" w:type="dxa"/>
            <w:vAlign w:val="bottom"/>
          </w:tcPr>
          <w:p>
            <w:pPr>
              <w:spacing w:after="0"/>
              <w:rPr>
                <w:sz w:val="17"/>
                <w:szCs w:val="17"/>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Investments</w:t>
            </w:r>
          </w:p>
        </w:tc>
        <w:tc>
          <w:tcPr>
            <w:tcW w:w="3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Funds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6"/>
                <w:szCs w:val="16"/>
                <w:b w:val="1"/>
                <w:bCs w:val="1"/>
                <w:color w:val="auto"/>
              </w:rPr>
              <w:t>Funds</w:t>
            </w:r>
          </w:p>
        </w:tc>
        <w:tc>
          <w:tcPr>
            <w:tcW w:w="300" w:type="dxa"/>
            <w:vAlign w:val="bottom"/>
          </w:tcPr>
          <w:p>
            <w:pPr>
              <w:spacing w:after="0"/>
              <w:rPr>
                <w:sz w:val="17"/>
                <w:szCs w:val="17"/>
                <w:color w:val="auto"/>
              </w:rPr>
            </w:pPr>
          </w:p>
        </w:tc>
        <w:tc>
          <w:tcPr>
            <w:tcW w:w="10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6"/>
                <w:szCs w:val="16"/>
                <w:b w:val="1"/>
                <w:bCs w:val="1"/>
                <w:color w:val="auto"/>
              </w:rPr>
              <w:t>Properties</w:t>
            </w:r>
          </w:p>
        </w:tc>
      </w:tr>
      <w:tr>
        <w:trPr>
          <w:trHeight w:val="264"/>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2010</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$ 1,053</w:t>
            </w:r>
          </w:p>
        </w:tc>
        <w:tc>
          <w:tcPr>
            <w:tcW w:w="54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w:t>
            </w: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167</w:t>
            </w:r>
          </w:p>
        </w:tc>
        <w:tc>
          <w:tcPr>
            <w:tcW w:w="16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w:t>
            </w:r>
          </w:p>
        </w:tc>
        <w:tc>
          <w:tcPr>
            <w:tcW w:w="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ind w:right="227"/>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214</w:t>
            </w:r>
          </w:p>
        </w:tc>
        <w:tc>
          <w:tcPr>
            <w:tcW w:w="240" w:type="dxa"/>
            <w:vAlign w:val="bottom"/>
            <w:shd w:val="clear" w:color="auto" w:fill="E5FFFF"/>
          </w:tcPr>
          <w:p>
            <w:pPr>
              <w:spacing w:after="0"/>
              <w:rPr>
                <w:sz w:val="22"/>
                <w:szCs w:val="22"/>
                <w:color w:val="auto"/>
              </w:rPr>
            </w:pPr>
          </w:p>
        </w:tc>
        <w:tc>
          <w:tcPr>
            <w:tcW w:w="760" w:type="dxa"/>
            <w:vAlign w:val="bottom"/>
            <w:gridSpan w:val="2"/>
            <w:shd w:val="clear" w:color="auto" w:fill="E5FFFF"/>
          </w:tcPr>
          <w:p>
            <w:pPr>
              <w:jc w:val="right"/>
              <w:ind w:right="21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494</w:t>
            </w:r>
          </w:p>
        </w:tc>
      </w:tr>
      <w:tr>
        <w:trPr>
          <w:trHeight w:val="243"/>
        </w:trPr>
        <w:tc>
          <w:tcPr>
            <w:tcW w:w="5480" w:type="dxa"/>
            <w:vAlign w:val="bottom"/>
          </w:tcPr>
          <w:p>
            <w:pPr>
              <w:ind w:left="20"/>
              <w:spacing w:after="0"/>
              <w:rPr>
                <w:sz w:val="20"/>
                <w:szCs w:val="20"/>
                <w:color w:val="auto"/>
              </w:rPr>
            </w:pPr>
            <w:r>
              <w:rPr>
                <w:rFonts w:ascii="Arial" w:cs="Arial" w:eastAsia="Arial" w:hAnsi="Arial"/>
                <w:sz w:val="19"/>
                <w:szCs w:val="19"/>
                <w:color w:val="auto"/>
              </w:rPr>
              <w:t>Actual return on plan assets: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4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Relating to assets still held at year-end</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(9 )</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4</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(7 )</w:t>
            </w: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41</w:t>
            </w:r>
          </w:p>
        </w:tc>
      </w:tr>
      <w:tr>
        <w:trPr>
          <w:trHeight w:val="270"/>
        </w:trPr>
        <w:tc>
          <w:tcPr>
            <w:tcW w:w="5480" w:type="dxa"/>
            <w:vAlign w:val="bottom"/>
          </w:tcPr>
          <w:p>
            <w:pPr>
              <w:ind w:left="380"/>
              <w:spacing w:after="0"/>
              <w:rPr>
                <w:sz w:val="20"/>
                <w:szCs w:val="20"/>
                <w:color w:val="auto"/>
              </w:rPr>
            </w:pPr>
            <w:r>
              <w:rPr>
                <w:rFonts w:ascii="Arial" w:cs="Arial" w:eastAsia="Arial" w:hAnsi="Arial"/>
                <w:sz w:val="19"/>
                <w:szCs w:val="19"/>
                <w:color w:val="auto"/>
              </w:rPr>
              <w:t>Relating to assets sold during the year</w:t>
            </w:r>
          </w:p>
        </w:tc>
        <w:tc>
          <w:tcPr>
            <w:tcW w:w="86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25"/>
              <w:spacing w:after="0"/>
              <w:rPr>
                <w:sz w:val="20"/>
                <w:szCs w:val="20"/>
                <w:color w:val="auto"/>
              </w:rPr>
            </w:pPr>
            <w:r>
              <w:rPr>
                <w:rFonts w:ascii="Arial" w:cs="Arial" w:eastAsia="Arial" w:hAnsi="Arial"/>
                <w:sz w:val="19"/>
                <w:szCs w:val="19"/>
                <w:color w:val="auto"/>
              </w:rPr>
              <w:t>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ind w:right="16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163"/>
              <w:spacing w:after="0"/>
              <w:rPr>
                <w:sz w:val="20"/>
                <w:szCs w:val="20"/>
                <w:color w:val="auto"/>
              </w:rPr>
            </w:pPr>
            <w:r>
              <w:rPr>
                <w:rFonts w:ascii="Arial" w:cs="Arial" w:eastAsia="Arial" w:hAnsi="Arial"/>
                <w:sz w:val="19"/>
                <w:szCs w:val="19"/>
                <w:color w:val="auto"/>
              </w:rPr>
              <w:t>—</w:t>
            </w: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163</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31</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w:t>
            </w: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19</w:t>
            </w:r>
          </w:p>
        </w:tc>
      </w:tr>
      <w:tr>
        <w:trPr>
          <w:trHeight w:val="270"/>
        </w:trPr>
        <w:tc>
          <w:tcPr>
            <w:tcW w:w="5480" w:type="dxa"/>
            <w:vAlign w:val="bottom"/>
          </w:tcPr>
          <w:p>
            <w:pPr>
              <w:ind w:left="20"/>
              <w:spacing w:after="0"/>
              <w:rPr>
                <w:sz w:val="20"/>
                <w:szCs w:val="20"/>
                <w:color w:val="auto"/>
              </w:rPr>
            </w:pPr>
            <w:r>
              <w:rPr>
                <w:rFonts w:ascii="Arial" w:cs="Arial" w:eastAsia="Arial" w:hAnsi="Arial"/>
                <w:sz w:val="19"/>
                <w:szCs w:val="19"/>
                <w:color w:val="auto"/>
              </w:rPr>
              <w:t>Sales and settlements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(49 )</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w w:val="97"/>
              </w:rPr>
              <w:t>(27 )</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9"/>
                <w:szCs w:val="19"/>
                <w:color w:val="auto"/>
              </w:rPr>
              <w:t>(32 )</w:t>
            </w:r>
          </w:p>
        </w:tc>
        <w:tc>
          <w:tcPr>
            <w:tcW w:w="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9"/>
                <w:szCs w:val="19"/>
                <w:color w:val="auto"/>
              </w:rPr>
              <w:t>(1 )</w:t>
            </w:r>
          </w:p>
        </w:tc>
      </w:tr>
      <w:tr>
        <w:trPr>
          <w:trHeight w:val="34"/>
        </w:trPr>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2011</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1,039</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161</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256</w:t>
            </w: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553</w:t>
            </w:r>
          </w:p>
        </w:tc>
      </w:tr>
      <w:tr>
        <w:trPr>
          <w:trHeight w:val="243"/>
        </w:trPr>
        <w:tc>
          <w:tcPr>
            <w:tcW w:w="5480" w:type="dxa"/>
            <w:vAlign w:val="bottom"/>
          </w:tcPr>
          <w:p>
            <w:pPr>
              <w:ind w:left="20"/>
              <w:spacing w:after="0"/>
              <w:rPr>
                <w:sz w:val="20"/>
                <w:szCs w:val="20"/>
                <w:color w:val="auto"/>
              </w:rPr>
            </w:pPr>
            <w:r>
              <w:rPr>
                <w:rFonts w:ascii="Arial" w:cs="Arial" w:eastAsia="Arial" w:hAnsi="Arial"/>
                <w:sz w:val="19"/>
                <w:szCs w:val="19"/>
                <w:color w:val="auto"/>
              </w:rPr>
              <w:t>Actual return on plan assets: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4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Relating to assets still held at year-end</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44</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12</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w:t>
            </w: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29</w:t>
            </w:r>
          </w:p>
        </w:tc>
      </w:tr>
      <w:tr>
        <w:trPr>
          <w:trHeight w:val="270"/>
        </w:trPr>
        <w:tc>
          <w:tcPr>
            <w:tcW w:w="5480" w:type="dxa"/>
            <w:vAlign w:val="bottom"/>
          </w:tcPr>
          <w:p>
            <w:pPr>
              <w:ind w:left="380"/>
              <w:spacing w:after="0"/>
              <w:rPr>
                <w:sz w:val="20"/>
                <w:szCs w:val="20"/>
                <w:color w:val="auto"/>
              </w:rPr>
            </w:pPr>
            <w:r>
              <w:rPr>
                <w:rFonts w:ascii="Arial" w:cs="Arial" w:eastAsia="Arial" w:hAnsi="Arial"/>
                <w:sz w:val="19"/>
                <w:szCs w:val="19"/>
                <w:color w:val="auto"/>
              </w:rPr>
              <w:t>Relating to assets sold during the year</w:t>
            </w:r>
          </w:p>
        </w:tc>
        <w:tc>
          <w:tcPr>
            <w:tcW w:w="860" w:type="dxa"/>
            <w:vAlign w:val="bottom"/>
          </w:tcPr>
          <w:p>
            <w:pPr>
              <w:jc w:val="right"/>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25"/>
              <w:spacing w:after="0"/>
              <w:rPr>
                <w:sz w:val="20"/>
                <w:szCs w:val="20"/>
                <w:color w:val="auto"/>
              </w:rPr>
            </w:pPr>
            <w:r>
              <w:rPr>
                <w:rFonts w:ascii="Arial" w:cs="Arial" w:eastAsia="Arial" w:hAnsi="Arial"/>
                <w:sz w:val="19"/>
                <w:szCs w:val="19"/>
                <w:color w:val="auto"/>
              </w:rPr>
              <w:t>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gridSpan w:val="3"/>
          </w:tcPr>
          <w:p>
            <w:pPr>
              <w:jc w:val="right"/>
              <w:ind w:right="81"/>
              <w:spacing w:after="0"/>
              <w:rPr>
                <w:sz w:val="20"/>
                <w:szCs w:val="20"/>
                <w:color w:val="auto"/>
              </w:rPr>
            </w:pPr>
            <w:r>
              <w:rPr>
                <w:rFonts w:ascii="Arial" w:cs="Arial" w:eastAsia="Arial" w:hAnsi="Arial"/>
                <w:sz w:val="19"/>
                <w:szCs w:val="19"/>
                <w:color w:val="auto"/>
              </w:rPr>
              <w:t>(1 )</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163"/>
              <w:spacing w:after="0"/>
              <w:rPr>
                <w:sz w:val="20"/>
                <w:szCs w:val="20"/>
                <w:color w:val="auto"/>
              </w:rPr>
            </w:pPr>
            <w:r>
              <w:rPr>
                <w:rFonts w:ascii="Arial" w:cs="Arial" w:eastAsia="Arial" w:hAnsi="Arial"/>
                <w:sz w:val="19"/>
                <w:szCs w:val="19"/>
                <w:color w:val="auto"/>
              </w:rPr>
              <w:t>—</w:t>
            </w: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w:t>
            </w:r>
          </w:p>
        </w:tc>
        <w:tc>
          <w:tcPr>
            <w:tcW w:w="860" w:type="dxa"/>
            <w:vAlign w:val="bottom"/>
            <w:shd w:val="clear" w:color="auto" w:fill="E5FFFF"/>
          </w:tcPr>
          <w:p>
            <w:pPr>
              <w:jc w:val="right"/>
              <w:ind w:right="46"/>
              <w:spacing w:after="0"/>
              <w:rPr>
                <w:sz w:val="20"/>
                <w:szCs w:val="20"/>
                <w:color w:val="auto"/>
              </w:rPr>
            </w:pPr>
            <w:r>
              <w:rPr>
                <w:rFonts w:ascii="Arial" w:cs="Arial" w:eastAsia="Arial" w:hAnsi="Arial"/>
                <w:sz w:val="19"/>
                <w:szCs w:val="19"/>
                <w:color w:val="auto"/>
              </w:rPr>
              <w:t>147</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5"/>
              <w:spacing w:after="0"/>
              <w:rPr>
                <w:sz w:val="20"/>
                <w:szCs w:val="20"/>
                <w:color w:val="auto"/>
              </w:rPr>
            </w:pPr>
            <w:r>
              <w:rPr>
                <w:rFonts w:ascii="Arial" w:cs="Arial" w:eastAsia="Arial" w:hAnsi="Arial"/>
                <w:sz w:val="19"/>
                <w:szCs w:val="19"/>
                <w:color w:val="auto"/>
              </w:rPr>
              <w:t>65</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41</w:t>
            </w:r>
          </w:p>
        </w:tc>
      </w:tr>
      <w:tr>
        <w:trPr>
          <w:trHeight w:val="270"/>
        </w:trPr>
        <w:tc>
          <w:tcPr>
            <w:tcW w:w="5480" w:type="dxa"/>
            <w:vAlign w:val="bottom"/>
          </w:tcPr>
          <w:p>
            <w:pPr>
              <w:ind w:left="20"/>
              <w:spacing w:after="0"/>
              <w:rPr>
                <w:sz w:val="20"/>
                <w:szCs w:val="20"/>
                <w:color w:val="auto"/>
              </w:rPr>
            </w:pPr>
            <w:r>
              <w:rPr>
                <w:rFonts w:ascii="Arial" w:cs="Arial" w:eastAsia="Arial" w:hAnsi="Arial"/>
                <w:sz w:val="19"/>
                <w:szCs w:val="19"/>
                <w:color w:val="auto"/>
              </w:rPr>
              <w:t>Sales and settlements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(129 )</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(17 )</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w w:val="97"/>
              </w:rPr>
              <w:t>(24 )</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9"/>
                <w:szCs w:val="19"/>
                <w:color w:val="auto"/>
              </w:rPr>
              <w:t>(48 )</w:t>
            </w:r>
          </w:p>
        </w:tc>
        <w:tc>
          <w:tcPr>
            <w:tcW w:w="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9"/>
                <w:szCs w:val="19"/>
                <w:color w:val="auto"/>
              </w:rPr>
              <w:t>(28 )</w:t>
            </w:r>
          </w:p>
        </w:tc>
      </w:tr>
      <w:tr>
        <w:trPr>
          <w:trHeight w:val="34"/>
        </w:trPr>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2012</w:t>
            </w:r>
          </w:p>
        </w:tc>
        <w:tc>
          <w:tcPr>
            <w:tcW w:w="860" w:type="dxa"/>
            <w:vAlign w:val="bottom"/>
            <w:tcBorders>
              <w:bottom w:val="single" w:sz="8" w:color="auto"/>
            </w:tcBorders>
            <w:shd w:val="clear" w:color="auto" w:fill="E5FFFF"/>
          </w:tcPr>
          <w:p>
            <w:pPr>
              <w:jc w:val="right"/>
              <w:ind w:right="46"/>
              <w:spacing w:after="0"/>
              <w:rPr>
                <w:sz w:val="20"/>
                <w:szCs w:val="20"/>
                <w:color w:val="auto"/>
              </w:rPr>
            </w:pPr>
            <w:r>
              <w:rPr>
                <w:rFonts w:ascii="Arial" w:cs="Arial" w:eastAsia="Arial" w:hAnsi="Arial"/>
                <w:sz w:val="19"/>
                <w:szCs w:val="19"/>
                <w:color w:val="auto"/>
              </w:rPr>
              <w:t>$ 1,100</w:t>
            </w:r>
          </w:p>
        </w:tc>
        <w:tc>
          <w:tcPr>
            <w:tcW w:w="30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5FFFF"/>
          </w:tcPr>
          <w:p>
            <w:pPr>
              <w:jc w:val="right"/>
              <w:ind w:right="125"/>
              <w:spacing w:after="0"/>
              <w:rPr>
                <w:sz w:val="20"/>
                <w:szCs w:val="20"/>
                <w:color w:val="auto"/>
              </w:rPr>
            </w:pPr>
            <w:r>
              <w:rPr>
                <w:rFonts w:ascii="Arial" w:cs="Arial" w:eastAsia="Arial" w:hAnsi="Arial"/>
                <w:sz w:val="19"/>
                <w:szCs w:val="19"/>
                <w:color w:val="auto"/>
              </w:rPr>
              <w:t>227</w:t>
            </w: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80" w:type="dxa"/>
            <w:vAlign w:val="bottom"/>
            <w:tcBorders>
              <w:bottom w:val="single" w:sz="8" w:color="auto"/>
            </w:tcBorders>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60" w:type="dxa"/>
            <w:vAlign w:val="bottom"/>
            <w:gridSpan w:val="2"/>
            <w:shd w:val="clear" w:color="auto" w:fill="E5FFFF"/>
          </w:tcPr>
          <w:p>
            <w:pPr>
              <w:spacing w:after="0"/>
              <w:rPr>
                <w:sz w:val="23"/>
                <w:szCs w:val="23"/>
                <w:color w:val="auto"/>
              </w:rPr>
            </w:pPr>
          </w:p>
        </w:tc>
        <w:tc>
          <w:tcPr>
            <w:tcW w:w="480" w:type="dxa"/>
            <w:vAlign w:val="bottom"/>
            <w:tcBorders>
              <w:bottom w:val="single" w:sz="8" w:color="auto"/>
            </w:tcBorders>
            <w:shd w:val="clear" w:color="auto" w:fill="E5FFFF"/>
          </w:tcPr>
          <w:p>
            <w:pPr>
              <w:jc w:val="right"/>
              <w:ind w:right="227"/>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254</w:t>
            </w:r>
          </w:p>
        </w:tc>
        <w:tc>
          <w:tcPr>
            <w:tcW w:w="24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jc w:val="right"/>
              <w:ind w:right="210"/>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gridSpan w:val="2"/>
            <w:shd w:val="clear" w:color="auto" w:fill="E5FFFF"/>
          </w:tcPr>
          <w:p>
            <w:pPr>
              <w:jc w:val="right"/>
              <w:ind w:right="163"/>
              <w:spacing w:after="0"/>
              <w:rPr>
                <w:sz w:val="20"/>
                <w:szCs w:val="20"/>
                <w:color w:val="auto"/>
              </w:rPr>
            </w:pPr>
            <w:r>
              <w:rPr>
                <w:rFonts w:ascii="Arial" w:cs="Arial" w:eastAsia="Arial" w:hAnsi="Arial"/>
                <w:sz w:val="19"/>
                <w:szCs w:val="19"/>
                <w:color w:val="auto"/>
              </w:rPr>
              <w:t>595</w:t>
            </w:r>
          </w:p>
        </w:tc>
      </w:tr>
      <w:tr>
        <w:trPr>
          <w:trHeight w:val="20"/>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78"/>
        </w:trPr>
        <w:tc>
          <w:tcPr>
            <w:tcW w:w="5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6"/>
                <w:szCs w:val="16"/>
                <w:b w:val="1"/>
                <w:bCs w:val="1"/>
                <w:color w:val="auto"/>
                <w:w w:val="97"/>
              </w:rPr>
              <w:t>Non-U.S. Plans</w:t>
            </w: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6"/>
          </w:tcPr>
          <w:p>
            <w:pPr>
              <w:ind w:left="100"/>
              <w:spacing w:after="0" w:line="168" w:lineRule="exact"/>
              <w:rPr>
                <w:sz w:val="20"/>
                <w:szCs w:val="20"/>
                <w:color w:val="auto"/>
              </w:rPr>
            </w:pPr>
            <w:r>
              <w:rPr>
                <w:rFonts w:ascii="Arial" w:cs="Arial" w:eastAsia="Arial" w:hAnsi="Arial"/>
                <w:sz w:val="16"/>
                <w:szCs w:val="16"/>
                <w:b w:val="1"/>
                <w:bCs w:val="1"/>
                <w:color w:val="auto"/>
              </w:rPr>
              <w:t>Private</w:t>
            </w:r>
          </w:p>
        </w:tc>
        <w:tc>
          <w:tcPr>
            <w:tcW w:w="8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Hedge</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right"/>
              <w:spacing w:after="0" w:line="168" w:lineRule="exact"/>
              <w:rPr>
                <w:sz w:val="20"/>
                <w:szCs w:val="20"/>
                <w:color w:val="auto"/>
              </w:rPr>
            </w:pPr>
            <w:r>
              <w:rPr>
                <w:rFonts w:ascii="Arial" w:cs="Arial" w:eastAsia="Arial" w:hAnsi="Arial"/>
                <w:sz w:val="16"/>
                <w:szCs w:val="16"/>
                <w:b w:val="1"/>
                <w:bCs w:val="1"/>
                <w:color w:val="auto"/>
              </w:rPr>
              <w:t>Real Estate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4"/>
        </w:trPr>
        <w:tc>
          <w:tcPr>
            <w:tcW w:w="5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6"/>
                <w:szCs w:val="16"/>
                <w:b w:val="1"/>
                <w:bCs w:val="1"/>
                <w:color w:val="auto"/>
              </w:rPr>
              <w:t>Funds</w:t>
            </w:r>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Funds</w:t>
            </w: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Funds</w:t>
            </w:r>
          </w:p>
        </w:tc>
        <w:tc>
          <w:tcPr>
            <w:tcW w:w="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264"/>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2010</w:t>
            </w:r>
          </w:p>
        </w:tc>
        <w:tc>
          <w:tcPr>
            <w:tcW w:w="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2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2"/>
                <w:szCs w:val="22"/>
                <w:color w:val="auto"/>
              </w:rPr>
            </w:pPr>
          </w:p>
        </w:tc>
        <w:tc>
          <w:tcPr>
            <w:tcW w:w="3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89</w:t>
            </w:r>
          </w:p>
        </w:tc>
        <w:tc>
          <w:tcPr>
            <w:tcW w:w="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40" w:type="dxa"/>
            <w:vAlign w:val="bottom"/>
            <w:gridSpan w:val="3"/>
            <w:shd w:val="clear" w:color="auto" w:fill="E5FFFF"/>
          </w:tcPr>
          <w:p>
            <w:pPr>
              <w:jc w:val="right"/>
              <w:ind w:right="7"/>
              <w:spacing w:after="0"/>
              <w:rPr>
                <w:sz w:val="20"/>
                <w:szCs w:val="20"/>
                <w:color w:val="auto"/>
              </w:rPr>
            </w:pPr>
            <w:r>
              <w:rPr>
                <w:rFonts w:ascii="Arial" w:cs="Arial" w:eastAsia="Arial" w:hAnsi="Arial"/>
                <w:sz w:val="19"/>
                <w:szCs w:val="19"/>
                <w:color w:val="auto"/>
              </w:rPr>
              <w:t>$ 55</w:t>
            </w:r>
          </w:p>
        </w:tc>
        <w:tc>
          <w:tcPr>
            <w:tcW w:w="5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169</w:t>
            </w:r>
          </w:p>
        </w:tc>
        <w:tc>
          <w:tcPr>
            <w:tcW w:w="80" w:type="dxa"/>
            <w:vAlign w:val="bottom"/>
            <w:shd w:val="clear" w:color="auto" w:fill="E5FFFF"/>
          </w:tcPr>
          <w:p>
            <w:pPr>
              <w:spacing w:after="0"/>
              <w:rPr>
                <w:sz w:val="22"/>
                <w:szCs w:val="22"/>
                <w:color w:val="auto"/>
              </w:rPr>
            </w:pPr>
          </w:p>
        </w:tc>
        <w:tc>
          <w:tcPr>
            <w:tcW w:w="520" w:type="dxa"/>
            <w:vAlign w:val="bottom"/>
          </w:tcPr>
          <w:p>
            <w:pPr>
              <w:spacing w:after="0"/>
              <w:rPr>
                <w:sz w:val="22"/>
                <w:szCs w:val="22"/>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9"/>
                <w:szCs w:val="19"/>
                <w:color w:val="auto"/>
              </w:rPr>
              <w:t>Actual return on plan assets: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4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Relating to assets still held at year-end</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(1 )</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7</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tcPr>
          <w:p>
            <w:pPr>
              <w:ind w:left="380"/>
              <w:spacing w:after="0"/>
              <w:rPr>
                <w:sz w:val="20"/>
                <w:szCs w:val="20"/>
                <w:color w:val="auto"/>
              </w:rPr>
            </w:pPr>
            <w:r>
              <w:rPr>
                <w:rFonts w:ascii="Arial" w:cs="Arial" w:eastAsia="Arial" w:hAnsi="Arial"/>
                <w:sz w:val="19"/>
                <w:szCs w:val="19"/>
                <w:color w:val="auto"/>
              </w:rPr>
              <w:t>Relating to assets sold during the year</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43"/>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13</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460" w:type="dxa"/>
            <w:vAlign w:val="bottom"/>
            <w:shd w:val="clear" w:color="auto" w:fill="E5FFFF"/>
          </w:tcPr>
          <w:p>
            <w:pPr>
              <w:jc w:val="right"/>
              <w:ind w:right="70"/>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9"/>
                <w:szCs w:val="19"/>
                <w:color w:val="auto"/>
              </w:rPr>
              <w:t>Sales and settlements</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(18 )</w:t>
            </w:r>
          </w:p>
        </w:tc>
        <w:tc>
          <w:tcPr>
            <w:tcW w:w="8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r>
      <w:tr>
        <w:trPr>
          <w:trHeight w:val="34"/>
        </w:trPr>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2011</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540" w:type="dxa"/>
            <w:vAlign w:val="bottom"/>
            <w:gridSpan w:val="2"/>
            <w:shd w:val="clear" w:color="auto" w:fill="E5FFFF"/>
          </w:tcPr>
          <w:p>
            <w:pPr>
              <w:jc w:val="right"/>
              <w:ind w:right="43"/>
              <w:spacing w:after="0"/>
              <w:rPr>
                <w:sz w:val="20"/>
                <w:szCs w:val="20"/>
                <w:color w:val="auto"/>
              </w:rPr>
            </w:pPr>
            <w:r>
              <w:rPr>
                <w:rFonts w:ascii="Arial" w:cs="Arial" w:eastAsia="Arial" w:hAnsi="Arial"/>
                <w:sz w:val="19"/>
                <w:szCs w:val="19"/>
                <w:color w:val="auto"/>
              </w:rPr>
              <w:t>112</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40" w:type="dxa"/>
            <w:vAlign w:val="bottom"/>
            <w:gridSpan w:val="3"/>
            <w:shd w:val="clear" w:color="auto" w:fill="E5FFFF"/>
          </w:tcPr>
          <w:p>
            <w:pPr>
              <w:jc w:val="right"/>
              <w:ind w:right="7"/>
              <w:spacing w:after="0"/>
              <w:rPr>
                <w:sz w:val="20"/>
                <w:szCs w:val="20"/>
                <w:color w:val="auto"/>
              </w:rPr>
            </w:pPr>
            <w:r>
              <w:rPr>
                <w:rFonts w:ascii="Arial" w:cs="Arial" w:eastAsia="Arial" w:hAnsi="Arial"/>
                <w:sz w:val="19"/>
                <w:szCs w:val="19"/>
                <w:color w:val="auto"/>
              </w:rPr>
              <w:t>54</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160</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9"/>
                <w:szCs w:val="19"/>
                <w:color w:val="auto"/>
              </w:rPr>
              <w:t>Actual return on plan assets: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4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Relating to assets still held at year-end</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40" w:type="dxa"/>
            <w:vAlign w:val="bottom"/>
            <w:gridSpan w:val="3"/>
            <w:shd w:val="clear" w:color="auto" w:fill="E5FFFF"/>
          </w:tcPr>
          <w:p>
            <w:pPr>
              <w:jc w:val="right"/>
              <w:ind w:right="7"/>
              <w:spacing w:after="0"/>
              <w:rPr>
                <w:sz w:val="20"/>
                <w:szCs w:val="20"/>
                <w:color w:val="auto"/>
              </w:rPr>
            </w:pPr>
            <w:r>
              <w:rPr>
                <w:rFonts w:ascii="Arial" w:cs="Arial" w:eastAsia="Arial" w:hAnsi="Arial"/>
                <w:sz w:val="19"/>
                <w:szCs w:val="19"/>
                <w:color w:val="auto"/>
              </w:rPr>
              <w:t>2</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8</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tcPr>
          <w:p>
            <w:pPr>
              <w:ind w:left="380"/>
              <w:spacing w:after="0"/>
              <w:rPr>
                <w:sz w:val="20"/>
                <w:szCs w:val="20"/>
                <w:color w:val="auto"/>
              </w:rPr>
            </w:pPr>
            <w:r>
              <w:rPr>
                <w:rFonts w:ascii="Arial" w:cs="Arial" w:eastAsia="Arial" w:hAnsi="Arial"/>
                <w:sz w:val="19"/>
                <w:szCs w:val="19"/>
                <w:color w:val="auto"/>
              </w:rPr>
              <w:t>Relating to assets sold during the year</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43"/>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jc w:val="right"/>
              <w:ind w:right="7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Purchases</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8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21</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48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21</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9"/>
                <w:szCs w:val="19"/>
                <w:color w:val="auto"/>
              </w:rPr>
              <w:t>Sales and settlements</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(32 )</w:t>
            </w:r>
          </w:p>
        </w:tc>
        <w:tc>
          <w:tcPr>
            <w:tcW w:w="8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r>
      <w:tr>
        <w:trPr>
          <w:trHeight w:val="34"/>
        </w:trPr>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48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at December 31, 2012</w:t>
            </w:r>
          </w:p>
        </w:tc>
        <w:tc>
          <w:tcPr>
            <w:tcW w:w="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740" w:type="dxa"/>
            <w:vAlign w:val="bottom"/>
            <w:gridSpan w:val="6"/>
            <w:shd w:val="clear" w:color="auto" w:fill="E5FFFF"/>
          </w:tcPr>
          <w:p>
            <w:pPr>
              <w:jc w:val="right"/>
              <w:ind w:right="43"/>
              <w:spacing w:after="0"/>
              <w:rPr>
                <w:sz w:val="20"/>
                <w:szCs w:val="20"/>
                <w:color w:val="auto"/>
              </w:rPr>
            </w:pPr>
            <w:r>
              <w:rPr>
                <w:rFonts w:ascii="Arial" w:cs="Arial" w:eastAsia="Arial" w:hAnsi="Arial"/>
                <w:sz w:val="19"/>
                <w:szCs w:val="19"/>
                <w:color w:val="auto"/>
              </w:rPr>
              <w:t>$ 136</w:t>
            </w:r>
          </w:p>
        </w:tc>
        <w:tc>
          <w:tcPr>
            <w:tcW w:w="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640" w:type="dxa"/>
            <w:vAlign w:val="bottom"/>
            <w:gridSpan w:val="3"/>
            <w:shd w:val="clear" w:color="auto" w:fill="E5FFFF"/>
          </w:tcPr>
          <w:p>
            <w:pPr>
              <w:jc w:val="right"/>
              <w:ind w:right="7"/>
              <w:spacing w:after="0"/>
              <w:rPr>
                <w:sz w:val="20"/>
                <w:szCs w:val="20"/>
                <w:color w:val="auto"/>
              </w:rPr>
            </w:pPr>
            <w:r>
              <w:rPr>
                <w:rFonts w:ascii="Arial" w:cs="Arial" w:eastAsia="Arial" w:hAnsi="Arial"/>
                <w:sz w:val="19"/>
                <w:szCs w:val="19"/>
                <w:color w:val="auto"/>
              </w:rPr>
              <w:t>$ 56</w:t>
            </w:r>
          </w:p>
        </w:tc>
        <w:tc>
          <w:tcPr>
            <w:tcW w:w="58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157</w:t>
            </w:r>
          </w:p>
        </w:tc>
        <w:tc>
          <w:tcPr>
            <w:tcW w:w="8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0"/>
        </w:trPr>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49" w:lineRule="exact"/>
        <w:rPr>
          <w:sz w:val="20"/>
          <w:szCs w:val="20"/>
          <w:color w:val="auto"/>
        </w:rPr>
      </w:pPr>
    </w:p>
    <w:p>
      <w:pPr>
        <w:ind w:right="240" w:firstLine="357"/>
        <w:spacing w:after="0" w:line="242" w:lineRule="auto"/>
        <w:rPr>
          <w:sz w:val="20"/>
          <w:szCs w:val="20"/>
          <w:color w:val="auto"/>
        </w:rPr>
      </w:pPr>
      <w:r>
        <w:rPr>
          <w:rFonts w:ascii="Arial" w:cs="Arial" w:eastAsia="Arial" w:hAnsi="Arial"/>
          <w:sz w:val="19"/>
          <w:szCs w:val="19"/>
          <w:color w:val="auto"/>
        </w:rPr>
        <w:t>Our U.S. pension assets at December 31, 2012 and 2011 include $1,241 and $976 million, respectively, in notional derivative exposure primarily related to outstanding equity futures contracts. Our non-U.S. pension assets at December 31, 2012 include $55 million in notional derivative exposure primarily related to outstanding equity futures contracts. The Company enters into futures contracts to gain exposure to certain markets.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commingled funds which are valued using net asset values provided by the administrators of the funds. Investments in private equity, debt, real estate and hedge funds and direct private investments are valued at estimated fair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87" w:lineRule="exact"/>
        <w:rPr>
          <w:sz w:val="20"/>
          <w:szCs w:val="20"/>
          <w:color w:val="auto"/>
        </w:rPr>
      </w:pPr>
    </w:p>
    <w:p>
      <w:pPr>
        <w:ind w:right="260" w:firstLine="357"/>
        <w:spacing w:after="0"/>
        <w:rPr>
          <w:sz w:val="20"/>
          <w:szCs w:val="20"/>
          <w:color w:val="auto"/>
        </w:rPr>
      </w:pPr>
      <w:r>
        <w:rPr>
          <w:rFonts w:ascii="Arial" w:cs="Arial" w:eastAsia="Arial" w:hAnsi="Arial"/>
          <w:sz w:val="19"/>
          <w:szCs w:val="19"/>
          <w:color w:val="auto"/>
        </w:rPr>
        <w:t>Our general funding policy for qualified pension plans is to contribute amounts at least sufficient to satisfy regulatory funding standards. In 2012, 2011 and 2010, we were not required to make contributions to our U.S. pension plans, however, we made voluntary contributions of $ 792, $1,650 and $1,000 million, respectively, primarily to improve the funded status of our plans. These contributions do not reflect benefits paid directly from Company assets. In 2013, we expect to make cash contributions of approximately $150 million ($ 113 million was made in January 2013) to our non-U.S. defined benefit pension plans to satisfy regulatory funding standards. We do not have any required contributions for our U.S. defined benefit pension plans in 2013.</w:t>
      </w:r>
    </w:p>
    <w:p>
      <w:pPr>
        <w:spacing w:after="0" w:line="94"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Benefit payments, including amounts to be paid from Company assets, and reflecting expected future service, as appropriate, are expected to be paid as follows:</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7700" w:type="dxa"/>
            <w:vAlign w:val="bottom"/>
          </w:tcPr>
          <w:p>
            <w:pPr>
              <w:spacing w:after="0"/>
              <w:rPr>
                <w:sz w:val="17"/>
                <w:szCs w:val="17"/>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U.S. Plans</w:t>
            </w:r>
          </w:p>
        </w:tc>
        <w:tc>
          <w:tcPr>
            <w:tcW w:w="28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Non-U.S. Plans</w:t>
            </w:r>
          </w:p>
        </w:tc>
      </w:tr>
      <w:tr>
        <w:trPr>
          <w:trHeight w:val="264"/>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  1,043</w:t>
            </w:r>
          </w:p>
        </w:tc>
        <w:tc>
          <w:tcPr>
            <w:tcW w:w="7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196</w:t>
            </w:r>
          </w:p>
        </w:tc>
      </w:tr>
      <w:tr>
        <w:trPr>
          <w:trHeight w:val="270"/>
        </w:trPr>
        <w:tc>
          <w:tcPr>
            <w:tcW w:w="7700" w:type="dxa"/>
            <w:vAlign w:val="bottom"/>
          </w:tcPr>
          <w:p>
            <w:pPr>
              <w:ind w:left="20"/>
              <w:spacing w:after="0"/>
              <w:rPr>
                <w:sz w:val="20"/>
                <w:szCs w:val="20"/>
                <w:color w:val="auto"/>
              </w:rPr>
            </w:pPr>
            <w:r>
              <w:rPr>
                <w:rFonts w:ascii="Arial" w:cs="Arial" w:eastAsia="Arial" w:hAnsi="Arial"/>
                <w:sz w:val="19"/>
                <w:szCs w:val="19"/>
                <w:color w:val="auto"/>
              </w:rPr>
              <w:t>2014</w:t>
            </w:r>
          </w:p>
        </w:tc>
        <w:tc>
          <w:tcPr>
            <w:tcW w:w="960" w:type="dxa"/>
            <w:vAlign w:val="bottom"/>
          </w:tcPr>
          <w:p>
            <w:pPr>
              <w:jc w:val="right"/>
              <w:ind w:right="6"/>
              <w:spacing w:after="0"/>
              <w:rPr>
                <w:sz w:val="20"/>
                <w:szCs w:val="20"/>
                <w:color w:val="auto"/>
              </w:rPr>
            </w:pPr>
            <w:r>
              <w:rPr>
                <w:rFonts w:ascii="Arial" w:cs="Arial" w:eastAsia="Arial" w:hAnsi="Arial"/>
                <w:sz w:val="19"/>
                <w:szCs w:val="19"/>
                <w:color w:val="auto"/>
              </w:rPr>
              <w:t>1,045</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200</w:t>
            </w:r>
          </w:p>
        </w:tc>
      </w:tr>
      <w:tr>
        <w:trPr>
          <w:trHeight w:val="270"/>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2015</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1,087</w:t>
            </w:r>
          </w:p>
        </w:tc>
        <w:tc>
          <w:tcPr>
            <w:tcW w:w="2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205</w:t>
            </w:r>
          </w:p>
        </w:tc>
      </w:tr>
      <w:tr>
        <w:trPr>
          <w:trHeight w:val="270"/>
        </w:trPr>
        <w:tc>
          <w:tcPr>
            <w:tcW w:w="7700" w:type="dxa"/>
            <w:vAlign w:val="bottom"/>
          </w:tcPr>
          <w:p>
            <w:pPr>
              <w:ind w:left="20"/>
              <w:spacing w:after="0"/>
              <w:rPr>
                <w:sz w:val="20"/>
                <w:szCs w:val="20"/>
                <w:color w:val="auto"/>
              </w:rPr>
            </w:pPr>
            <w:r>
              <w:rPr>
                <w:rFonts w:ascii="Arial" w:cs="Arial" w:eastAsia="Arial" w:hAnsi="Arial"/>
                <w:sz w:val="19"/>
                <w:szCs w:val="19"/>
                <w:color w:val="auto"/>
              </w:rPr>
              <w:t>2016</w:t>
            </w:r>
          </w:p>
        </w:tc>
        <w:tc>
          <w:tcPr>
            <w:tcW w:w="960" w:type="dxa"/>
            <w:vAlign w:val="bottom"/>
          </w:tcPr>
          <w:p>
            <w:pPr>
              <w:jc w:val="right"/>
              <w:ind w:right="6"/>
              <w:spacing w:after="0"/>
              <w:rPr>
                <w:sz w:val="20"/>
                <w:szCs w:val="20"/>
                <w:color w:val="auto"/>
              </w:rPr>
            </w:pPr>
            <w:r>
              <w:rPr>
                <w:rFonts w:ascii="Arial" w:cs="Arial" w:eastAsia="Arial" w:hAnsi="Arial"/>
                <w:sz w:val="19"/>
                <w:szCs w:val="19"/>
                <w:color w:val="auto"/>
              </w:rPr>
              <w:t>1,075</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210</w:t>
            </w:r>
          </w:p>
        </w:tc>
      </w:tr>
      <w:tr>
        <w:trPr>
          <w:trHeight w:val="270"/>
        </w:trPr>
        <w:tc>
          <w:tcPr>
            <w:tcW w:w="77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2017</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1,071</w:t>
            </w:r>
          </w:p>
        </w:tc>
        <w:tc>
          <w:tcPr>
            <w:tcW w:w="280" w:type="dxa"/>
            <w:vAlign w:val="bottom"/>
            <w:shd w:val="clear" w:color="auto" w:fill="E5FFFF"/>
          </w:tcPr>
          <w:p>
            <w:pPr>
              <w:spacing w:after="0"/>
              <w:rPr>
                <w:sz w:val="23"/>
                <w:szCs w:val="23"/>
                <w:color w:val="auto"/>
              </w:rPr>
            </w:pPr>
          </w:p>
        </w:tc>
        <w:tc>
          <w:tcPr>
            <w:tcW w:w="50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215</w:t>
            </w:r>
          </w:p>
        </w:tc>
      </w:tr>
      <w:tr>
        <w:trPr>
          <w:trHeight w:val="274"/>
        </w:trPr>
        <w:tc>
          <w:tcPr>
            <w:tcW w:w="7700" w:type="dxa"/>
            <w:vAlign w:val="bottom"/>
          </w:tcPr>
          <w:p>
            <w:pPr>
              <w:ind w:left="20"/>
              <w:spacing w:after="0"/>
              <w:rPr>
                <w:sz w:val="20"/>
                <w:szCs w:val="20"/>
                <w:color w:val="auto"/>
              </w:rPr>
            </w:pPr>
            <w:r>
              <w:rPr>
                <w:rFonts w:ascii="Arial" w:cs="Arial" w:eastAsia="Arial" w:hAnsi="Arial"/>
                <w:sz w:val="19"/>
                <w:szCs w:val="19"/>
                <w:color w:val="auto"/>
              </w:rPr>
              <w:t>2018-2022</w:t>
            </w:r>
          </w:p>
        </w:tc>
        <w:tc>
          <w:tcPr>
            <w:tcW w:w="960" w:type="dxa"/>
            <w:vAlign w:val="bottom"/>
          </w:tcPr>
          <w:p>
            <w:pPr>
              <w:jc w:val="right"/>
              <w:ind w:right="6"/>
              <w:spacing w:after="0"/>
              <w:rPr>
                <w:sz w:val="20"/>
                <w:szCs w:val="20"/>
                <w:color w:val="auto"/>
              </w:rPr>
            </w:pPr>
            <w:r>
              <w:rPr>
                <w:rFonts w:ascii="Arial" w:cs="Arial" w:eastAsia="Arial" w:hAnsi="Arial"/>
                <w:sz w:val="19"/>
                <w:szCs w:val="19"/>
                <w:color w:val="auto"/>
              </w:rPr>
              <w:t>5,448</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9"/>
                <w:szCs w:val="19"/>
                <w:color w:val="auto"/>
              </w:rPr>
              <w:t>1,162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Postretirement Benefits</w:t>
      </w:r>
    </w:p>
    <w:p>
      <w:pPr>
        <w:spacing w:after="0" w:line="116"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The Medicare Prescription Drug, Improvement and Modernization Act of 2003 (the Act) provides subsidies for employers that sponsor postretirement health care plans that provide prescription drug coverage that is at least actuarially equivalent to that offered by Medicare Part D. The March 2010 enactment of the Patient Protection and Affordable Care Act, including modifications made in the Health Care and Education Reconciliation Act of 2010 resulted in a one-time, non-cash charge of $13 million related to income taxes in the first quarter of 2010. The charge results from a change in the tax treatment of the Medicare Part D program.</w:t>
      </w:r>
    </w:p>
    <w:p>
      <w:pPr>
        <w:spacing w:after="0" w:line="36"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8440" w:type="dxa"/>
            <w:vAlign w:val="bottom"/>
          </w:tcPr>
          <w:p>
            <w:pPr>
              <w:spacing w:after="0"/>
              <w:rPr>
                <w:sz w:val="17"/>
                <w:szCs w:val="17"/>
                <w:color w:val="auto"/>
              </w:rPr>
            </w:pPr>
          </w:p>
        </w:tc>
        <w:tc>
          <w:tcPr>
            <w:tcW w:w="19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440" w:type="dxa"/>
            <w:vAlign w:val="bottom"/>
          </w:tcPr>
          <w:p>
            <w:pPr>
              <w:spacing w:after="0"/>
              <w:rPr>
                <w:sz w:val="17"/>
                <w:szCs w:val="17"/>
                <w:color w:val="auto"/>
              </w:rPr>
            </w:pPr>
          </w:p>
        </w:tc>
        <w:tc>
          <w:tcPr>
            <w:tcW w:w="820" w:type="dxa"/>
            <w:vAlign w:val="bottom"/>
          </w:tcPr>
          <w:p>
            <w:pPr>
              <w:jc w:val="right"/>
              <w:ind w:right="150"/>
              <w:spacing w:after="0"/>
              <w:rPr>
                <w:sz w:val="20"/>
                <w:szCs w:val="20"/>
                <w:color w:val="auto"/>
              </w:rPr>
            </w:pPr>
            <w:r>
              <w:rPr>
                <w:rFonts w:ascii="Arial" w:cs="Arial" w:eastAsia="Arial" w:hAnsi="Arial"/>
                <w:sz w:val="16"/>
                <w:szCs w:val="16"/>
                <w:b w:val="1"/>
                <w:bCs w:val="1"/>
                <w:color w:val="auto"/>
              </w:rPr>
              <w:t>2012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2011</w:t>
            </w:r>
          </w:p>
        </w:tc>
      </w:tr>
      <w:tr>
        <w:trPr>
          <w:trHeight w:val="237"/>
        </w:trPr>
        <w:tc>
          <w:tcPr>
            <w:tcW w:w="84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Assumed health care cost trend rate:</w:t>
            </w:r>
          </w:p>
        </w:tc>
        <w:tc>
          <w:tcPr>
            <w:tcW w:w="820" w:type="dxa"/>
            <w:vAlign w:val="bottom"/>
            <w:tcBorders>
              <w:top w:val="single" w:sz="8" w:color="auto"/>
            </w:tcBorders>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60" w:type="dxa"/>
            <w:vAlign w:val="bottom"/>
            <w:tcBorders>
              <w:top w:val="single" w:sz="8" w:color="auto"/>
            </w:tcBorders>
            <w:shd w:val="clear" w:color="auto" w:fill="E5FFFF"/>
          </w:tcPr>
          <w:p>
            <w:pPr>
              <w:spacing w:after="0"/>
              <w:rPr>
                <w:sz w:val="20"/>
                <w:szCs w:val="20"/>
                <w:color w:val="auto"/>
              </w:rPr>
            </w:pPr>
          </w:p>
        </w:tc>
      </w:tr>
      <w:tr>
        <w:trPr>
          <w:trHeight w:val="270"/>
        </w:trPr>
        <w:tc>
          <w:tcPr>
            <w:tcW w:w="8440" w:type="dxa"/>
            <w:vAlign w:val="bottom"/>
          </w:tcPr>
          <w:p>
            <w:pPr>
              <w:ind w:left="380"/>
              <w:spacing w:after="0"/>
              <w:rPr>
                <w:sz w:val="20"/>
                <w:szCs w:val="20"/>
                <w:color w:val="auto"/>
              </w:rPr>
            </w:pPr>
            <w:r>
              <w:rPr>
                <w:rFonts w:ascii="Arial" w:cs="Arial" w:eastAsia="Arial" w:hAnsi="Arial"/>
                <w:sz w:val="19"/>
                <w:szCs w:val="19"/>
                <w:color w:val="auto"/>
              </w:rPr>
              <w:t>Health care cost trend rate assumed for next year</w:t>
            </w:r>
          </w:p>
        </w:tc>
        <w:tc>
          <w:tcPr>
            <w:tcW w:w="820" w:type="dxa"/>
            <w:vAlign w:val="bottom"/>
          </w:tcPr>
          <w:p>
            <w:pPr>
              <w:jc w:val="right"/>
              <w:spacing w:after="0"/>
              <w:rPr>
                <w:sz w:val="20"/>
                <w:szCs w:val="20"/>
                <w:color w:val="auto"/>
              </w:rPr>
            </w:pPr>
            <w:r>
              <w:rPr>
                <w:rFonts w:ascii="Arial" w:cs="Arial" w:eastAsia="Arial" w:hAnsi="Arial"/>
                <w:sz w:val="19"/>
                <w:szCs w:val="19"/>
                <w:color w:val="auto"/>
              </w:rPr>
              <w:t>7.00 %</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7.50 %</w:t>
            </w:r>
          </w:p>
        </w:tc>
      </w:tr>
      <w:tr>
        <w:trPr>
          <w:trHeight w:val="270"/>
        </w:trPr>
        <w:tc>
          <w:tcPr>
            <w:tcW w:w="844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Rate that the cost trend rate gradually declines to</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5.00 %</w:t>
            </w:r>
          </w:p>
        </w:tc>
        <w:tc>
          <w:tcPr>
            <w:tcW w:w="11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5.00 %</w:t>
            </w:r>
          </w:p>
        </w:tc>
      </w:tr>
      <w:tr>
        <w:trPr>
          <w:trHeight w:val="274"/>
        </w:trPr>
        <w:tc>
          <w:tcPr>
            <w:tcW w:w="8440" w:type="dxa"/>
            <w:vAlign w:val="bottom"/>
          </w:tcPr>
          <w:p>
            <w:pPr>
              <w:ind w:left="380"/>
              <w:spacing w:after="0"/>
              <w:rPr>
                <w:sz w:val="20"/>
                <w:szCs w:val="20"/>
                <w:color w:val="auto"/>
              </w:rPr>
            </w:pPr>
            <w:r>
              <w:rPr>
                <w:rFonts w:ascii="Arial" w:cs="Arial" w:eastAsia="Arial" w:hAnsi="Arial"/>
                <w:sz w:val="19"/>
                <w:szCs w:val="19"/>
                <w:color w:val="auto"/>
              </w:rPr>
              <w:t>Year that the rate reaches the rate it is assumed to remain at</w:t>
            </w:r>
          </w:p>
        </w:tc>
        <w:tc>
          <w:tcPr>
            <w:tcW w:w="820" w:type="dxa"/>
            <w:vAlign w:val="bottom"/>
          </w:tcPr>
          <w:p>
            <w:pPr>
              <w:jc w:val="right"/>
              <w:ind w:right="170"/>
              <w:spacing w:after="0"/>
              <w:rPr>
                <w:sz w:val="20"/>
                <w:szCs w:val="20"/>
                <w:color w:val="auto"/>
              </w:rPr>
            </w:pPr>
            <w:r>
              <w:rPr>
                <w:rFonts w:ascii="Arial" w:cs="Arial" w:eastAsia="Arial" w:hAnsi="Arial"/>
                <w:sz w:val="19"/>
                <w:szCs w:val="19"/>
                <w:color w:val="auto"/>
              </w:rPr>
              <w:t>2019</w:t>
            </w:r>
          </w:p>
        </w:tc>
        <w:tc>
          <w:tcPr>
            <w:tcW w:w="1140" w:type="dxa"/>
            <w:vAlign w:val="bottom"/>
            <w:gridSpan w:val="2"/>
          </w:tcPr>
          <w:p>
            <w:pPr>
              <w:jc w:val="right"/>
              <w:ind w:right="280"/>
              <w:spacing w:after="0"/>
              <w:rPr>
                <w:sz w:val="20"/>
                <w:szCs w:val="20"/>
                <w:color w:val="auto"/>
              </w:rPr>
            </w:pPr>
            <w:r>
              <w:rPr>
                <w:rFonts w:ascii="Arial" w:cs="Arial" w:eastAsia="Arial" w:hAnsi="Arial"/>
                <w:sz w:val="19"/>
                <w:szCs w:val="19"/>
                <w:color w:val="auto"/>
              </w:rPr>
              <w:t>2017</w:t>
            </w:r>
          </w:p>
        </w:tc>
      </w:tr>
    </w:tbl>
    <w:p>
      <w:pPr>
        <w:spacing w:after="0" w:line="104"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The assumed health care cost trend rate has a significant effect on the amounts reported. A one-percentage-point change in the assumed health care cost trend rate would have the following effects: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6"/>
                <w:szCs w:val="16"/>
                <w:b w:val="1"/>
                <w:bCs w:val="1"/>
                <w:color w:val="auto"/>
              </w:rPr>
              <w:t>1 percentage point</w:t>
            </w:r>
          </w:p>
        </w:tc>
        <w:tc>
          <w:tcPr>
            <w:tcW w:w="5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Increase</w:t>
            </w:r>
          </w:p>
        </w:tc>
        <w:tc>
          <w:tcPr>
            <w:tcW w:w="30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Decrease</w:t>
            </w:r>
          </w:p>
        </w:tc>
        <w:tc>
          <w:tcPr>
            <w:tcW w:w="520" w:type="dxa"/>
            <w:vAlign w:val="bottom"/>
          </w:tcPr>
          <w:p>
            <w:pPr>
              <w:spacing w:after="0"/>
              <w:rPr>
                <w:sz w:val="17"/>
                <w:szCs w:val="17"/>
                <w:color w:val="auto"/>
              </w:rPr>
            </w:pPr>
          </w:p>
        </w:tc>
      </w:tr>
      <w:tr>
        <w:trPr>
          <w:trHeight w:val="264"/>
        </w:trPr>
        <w:tc>
          <w:tcPr>
            <w:tcW w:w="500" w:type="dxa"/>
            <w:vAlign w:val="bottom"/>
          </w:tcPr>
          <w:p>
            <w:pPr>
              <w:spacing w:after="0"/>
              <w:rPr>
                <w:sz w:val="22"/>
                <w:szCs w:val="22"/>
                <w:color w:val="auto"/>
              </w:rPr>
            </w:pPr>
          </w:p>
        </w:tc>
        <w:tc>
          <w:tcPr>
            <w:tcW w:w="48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Effect on total of service and interest cost components</w:t>
            </w:r>
          </w:p>
        </w:tc>
        <w:tc>
          <w:tcPr>
            <w:tcW w:w="3820" w:type="dxa"/>
            <w:vAlign w:val="bottom"/>
            <w:gridSpan w:val="2"/>
            <w:shd w:val="clear" w:color="auto" w:fill="E5FFFF"/>
          </w:tcPr>
          <w:p>
            <w:pPr>
              <w:ind w:left="366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5</w:t>
            </w:r>
          </w:p>
        </w:tc>
        <w:tc>
          <w:tcPr>
            <w:tcW w:w="58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ind w:right="23"/>
              <w:spacing w:after="0"/>
              <w:rPr>
                <w:sz w:val="20"/>
                <w:szCs w:val="20"/>
                <w:color w:val="auto"/>
              </w:rPr>
            </w:pPr>
            <w:r>
              <w:rPr>
                <w:rFonts w:ascii="Arial" w:cs="Arial" w:eastAsia="Arial" w:hAnsi="Arial"/>
                <w:sz w:val="19"/>
                <w:szCs w:val="19"/>
                <w:color w:val="auto"/>
              </w:rPr>
              <w:t>(3 )</w:t>
            </w:r>
          </w:p>
        </w:tc>
        <w:tc>
          <w:tcPr>
            <w:tcW w:w="520" w:type="dxa"/>
            <w:vAlign w:val="bottom"/>
          </w:tcPr>
          <w:p>
            <w:pPr>
              <w:spacing w:after="0"/>
              <w:rPr>
                <w:sz w:val="22"/>
                <w:szCs w:val="22"/>
                <w:color w:val="auto"/>
              </w:rPr>
            </w:pPr>
          </w:p>
        </w:tc>
      </w:tr>
      <w:tr>
        <w:trPr>
          <w:trHeight w:val="274"/>
        </w:trPr>
        <w:tc>
          <w:tcPr>
            <w:tcW w:w="500" w:type="dxa"/>
            <w:vAlign w:val="bottom"/>
          </w:tcPr>
          <w:p>
            <w:pPr>
              <w:spacing w:after="0"/>
              <w:rPr>
                <w:sz w:val="23"/>
                <w:szCs w:val="23"/>
                <w:color w:val="auto"/>
              </w:rPr>
            </w:pPr>
          </w:p>
        </w:tc>
        <w:tc>
          <w:tcPr>
            <w:tcW w:w="4860" w:type="dxa"/>
            <w:vAlign w:val="bottom"/>
          </w:tcPr>
          <w:p>
            <w:pPr>
              <w:ind w:left="20"/>
              <w:spacing w:after="0"/>
              <w:rPr>
                <w:sz w:val="20"/>
                <w:szCs w:val="20"/>
                <w:color w:val="auto"/>
              </w:rPr>
            </w:pPr>
            <w:r>
              <w:rPr>
                <w:rFonts w:ascii="Arial" w:cs="Arial" w:eastAsia="Arial" w:hAnsi="Arial"/>
                <w:sz w:val="19"/>
                <w:szCs w:val="19"/>
                <w:color w:val="auto"/>
              </w:rPr>
              <w:t>Effect on postretirement benefit obligation</w:t>
            </w:r>
          </w:p>
        </w:tc>
        <w:tc>
          <w:tcPr>
            <w:tcW w:w="3820" w:type="dxa"/>
            <w:vAlign w:val="bottom"/>
            <w:gridSpan w:val="2"/>
          </w:tcPr>
          <w:p>
            <w:pPr>
              <w:ind w:left="366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9"/>
              <w:spacing w:after="0"/>
              <w:rPr>
                <w:sz w:val="20"/>
                <w:szCs w:val="20"/>
                <w:color w:val="auto"/>
              </w:rPr>
            </w:pPr>
            <w:r>
              <w:rPr>
                <w:rFonts w:ascii="Arial" w:cs="Arial" w:eastAsia="Arial" w:hAnsi="Arial"/>
                <w:sz w:val="19"/>
                <w:szCs w:val="19"/>
                <w:color w:val="auto"/>
              </w:rPr>
              <w:t>158</w:t>
            </w:r>
          </w:p>
        </w:tc>
        <w:tc>
          <w:tcPr>
            <w:tcW w:w="58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600" w:type="dxa"/>
            <w:vAlign w:val="bottom"/>
          </w:tcPr>
          <w:p>
            <w:pPr>
              <w:jc w:val="right"/>
              <w:ind w:right="23"/>
              <w:spacing w:after="0"/>
              <w:rPr>
                <w:sz w:val="20"/>
                <w:szCs w:val="20"/>
                <w:color w:val="auto"/>
              </w:rPr>
            </w:pPr>
            <w:r>
              <w:rPr>
                <w:rFonts w:ascii="Arial" w:cs="Arial" w:eastAsia="Arial" w:hAnsi="Arial"/>
                <w:sz w:val="19"/>
                <w:szCs w:val="19"/>
                <w:color w:val="auto"/>
              </w:rPr>
              <w:t>(82 )</w:t>
            </w:r>
          </w:p>
        </w:tc>
        <w:tc>
          <w:tcPr>
            <w:tcW w:w="520" w:type="dxa"/>
            <w:vAlign w:val="bottom"/>
          </w:tcPr>
          <w:p>
            <w:pPr>
              <w:spacing w:after="0"/>
              <w:rPr>
                <w:sz w:val="23"/>
                <w:szCs w:val="23"/>
                <w:color w:val="auto"/>
              </w:rPr>
            </w:pPr>
          </w:p>
        </w:tc>
      </w:tr>
      <w:tr>
        <w:trPr>
          <w:trHeight w:val="338"/>
        </w:trPr>
        <w:tc>
          <w:tcPr>
            <w:tcW w:w="5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0" w:type="dxa"/>
            <w:vAlign w:val="bottom"/>
          </w:tcPr>
          <w:p>
            <w:pPr>
              <w:jc w:val="right"/>
              <w:ind w:right="2983"/>
              <w:spacing w:after="0"/>
              <w:rPr>
                <w:sz w:val="20"/>
                <w:szCs w:val="20"/>
                <w:color w:val="auto"/>
              </w:rPr>
            </w:pPr>
            <w:r>
              <w:rPr>
                <w:rFonts w:ascii="Arial" w:cs="Arial" w:eastAsia="Arial" w:hAnsi="Arial"/>
                <w:sz w:val="19"/>
                <w:szCs w:val="19"/>
                <w:color w:val="auto"/>
              </w:rPr>
              <w:t>112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116" w:name="page117"/>
    <w:bookmarkEnd w:id="116"/>
    <w:p>
      <w:pPr>
        <w:jc w:val="center"/>
        <w:ind w:right="-79"/>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Benefit payments reflecting expected future service, as appropriate, are expected to be paid as follows:</w:t>
      </w:r>
    </w:p>
    <w:p>
      <w:pPr>
        <w:spacing w:after="0" w:line="4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680" w:type="dxa"/>
            <w:vAlign w:val="bottom"/>
            <w:gridSpan w:val="2"/>
          </w:tcPr>
          <w:p>
            <w:pPr>
              <w:jc w:val="right"/>
              <w:ind w:right="83"/>
              <w:spacing w:after="0"/>
              <w:rPr>
                <w:sz w:val="20"/>
                <w:szCs w:val="20"/>
                <w:color w:val="auto"/>
              </w:rPr>
            </w:pPr>
            <w:r>
              <w:rPr>
                <w:rFonts w:ascii="Arial" w:cs="Arial" w:eastAsia="Arial" w:hAnsi="Arial"/>
                <w:sz w:val="16"/>
                <w:szCs w:val="16"/>
                <w:b w:val="1"/>
                <w:bCs w:val="1"/>
                <w:color w:val="auto"/>
              </w:rPr>
              <w:t>Without Impact of</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526"/>
              <w:spacing w:after="0"/>
              <w:rPr>
                <w:sz w:val="20"/>
                <w:szCs w:val="20"/>
                <w:color w:val="auto"/>
              </w:rPr>
            </w:pPr>
            <w:r>
              <w:rPr>
                <w:rFonts w:ascii="Arial" w:cs="Arial" w:eastAsia="Arial" w:hAnsi="Arial"/>
                <w:sz w:val="16"/>
                <w:szCs w:val="16"/>
                <w:b w:val="1"/>
                <w:bCs w:val="1"/>
                <w:color w:val="auto"/>
              </w:rPr>
              <w:t>Net of</w:t>
            </w:r>
          </w:p>
        </w:tc>
      </w:tr>
      <w:tr>
        <w:trPr>
          <w:trHeight w:val="204"/>
        </w:trPr>
        <w:tc>
          <w:tcPr>
            <w:tcW w:w="6720" w:type="dxa"/>
            <w:vAlign w:val="bottom"/>
          </w:tcPr>
          <w:p>
            <w:pPr>
              <w:spacing w:after="0"/>
              <w:rPr>
                <w:sz w:val="17"/>
                <w:szCs w:val="17"/>
                <w:color w:val="auto"/>
              </w:rPr>
            </w:pPr>
          </w:p>
        </w:tc>
        <w:tc>
          <w:tcPr>
            <w:tcW w:w="1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Medicare Subsidy</w:t>
            </w:r>
          </w:p>
        </w:tc>
        <w:tc>
          <w:tcPr>
            <w:tcW w:w="300" w:type="dxa"/>
            <w:vAlign w:val="bottom"/>
          </w:tcPr>
          <w:p>
            <w:pPr>
              <w:spacing w:after="0"/>
              <w:rPr>
                <w:sz w:val="17"/>
                <w:szCs w:val="17"/>
                <w:color w:val="auto"/>
              </w:rPr>
            </w:pPr>
          </w:p>
        </w:tc>
        <w:tc>
          <w:tcPr>
            <w:tcW w:w="17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6"/>
                <w:szCs w:val="16"/>
                <w:b w:val="1"/>
                <w:bCs w:val="1"/>
                <w:color w:val="auto"/>
              </w:rPr>
              <w:t>Medicare Subsidy</w:t>
            </w:r>
          </w:p>
        </w:tc>
      </w:tr>
      <w:tr>
        <w:trPr>
          <w:trHeight w:val="264"/>
        </w:trPr>
        <w:tc>
          <w:tcPr>
            <w:tcW w:w="6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2013</w:t>
            </w:r>
          </w:p>
        </w:tc>
        <w:tc>
          <w:tcPr>
            <w:tcW w:w="660" w:type="dxa"/>
            <w:vAlign w:val="bottom"/>
            <w:shd w:val="clear" w:color="auto" w:fill="E5FFFF"/>
          </w:tcPr>
          <w:p>
            <w:pPr>
              <w:jc w:val="right"/>
              <w:ind w:right="375"/>
              <w:spacing w:after="0"/>
              <w:rPr>
                <w:sz w:val="20"/>
                <w:szCs w:val="20"/>
                <w:color w:val="auto"/>
              </w:rPr>
            </w:pPr>
            <w:r>
              <w:rPr>
                <w:rFonts w:ascii="Arial" w:cs="Arial" w:eastAsia="Arial" w:hAnsi="Arial"/>
                <w:sz w:val="19"/>
                <w:szCs w:val="19"/>
                <w:color w:val="auto"/>
              </w:rPr>
              <w:t>$</w:t>
            </w:r>
          </w:p>
        </w:tc>
        <w:tc>
          <w:tcPr>
            <w:tcW w:w="10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160</w:t>
            </w:r>
          </w:p>
        </w:tc>
        <w:tc>
          <w:tcPr>
            <w:tcW w:w="72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w:t>
            </w: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149</w:t>
            </w:r>
          </w:p>
        </w:tc>
      </w:tr>
      <w:tr>
        <w:trPr>
          <w:trHeight w:val="270"/>
        </w:trPr>
        <w:tc>
          <w:tcPr>
            <w:tcW w:w="6720" w:type="dxa"/>
            <w:vAlign w:val="bottom"/>
          </w:tcPr>
          <w:p>
            <w:pPr>
              <w:ind w:left="20"/>
              <w:spacing w:after="0"/>
              <w:rPr>
                <w:sz w:val="20"/>
                <w:szCs w:val="20"/>
                <w:color w:val="auto"/>
              </w:rPr>
            </w:pPr>
            <w:r>
              <w:rPr>
                <w:rFonts w:ascii="Arial" w:cs="Arial" w:eastAsia="Arial" w:hAnsi="Arial"/>
                <w:sz w:val="19"/>
                <w:szCs w:val="19"/>
                <w:color w:val="auto"/>
              </w:rPr>
              <w:t>2014</w:t>
            </w:r>
          </w:p>
        </w:tc>
        <w:tc>
          <w:tcPr>
            <w:tcW w:w="660" w:type="dxa"/>
            <w:vAlign w:val="bottom"/>
          </w:tcPr>
          <w:p>
            <w:pPr>
              <w:spacing w:after="0"/>
              <w:rPr>
                <w:sz w:val="23"/>
                <w:szCs w:val="23"/>
                <w:color w:val="auto"/>
              </w:rPr>
            </w:pPr>
          </w:p>
        </w:tc>
        <w:tc>
          <w:tcPr>
            <w:tcW w:w="1020" w:type="dxa"/>
            <w:vAlign w:val="bottom"/>
          </w:tcPr>
          <w:p>
            <w:pPr>
              <w:jc w:val="right"/>
              <w:ind w:right="123"/>
              <w:spacing w:after="0"/>
              <w:rPr>
                <w:sz w:val="20"/>
                <w:szCs w:val="20"/>
                <w:color w:val="auto"/>
              </w:rPr>
            </w:pPr>
            <w:r>
              <w:rPr>
                <w:rFonts w:ascii="Arial" w:cs="Arial" w:eastAsia="Arial" w:hAnsi="Arial"/>
                <w:sz w:val="19"/>
                <w:szCs w:val="19"/>
                <w:color w:val="auto"/>
              </w:rPr>
              <w:t>150</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139</w:t>
            </w:r>
          </w:p>
        </w:tc>
      </w:tr>
      <w:tr>
        <w:trPr>
          <w:trHeight w:val="270"/>
        </w:trPr>
        <w:tc>
          <w:tcPr>
            <w:tcW w:w="6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2015</w:t>
            </w:r>
          </w:p>
        </w:tc>
        <w:tc>
          <w:tcPr>
            <w:tcW w:w="6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141</w:t>
            </w:r>
          </w:p>
        </w:tc>
        <w:tc>
          <w:tcPr>
            <w:tcW w:w="3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131</w:t>
            </w:r>
          </w:p>
        </w:tc>
      </w:tr>
      <w:tr>
        <w:trPr>
          <w:trHeight w:val="270"/>
        </w:trPr>
        <w:tc>
          <w:tcPr>
            <w:tcW w:w="6720" w:type="dxa"/>
            <w:vAlign w:val="bottom"/>
          </w:tcPr>
          <w:p>
            <w:pPr>
              <w:ind w:left="20"/>
              <w:spacing w:after="0"/>
              <w:rPr>
                <w:sz w:val="20"/>
                <w:szCs w:val="20"/>
                <w:color w:val="auto"/>
              </w:rPr>
            </w:pPr>
            <w:r>
              <w:rPr>
                <w:rFonts w:ascii="Arial" w:cs="Arial" w:eastAsia="Arial" w:hAnsi="Arial"/>
                <w:sz w:val="19"/>
                <w:szCs w:val="19"/>
                <w:color w:val="auto"/>
              </w:rPr>
              <w:t>2016</w:t>
            </w:r>
          </w:p>
        </w:tc>
        <w:tc>
          <w:tcPr>
            <w:tcW w:w="660" w:type="dxa"/>
            <w:vAlign w:val="bottom"/>
          </w:tcPr>
          <w:p>
            <w:pPr>
              <w:spacing w:after="0"/>
              <w:rPr>
                <w:sz w:val="23"/>
                <w:szCs w:val="23"/>
                <w:color w:val="auto"/>
              </w:rPr>
            </w:pPr>
          </w:p>
        </w:tc>
        <w:tc>
          <w:tcPr>
            <w:tcW w:w="1020" w:type="dxa"/>
            <w:vAlign w:val="bottom"/>
          </w:tcPr>
          <w:p>
            <w:pPr>
              <w:jc w:val="right"/>
              <w:ind w:right="123"/>
              <w:spacing w:after="0"/>
              <w:rPr>
                <w:sz w:val="20"/>
                <w:szCs w:val="20"/>
                <w:color w:val="auto"/>
              </w:rPr>
            </w:pPr>
            <w:r>
              <w:rPr>
                <w:rFonts w:ascii="Arial" w:cs="Arial" w:eastAsia="Arial" w:hAnsi="Arial"/>
                <w:sz w:val="19"/>
                <w:szCs w:val="19"/>
                <w:color w:val="auto"/>
              </w:rPr>
              <w:t>133</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122</w:t>
            </w:r>
          </w:p>
        </w:tc>
      </w:tr>
      <w:tr>
        <w:trPr>
          <w:trHeight w:val="270"/>
        </w:trPr>
        <w:tc>
          <w:tcPr>
            <w:tcW w:w="6720" w:type="dxa"/>
            <w:vAlign w:val="bottom"/>
            <w:shd w:val="clear" w:color="auto" w:fill="E5FFFF"/>
          </w:tcPr>
          <w:p>
            <w:pPr>
              <w:ind w:left="20"/>
              <w:spacing w:after="0"/>
              <w:rPr>
                <w:sz w:val="20"/>
                <w:szCs w:val="20"/>
                <w:color w:val="auto"/>
              </w:rPr>
            </w:pPr>
            <w:r>
              <w:rPr>
                <w:rFonts w:ascii="Arial" w:cs="Arial" w:eastAsia="Arial" w:hAnsi="Arial"/>
                <w:sz w:val="19"/>
                <w:szCs w:val="19"/>
                <w:color w:val="auto"/>
              </w:rPr>
              <w:t>2017</w:t>
            </w:r>
          </w:p>
        </w:tc>
        <w:tc>
          <w:tcPr>
            <w:tcW w:w="66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124</w:t>
            </w:r>
          </w:p>
        </w:tc>
        <w:tc>
          <w:tcPr>
            <w:tcW w:w="3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126"/>
              <w:spacing w:after="0"/>
              <w:rPr>
                <w:sz w:val="20"/>
                <w:szCs w:val="20"/>
                <w:color w:val="auto"/>
              </w:rPr>
            </w:pPr>
            <w:r>
              <w:rPr>
                <w:rFonts w:ascii="Arial" w:cs="Arial" w:eastAsia="Arial" w:hAnsi="Arial"/>
                <w:sz w:val="19"/>
                <w:szCs w:val="19"/>
                <w:color w:val="auto"/>
              </w:rPr>
              <w:t>114</w:t>
            </w:r>
          </w:p>
        </w:tc>
      </w:tr>
      <w:tr>
        <w:trPr>
          <w:trHeight w:val="274"/>
        </w:trPr>
        <w:tc>
          <w:tcPr>
            <w:tcW w:w="6720" w:type="dxa"/>
            <w:vAlign w:val="bottom"/>
          </w:tcPr>
          <w:p>
            <w:pPr>
              <w:ind w:left="20"/>
              <w:spacing w:after="0"/>
              <w:rPr>
                <w:sz w:val="20"/>
                <w:szCs w:val="20"/>
                <w:color w:val="auto"/>
              </w:rPr>
            </w:pPr>
            <w:r>
              <w:rPr>
                <w:rFonts w:ascii="Arial" w:cs="Arial" w:eastAsia="Arial" w:hAnsi="Arial"/>
                <w:sz w:val="19"/>
                <w:szCs w:val="19"/>
                <w:color w:val="auto"/>
              </w:rPr>
              <w:t>2018-2022</w:t>
            </w:r>
          </w:p>
        </w:tc>
        <w:tc>
          <w:tcPr>
            <w:tcW w:w="660" w:type="dxa"/>
            <w:vAlign w:val="bottom"/>
          </w:tcPr>
          <w:p>
            <w:pPr>
              <w:spacing w:after="0"/>
              <w:rPr>
                <w:sz w:val="23"/>
                <w:szCs w:val="23"/>
                <w:color w:val="auto"/>
              </w:rPr>
            </w:pPr>
          </w:p>
        </w:tc>
        <w:tc>
          <w:tcPr>
            <w:tcW w:w="1020" w:type="dxa"/>
            <w:vAlign w:val="bottom"/>
          </w:tcPr>
          <w:p>
            <w:pPr>
              <w:jc w:val="right"/>
              <w:ind w:right="123"/>
              <w:spacing w:after="0"/>
              <w:rPr>
                <w:sz w:val="20"/>
                <w:szCs w:val="20"/>
                <w:color w:val="auto"/>
              </w:rPr>
            </w:pPr>
            <w:r>
              <w:rPr>
                <w:rFonts w:ascii="Arial" w:cs="Arial" w:eastAsia="Arial" w:hAnsi="Arial"/>
                <w:sz w:val="19"/>
                <w:szCs w:val="19"/>
                <w:color w:val="auto"/>
              </w:rPr>
              <w:t>505</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26"/>
              <w:spacing w:after="0"/>
              <w:rPr>
                <w:sz w:val="20"/>
                <w:szCs w:val="20"/>
                <w:color w:val="auto"/>
              </w:rPr>
            </w:pPr>
            <w:r>
              <w:rPr>
                <w:rFonts w:ascii="Arial" w:cs="Arial" w:eastAsia="Arial" w:hAnsi="Arial"/>
                <w:sz w:val="19"/>
                <w:szCs w:val="19"/>
                <w:color w:val="auto"/>
              </w:rPr>
              <w:t>456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Savings Plans</w:t>
      </w:r>
    </w:p>
    <w:p>
      <w:pPr>
        <w:spacing w:after="0" w:line="130" w:lineRule="exact"/>
        <w:rPr>
          <w:sz w:val="20"/>
          <w:szCs w:val="20"/>
          <w:color w:val="auto"/>
        </w:rPr>
      </w:pPr>
    </w:p>
    <w:p>
      <w:pPr>
        <w:jc w:val="both"/>
        <w:ind w:right="360" w:firstLine="357"/>
        <w:spacing w:after="0" w:line="245" w:lineRule="auto"/>
        <w:rPr>
          <w:sz w:val="20"/>
          <w:szCs w:val="20"/>
          <w:color w:val="auto"/>
        </w:rPr>
      </w:pPr>
      <w:r>
        <w:rPr>
          <w:rFonts w:ascii="Arial" w:cs="Arial" w:eastAsia="Arial" w:hAnsi="Arial"/>
          <w:sz w:val="19"/>
          <w:szCs w:val="19"/>
          <w:color w:val="auto"/>
        </w:rPr>
        <w:t>We sponsor employee savings plans under which we match, in the form of our common stock, savings plan contributions for certain eligible employees. Shares issued under the stock match plans were 2.4, 2.6, and 2.4 million at a cost of $144, $138 and $105 million in 2012, 2011, and 2010,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24—Segment Financial Data</w:t>
      </w:r>
    </w:p>
    <w:p>
      <w:pPr>
        <w:spacing w:after="0" w:line="13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We globally manage our business operations through four reportable operating segments serving customers worldwide with aerospace products and services, control, sensing and security technologies for buildings, homes and industry, automotive products and chemicals. Segment information is consistent with how management reviews the businesses, makes investing and resource allocation decisions and assesses operating performance. Our four reportable segments are as follows:</w:t>
      </w:r>
    </w:p>
    <w:p>
      <w:pPr>
        <w:spacing w:after="0" w:line="145" w:lineRule="exact"/>
        <w:rPr>
          <w:sz w:val="20"/>
          <w:szCs w:val="20"/>
          <w:color w:val="auto"/>
        </w:rPr>
      </w:pPr>
    </w:p>
    <w:p>
      <w:pPr>
        <w:ind w:left="540" w:right="140" w:hanging="158"/>
        <w:spacing w:after="0" w:line="241"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Aerospace includes Air Transport and Regional, Business and General Aviation and Defense and Space and provides products and services which include auxiliary power units; propulsion engines; environmental control systems; electric power systems, engine controls; repair and overhaul services; flight safety, communications, navigation, radar and surveillance systems; aircraft lighting; management and technical services; logistic services; advanced systems and instruments; and aircraft wheels and brakes.</w:t>
      </w:r>
    </w:p>
    <w:p>
      <w:pPr>
        <w:spacing w:after="0" w:line="104" w:lineRule="exact"/>
        <w:rPr>
          <w:rFonts w:ascii="Arial" w:cs="Arial" w:eastAsia="Arial" w:hAnsi="Arial"/>
          <w:sz w:val="19"/>
          <w:szCs w:val="19"/>
          <w:color w:val="auto"/>
        </w:rPr>
      </w:pPr>
    </w:p>
    <w:p>
      <w:pPr>
        <w:ind w:left="540" w:right="100" w:hanging="158"/>
        <w:spacing w:after="0" w:line="239"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Automation and Control Solutions includes Energy, Safety &amp; Security (controls for heating, cooling, indoor air quality, ventilation, humidification, lighting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equipment; remote patient monitoring systems; and automatic identification and data collection); Process Solutions (provides a full range of automation and control solutions for industrial plants, offering advanced software and automation systems that integrate, control and monitor complex processes in many types of industrial settings as well as equipment that controls, measures and analyzes natural gas production and transportation); and Building Solutions &amp; Distribution (installs, distributes, maintains and upgrades systems that keep buildings safe, comfortable and productive).</w:t>
      </w:r>
    </w:p>
    <w:p>
      <w:pPr>
        <w:spacing w:after="0" w:line="108" w:lineRule="exact"/>
        <w:rPr>
          <w:rFonts w:ascii="Arial" w:cs="Arial" w:eastAsia="Arial" w:hAnsi="Arial"/>
          <w:sz w:val="19"/>
          <w:szCs w:val="19"/>
          <w:color w:val="auto"/>
        </w:rPr>
      </w:pPr>
    </w:p>
    <w:p>
      <w:pPr>
        <w:ind w:left="540" w:hanging="158"/>
        <w:spacing w:after="0" w:line="242"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Performance Materials and Technologies includes Advanced Materials (fluorocarbons, hydrofluoroolefins, caprolactam, resins, ammonium sulfate for fertilizer, specialty films, waxes, additives, advanced fibers, customized research chemicals and intermediates, and electronic materials and chemicals) and UOP (process technology, products, including catalysts and absorbents, and services for the petroleum refining, gas processing, petrochemical, renewable energy and other industries).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5" w:right="2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70" w:lineRule="exact"/>
        <w:rPr>
          <w:sz w:val="20"/>
          <w:szCs w:val="20"/>
          <w:color w:val="auto"/>
        </w:rPr>
      </w:pPr>
    </w:p>
    <w:p>
      <w:pPr>
        <w:ind w:left="180" w:hanging="159"/>
        <w:spacing w:after="0"/>
        <w:tabs>
          <w:tab w:leader="none" w:pos="1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Transportation Systems includes turbochargers, thermal systems, brake hard parts and other friction materials.</w:t>
      </w:r>
    </w:p>
    <w:p>
      <w:pPr>
        <w:spacing w:after="0" w:line="119"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color w:val="auto"/>
        </w:rPr>
        <w:t>The accounting policies of the segments are the same as those described in Note 1. 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benefits (expense), stock compensation expense, repositioning and other charges and accounting changes.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37"/>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9"/>
                <w:szCs w:val="19"/>
                <w:color w:val="auto"/>
              </w:rPr>
              <w:t>Aerospace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6,999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6,494</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5,868</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Service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5,041</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4,981</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4,815</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12,040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11,475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10,683</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9"/>
                <w:szCs w:val="19"/>
                <w:color w:val="auto"/>
              </w:rPr>
              <w:t>Automation and Control Solutions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13,610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13,328</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11,733</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Service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2,270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2,207</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2,016</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15,880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15,535</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w w:val="99"/>
              </w:rPr>
              <w:t>13,749</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9"/>
                <w:szCs w:val="19"/>
                <w:color w:val="auto"/>
              </w:rPr>
              <w:t>Performance Materials and Technologies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5,642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5,064</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4,449</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Service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542</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595</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6,184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5,659</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4,726</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9"/>
                <w:szCs w:val="19"/>
                <w:color w:val="auto"/>
              </w:rPr>
              <w:t>Transportation Systems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3,561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3,859</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3,192</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Service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3,561</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3,859</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3,192</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9"/>
                <w:szCs w:val="19"/>
                <w:color w:val="auto"/>
              </w:rPr>
              <w:t>Corporate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Product</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Service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1</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ind w:left="740"/>
              <w:spacing w:after="0"/>
              <w:rPr>
                <w:sz w:val="20"/>
                <w:szCs w:val="20"/>
                <w:color w:val="auto"/>
              </w:rPr>
            </w:pPr>
            <w:r>
              <w:rPr>
                <w:rFonts w:ascii="Arial" w:cs="Arial" w:eastAsia="Arial" w:hAnsi="Arial"/>
                <w:sz w:val="19"/>
                <w:szCs w:val="19"/>
                <w:color w:val="auto"/>
              </w:rPr>
              <w:t>Total</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1</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ind w:right="4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4"/>
        </w:trPr>
        <w:tc>
          <w:tcPr>
            <w:tcW w:w="7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37,665</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36,529</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w w:val="99"/>
              </w:rPr>
              <w:t>32,350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Depreciation and amortization</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211</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208</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224</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352</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364</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368</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Performance Materials and Technologies</w:t>
            </w: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215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216</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222</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85</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96</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97</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63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64</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926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948</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970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0"/>
              <w:spacing w:after="0"/>
              <w:rPr>
                <w:sz w:val="20"/>
                <w:szCs w:val="20"/>
                <w:color w:val="auto"/>
              </w:rPr>
            </w:pPr>
            <w:r>
              <w:rPr>
                <w:rFonts w:ascii="Arial" w:cs="Arial" w:eastAsia="Arial" w:hAnsi="Arial"/>
                <w:sz w:val="19"/>
                <w:szCs w:val="19"/>
                <w:color w:val="auto"/>
              </w:rPr>
              <w:t>Segment Profit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Aerospace</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2,279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2,023</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1,835</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Automation and Control Solutions</w:t>
            </w: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2,232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2,083</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1,770</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Performance Materials and Technologies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1,154</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1,042</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749</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Transportation Systems</w:t>
            </w: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432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485</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353</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Corporate</w:t>
            </w: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(218 )</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(276 )</w:t>
            </w:r>
          </w:p>
        </w:tc>
        <w:tc>
          <w:tcPr>
            <w:tcW w:w="28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(222 )</w:t>
            </w:r>
          </w:p>
        </w:tc>
        <w:tc>
          <w:tcPr>
            <w:tcW w:w="0" w:type="dxa"/>
            <w:vAlign w:val="bottom"/>
          </w:tcPr>
          <w:p>
            <w:pPr>
              <w:spacing w:after="0"/>
              <w:rPr>
                <w:sz w:val="1"/>
                <w:szCs w:val="1"/>
                <w:color w:val="auto"/>
              </w:rPr>
            </w:pPr>
          </w:p>
        </w:tc>
      </w:tr>
      <w:tr>
        <w:trPr>
          <w:trHeight w:val="304"/>
        </w:trPr>
        <w:tc>
          <w:tcPr>
            <w:tcW w:w="7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5,879</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5,357</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4,485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Capital expenditures</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Aerospace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191</w:t>
            </w:r>
          </w:p>
        </w:tc>
        <w:tc>
          <w:tcPr>
            <w:tcW w:w="5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174</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158</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143</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153</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Performance Materials and Technologies</w:t>
            </w:r>
          </w:p>
        </w:tc>
        <w:tc>
          <w:tcPr>
            <w:tcW w:w="200" w:type="dxa"/>
            <w:vAlign w:val="bottom"/>
          </w:tcPr>
          <w:p>
            <w:pPr>
              <w:spacing w:after="0"/>
              <w:rPr>
                <w:sz w:val="23"/>
                <w:szCs w:val="23"/>
                <w:color w:val="auto"/>
              </w:rPr>
            </w:pPr>
          </w:p>
        </w:tc>
        <w:tc>
          <w:tcPr>
            <w:tcW w:w="780" w:type="dxa"/>
            <w:vAlign w:val="bottom"/>
          </w:tcPr>
          <w:p>
            <w:pPr>
              <w:jc w:val="right"/>
              <w:ind w:right="44"/>
              <w:spacing w:after="0"/>
              <w:rPr>
                <w:sz w:val="20"/>
                <w:szCs w:val="20"/>
                <w:color w:val="auto"/>
              </w:rPr>
            </w:pPr>
            <w:r>
              <w:rPr>
                <w:rFonts w:ascii="Arial" w:cs="Arial" w:eastAsia="Arial" w:hAnsi="Arial"/>
                <w:sz w:val="19"/>
                <w:szCs w:val="19"/>
                <w:color w:val="auto"/>
              </w:rPr>
              <w:t>328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4"/>
              <w:spacing w:after="0"/>
              <w:rPr>
                <w:sz w:val="20"/>
                <w:szCs w:val="20"/>
                <w:color w:val="auto"/>
              </w:rPr>
            </w:pPr>
            <w:r>
              <w:rPr>
                <w:rFonts w:ascii="Arial" w:cs="Arial" w:eastAsia="Arial" w:hAnsi="Arial"/>
                <w:sz w:val="19"/>
                <w:szCs w:val="19"/>
                <w:color w:val="auto"/>
              </w:rPr>
              <w:t>282</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44"/>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270"/>
        </w:trPr>
        <w:tc>
          <w:tcPr>
            <w:tcW w:w="7900" w:type="dxa"/>
            <w:vAlign w:val="bottom"/>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129</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133</w:t>
            </w: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78</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9"/>
                <w:szCs w:val="19"/>
                <w:color w:val="auto"/>
              </w:rPr>
              <w:t>Corporate</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93</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48</w:t>
            </w: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9"/>
                <w:szCs w:val="19"/>
                <w:color w:val="auto"/>
              </w:rPr>
              <w:t>89</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884</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790</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44"/>
              <w:spacing w:after="0"/>
              <w:rPr>
                <w:sz w:val="20"/>
                <w:szCs w:val="20"/>
                <w:color w:val="auto"/>
              </w:rPr>
            </w:pPr>
            <w:r>
              <w:rPr>
                <w:rFonts w:ascii="Arial" w:cs="Arial" w:eastAsia="Arial" w:hAnsi="Arial"/>
                <w:sz w:val="19"/>
                <w:szCs w:val="19"/>
                <w:color w:val="auto"/>
              </w:rPr>
              <w:t>644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1">
            <w:col w:w="11420"/>
          </w:cols>
          <w:pgMar w:left="240" w:top="105" w:right="239" w:bottom="992" w:gutter="0" w:footer="0" w:header="0"/>
        </w:sectPr>
      </w:pPr>
    </w:p>
    <w:p>
      <w:pPr>
        <w:jc w:val="center"/>
        <w:ind w:right="-19"/>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992"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8"/>
          </w:tcPr>
          <w:p>
            <w:pPr>
              <w:jc w:val="center"/>
              <w:ind w:right="123"/>
              <w:spacing w:after="0"/>
              <w:rPr>
                <w:sz w:val="20"/>
                <w:szCs w:val="20"/>
                <w:color w:val="auto"/>
              </w:rPr>
            </w:pPr>
            <w:r>
              <w:rPr>
                <w:rFonts w:ascii="Arial" w:cs="Arial" w:eastAsia="Arial" w:hAnsi="Arial"/>
                <w:sz w:val="16"/>
                <w:szCs w:val="16"/>
                <w:b w:val="1"/>
                <w:bCs w:val="1"/>
                <w:color w:val="auto"/>
                <w:w w:val="97"/>
              </w:rPr>
              <w:t>December 31,</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2012</w:t>
            </w:r>
          </w:p>
        </w:tc>
        <w:tc>
          <w:tcPr>
            <w:tcW w:w="102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2010</w:t>
            </w:r>
          </w:p>
        </w:tc>
      </w:tr>
      <w:tr>
        <w:trPr>
          <w:trHeight w:val="237"/>
        </w:trPr>
        <w:tc>
          <w:tcPr>
            <w:tcW w:w="7540" w:type="dxa"/>
            <w:vAlign w:val="bottom"/>
            <w:gridSpan w:val="3"/>
            <w:shd w:val="clear" w:color="auto" w:fill="E5FFFF"/>
          </w:tcPr>
          <w:p>
            <w:pPr>
              <w:ind w:left="20"/>
              <w:spacing w:after="0"/>
              <w:rPr>
                <w:sz w:val="20"/>
                <w:szCs w:val="20"/>
                <w:color w:val="auto"/>
              </w:rPr>
            </w:pPr>
            <w:r>
              <w:rPr>
                <w:rFonts w:ascii="Arial" w:cs="Arial" w:eastAsia="Arial" w:hAnsi="Arial"/>
                <w:sz w:val="19"/>
                <w:szCs w:val="19"/>
                <w:color w:val="auto"/>
              </w:rPr>
              <w:t>Total Assets</w:t>
            </w:r>
          </w:p>
        </w:tc>
        <w:tc>
          <w:tcPr>
            <w:tcW w:w="540" w:type="dxa"/>
            <w:vAlign w:val="bottom"/>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auto"/>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240" w:type="dxa"/>
            <w:vAlign w:val="bottom"/>
            <w:tcBorders>
              <w:top w:val="single" w:sz="8" w:color="auto"/>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520" w:type="dxa"/>
            <w:vAlign w:val="bottom"/>
            <w:tcBorders>
              <w:top w:val="single" w:sz="8" w:color="auto"/>
            </w:tcBorders>
            <w:shd w:val="clear" w:color="auto" w:fill="E5FFFF"/>
          </w:tcPr>
          <w:p>
            <w:pPr>
              <w:spacing w:after="0"/>
              <w:rPr>
                <w:sz w:val="20"/>
                <w:szCs w:val="20"/>
                <w:color w:val="auto"/>
              </w:rPr>
            </w:pPr>
          </w:p>
        </w:tc>
      </w:tr>
      <w:tr>
        <w:trPr>
          <w:trHeight w:val="270"/>
        </w:trPr>
        <w:tc>
          <w:tcPr>
            <w:tcW w:w="7540" w:type="dxa"/>
            <w:vAlign w:val="bottom"/>
            <w:gridSpan w:val="3"/>
          </w:tcPr>
          <w:p>
            <w:pPr>
              <w:ind w:left="380"/>
              <w:spacing w:after="0"/>
              <w:rPr>
                <w:sz w:val="20"/>
                <w:szCs w:val="20"/>
                <w:color w:val="auto"/>
              </w:rPr>
            </w:pPr>
            <w:r>
              <w:rPr>
                <w:rFonts w:ascii="Arial" w:cs="Arial" w:eastAsia="Arial" w:hAnsi="Arial"/>
                <w:sz w:val="19"/>
                <w:szCs w:val="19"/>
                <w:color w:val="auto"/>
              </w:rPr>
              <w:t>Aerospace</w:t>
            </w:r>
          </w:p>
        </w:tc>
        <w:tc>
          <w:tcPr>
            <w:tcW w:w="840" w:type="dxa"/>
            <w:vAlign w:val="bottom"/>
            <w:gridSpan w:val="2"/>
          </w:tcPr>
          <w:p>
            <w:pPr>
              <w:jc w:val="right"/>
              <w:ind w:right="55"/>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9"/>
                <w:szCs w:val="19"/>
                <w:color w:val="auto"/>
              </w:rPr>
              <w:t>8,977</w:t>
            </w:r>
          </w:p>
        </w:tc>
        <w:tc>
          <w:tcPr>
            <w:tcW w:w="680" w:type="dxa"/>
            <w:vAlign w:val="bottom"/>
            <w:gridSpan w:val="3"/>
          </w:tcPr>
          <w:p>
            <w:pPr>
              <w:jc w:val="right"/>
              <w:ind w:right="83"/>
              <w:spacing w:after="0"/>
              <w:rPr>
                <w:sz w:val="20"/>
                <w:szCs w:val="20"/>
                <w:color w:val="auto"/>
              </w:rPr>
            </w:pPr>
            <w:r>
              <w:rPr>
                <w:rFonts w:ascii="Arial" w:cs="Arial" w:eastAsia="Arial" w:hAnsi="Arial"/>
                <w:sz w:val="19"/>
                <w:szCs w:val="19"/>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9"/>
                <w:szCs w:val="19"/>
                <w:color w:val="auto"/>
              </w:rPr>
              <w:t>9,109</w:t>
            </w:r>
          </w:p>
        </w:tc>
        <w:tc>
          <w:tcPr>
            <w:tcW w:w="4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8,604</w:t>
            </w:r>
          </w:p>
        </w:tc>
      </w:tr>
      <w:tr>
        <w:trPr>
          <w:trHeight w:val="270"/>
        </w:trPr>
        <w:tc>
          <w:tcPr>
            <w:tcW w:w="7540" w:type="dxa"/>
            <w:vAlign w:val="bottom"/>
            <w:gridSpan w:val="3"/>
            <w:shd w:val="clear" w:color="auto" w:fill="E5FFFF"/>
          </w:tcPr>
          <w:p>
            <w:pPr>
              <w:ind w:left="380"/>
              <w:spacing w:after="0"/>
              <w:rPr>
                <w:sz w:val="20"/>
                <w:szCs w:val="20"/>
                <w:color w:val="auto"/>
              </w:rPr>
            </w:pPr>
            <w:r>
              <w:rPr>
                <w:rFonts w:ascii="Arial" w:cs="Arial" w:eastAsia="Arial" w:hAnsi="Arial"/>
                <w:sz w:val="19"/>
                <w:szCs w:val="19"/>
                <w:color w:val="auto"/>
              </w:rPr>
              <w:t>Automation and Control Solutions</w:t>
            </w:r>
          </w:p>
        </w:tc>
        <w:tc>
          <w:tcPr>
            <w:tcW w:w="1400" w:type="dxa"/>
            <w:vAlign w:val="bottom"/>
            <w:gridSpan w:val="5"/>
            <w:shd w:val="clear" w:color="auto" w:fill="E5FFFF"/>
          </w:tcPr>
          <w:p>
            <w:pPr>
              <w:jc w:val="right"/>
              <w:ind w:right="40"/>
              <w:spacing w:after="0"/>
              <w:rPr>
                <w:sz w:val="20"/>
                <w:szCs w:val="20"/>
                <w:color w:val="auto"/>
              </w:rPr>
            </w:pPr>
            <w:r>
              <w:rPr>
                <w:rFonts w:ascii="Arial" w:cs="Arial" w:eastAsia="Arial" w:hAnsi="Arial"/>
                <w:sz w:val="19"/>
                <w:szCs w:val="19"/>
                <w:color w:val="auto"/>
              </w:rPr>
              <w:t>18,754</w:t>
            </w:r>
          </w:p>
        </w:tc>
        <w:tc>
          <w:tcPr>
            <w:tcW w:w="1260" w:type="dxa"/>
            <w:vAlign w:val="bottom"/>
            <w:gridSpan w:val="6"/>
            <w:shd w:val="clear" w:color="auto" w:fill="E5FFFF"/>
          </w:tcPr>
          <w:p>
            <w:pPr>
              <w:jc w:val="right"/>
              <w:ind w:right="80"/>
              <w:spacing w:after="0"/>
              <w:rPr>
                <w:sz w:val="20"/>
                <w:szCs w:val="20"/>
                <w:color w:val="auto"/>
              </w:rPr>
            </w:pPr>
            <w:r>
              <w:rPr>
                <w:rFonts w:ascii="Arial" w:cs="Arial" w:eastAsia="Arial" w:hAnsi="Arial"/>
                <w:sz w:val="19"/>
                <w:szCs w:val="19"/>
                <w:color w:val="auto"/>
              </w:rPr>
              <w:t>19,127</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w w:val="96"/>
              </w:rPr>
              <w:t>18,183</w:t>
            </w:r>
          </w:p>
        </w:tc>
      </w:tr>
      <w:tr>
        <w:trPr>
          <w:trHeight w:val="270"/>
        </w:trPr>
        <w:tc>
          <w:tcPr>
            <w:tcW w:w="7540" w:type="dxa"/>
            <w:vAlign w:val="bottom"/>
            <w:gridSpan w:val="3"/>
          </w:tcPr>
          <w:p>
            <w:pPr>
              <w:ind w:left="380"/>
              <w:spacing w:after="0"/>
              <w:rPr>
                <w:sz w:val="20"/>
                <w:szCs w:val="20"/>
                <w:color w:val="auto"/>
              </w:rPr>
            </w:pPr>
            <w:r>
              <w:rPr>
                <w:rFonts w:ascii="Arial" w:cs="Arial" w:eastAsia="Arial" w:hAnsi="Arial"/>
                <w:sz w:val="19"/>
                <w:szCs w:val="19"/>
                <w:color w:val="auto"/>
              </w:rPr>
              <w:t>Performance Materials and Technologies</w:t>
            </w: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9"/>
                <w:szCs w:val="19"/>
                <w:color w:val="auto"/>
              </w:rPr>
              <w:t>6,396</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9"/>
                <w:szCs w:val="19"/>
                <w:color w:val="auto"/>
              </w:rPr>
              <w:t>5,402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4,938</w:t>
            </w:r>
          </w:p>
        </w:tc>
      </w:tr>
      <w:tr>
        <w:trPr>
          <w:trHeight w:val="270"/>
        </w:trPr>
        <w:tc>
          <w:tcPr>
            <w:tcW w:w="7540" w:type="dxa"/>
            <w:vAlign w:val="bottom"/>
            <w:gridSpan w:val="3"/>
            <w:shd w:val="clear" w:color="auto" w:fill="E5FFFF"/>
          </w:tcPr>
          <w:p>
            <w:pPr>
              <w:ind w:left="380"/>
              <w:spacing w:after="0"/>
              <w:rPr>
                <w:sz w:val="20"/>
                <w:szCs w:val="20"/>
                <w:color w:val="auto"/>
              </w:rPr>
            </w:pPr>
            <w:r>
              <w:rPr>
                <w:rFonts w:ascii="Arial" w:cs="Arial" w:eastAsia="Arial" w:hAnsi="Arial"/>
                <w:sz w:val="19"/>
                <w:szCs w:val="19"/>
                <w:color w:val="auto"/>
              </w:rPr>
              <w:t>Transportation Systems</w:t>
            </w:r>
          </w:p>
        </w:tc>
        <w:tc>
          <w:tcPr>
            <w:tcW w:w="5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56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2,047</w:t>
            </w:r>
          </w:p>
        </w:tc>
        <w:tc>
          <w:tcPr>
            <w:tcW w:w="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58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1,991</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1,806</w:t>
            </w:r>
          </w:p>
        </w:tc>
      </w:tr>
      <w:tr>
        <w:trPr>
          <w:trHeight w:val="270"/>
        </w:trPr>
        <w:tc>
          <w:tcPr>
            <w:tcW w:w="7540" w:type="dxa"/>
            <w:vAlign w:val="bottom"/>
            <w:gridSpan w:val="3"/>
          </w:tcPr>
          <w:p>
            <w:pPr>
              <w:ind w:left="380"/>
              <w:spacing w:after="0"/>
              <w:rPr>
                <w:sz w:val="20"/>
                <w:szCs w:val="20"/>
                <w:color w:val="auto"/>
              </w:rPr>
            </w:pPr>
            <w:r>
              <w:rPr>
                <w:rFonts w:ascii="Arial" w:cs="Arial" w:eastAsia="Arial" w:hAnsi="Arial"/>
                <w:sz w:val="19"/>
                <w:szCs w:val="19"/>
                <w:color w:val="auto"/>
              </w:rPr>
              <w:t>Corporate</w:t>
            </w:r>
          </w:p>
        </w:tc>
        <w:tc>
          <w:tcPr>
            <w:tcW w:w="5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9"/>
                <w:szCs w:val="19"/>
                <w:color w:val="auto"/>
              </w:rPr>
              <w:t>5,679</w:t>
            </w:r>
          </w:p>
        </w:tc>
        <w:tc>
          <w:tcPr>
            <w:tcW w:w="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9"/>
                <w:szCs w:val="19"/>
                <w:color w:val="auto"/>
              </w:rPr>
              <w:t>4,179</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4,303</w:t>
            </w: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00" w:type="dxa"/>
            <w:vAlign w:val="bottom"/>
            <w:shd w:val="clear" w:color="auto" w:fill="E5FFFF"/>
          </w:tcPr>
          <w:p>
            <w:pPr>
              <w:spacing w:after="0"/>
              <w:rPr>
                <w:sz w:val="23"/>
                <w:szCs w:val="23"/>
                <w:color w:val="auto"/>
              </w:rPr>
            </w:pPr>
          </w:p>
        </w:tc>
        <w:tc>
          <w:tcPr>
            <w:tcW w:w="400" w:type="dxa"/>
            <w:vAlign w:val="bottom"/>
            <w:shd w:val="clear" w:color="auto" w:fill="E5FFFF"/>
          </w:tcPr>
          <w:p>
            <w:pPr>
              <w:spacing w:after="0"/>
              <w:rPr>
                <w:sz w:val="23"/>
                <w:szCs w:val="23"/>
                <w:color w:val="auto"/>
              </w:rPr>
            </w:pPr>
          </w:p>
        </w:tc>
        <w:tc>
          <w:tcPr>
            <w:tcW w:w="6640" w:type="dxa"/>
            <w:vAlign w:val="bottom"/>
            <w:shd w:val="clear" w:color="auto" w:fill="E5FFFF"/>
          </w:tcPr>
          <w:p>
            <w:pPr>
              <w:spacing w:after="0"/>
              <w:rPr>
                <w:sz w:val="23"/>
                <w:szCs w:val="23"/>
                <w:color w:val="auto"/>
              </w:rPr>
            </w:pPr>
          </w:p>
        </w:tc>
        <w:tc>
          <w:tcPr>
            <w:tcW w:w="540" w:type="dxa"/>
            <w:vAlign w:val="bottom"/>
            <w:shd w:val="clear" w:color="auto" w:fill="E5FFFF"/>
          </w:tcPr>
          <w:p>
            <w:pPr>
              <w:spacing w:after="0"/>
              <w:rPr>
                <w:sz w:val="23"/>
                <w:szCs w:val="23"/>
                <w:color w:val="auto"/>
              </w:rPr>
            </w:pPr>
          </w:p>
        </w:tc>
        <w:tc>
          <w:tcPr>
            <w:tcW w:w="860" w:type="dxa"/>
            <w:vAlign w:val="bottom"/>
            <w:tcBorders>
              <w:bottom w:val="single" w:sz="8" w:color="auto"/>
            </w:tcBorders>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$ 41,853</w:t>
            </w:r>
          </w:p>
        </w:tc>
        <w:tc>
          <w:tcPr>
            <w:tcW w:w="40" w:type="dxa"/>
            <w:vAlign w:val="bottom"/>
            <w:tcBorders>
              <w:bottom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9"/>
                <w:szCs w:val="19"/>
                <w:color w:val="auto"/>
              </w:rPr>
              <w:t>$ 39,808</w:t>
            </w:r>
          </w:p>
        </w:tc>
        <w:tc>
          <w:tcPr>
            <w:tcW w:w="4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9"/>
                <w:szCs w:val="19"/>
                <w:color w:val="auto"/>
                <w:w w:val="96"/>
              </w:rPr>
              <w:t>37,834</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63"/>
        </w:trPr>
        <w:tc>
          <w:tcPr>
            <w:tcW w:w="10240" w:type="dxa"/>
            <w:vAlign w:val="bottom"/>
            <w:gridSpan w:val="15"/>
          </w:tcPr>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are as follows: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9"/>
        </w:trPr>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11"/>
          </w:tcPr>
          <w:p>
            <w:pPr>
              <w:ind w:left="140"/>
              <w:spacing w:after="0"/>
              <w:rPr>
                <w:sz w:val="20"/>
                <w:szCs w:val="20"/>
                <w:color w:val="auto"/>
              </w:rPr>
            </w:pPr>
            <w:r>
              <w:rPr>
                <w:rFonts w:ascii="Arial" w:cs="Arial" w:eastAsia="Arial" w:hAnsi="Arial"/>
                <w:sz w:val="16"/>
                <w:szCs w:val="16"/>
                <w:b w:val="1"/>
                <w:bCs w:val="1"/>
                <w:color w:val="auto"/>
                <w:w w:val="97"/>
              </w:rPr>
              <w:t>Years Ended December 31,</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6"/>
                <w:szCs w:val="16"/>
                <w:b w:val="1"/>
                <w:bCs w:val="1"/>
                <w:color w:val="auto"/>
              </w:rPr>
              <w:t>2011</w:t>
            </w:r>
          </w:p>
        </w:tc>
        <w:tc>
          <w:tcPr>
            <w:tcW w:w="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2010</w:t>
            </w:r>
          </w:p>
        </w:tc>
        <w:tc>
          <w:tcPr>
            <w:tcW w:w="1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264"/>
        </w:trPr>
        <w:tc>
          <w:tcPr>
            <w:tcW w:w="500" w:type="dxa"/>
            <w:vAlign w:val="bottom"/>
          </w:tcPr>
          <w:p>
            <w:pPr>
              <w:spacing w:after="0"/>
              <w:rPr>
                <w:sz w:val="22"/>
                <w:szCs w:val="22"/>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Segment Profit</w:t>
            </w:r>
          </w:p>
        </w:tc>
        <w:tc>
          <w:tcPr>
            <w:tcW w:w="84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$ 5,879</w:t>
            </w:r>
          </w:p>
        </w:tc>
        <w:tc>
          <w:tcPr>
            <w:tcW w:w="56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5,357</w:t>
            </w:r>
          </w:p>
        </w:tc>
        <w:tc>
          <w:tcPr>
            <w:tcW w:w="58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2"/>
                <w:szCs w:val="22"/>
                <w:color w:val="auto"/>
              </w:rPr>
            </w:pP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4,485</w:t>
            </w:r>
          </w:p>
        </w:tc>
        <w:tc>
          <w:tcPr>
            <w:tcW w:w="160" w:type="dxa"/>
            <w:vAlign w:val="bottom"/>
            <w:shd w:val="clear" w:color="auto" w:fill="E5FFFF"/>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Other income/ (expense)(1)</w:t>
            </w:r>
          </w:p>
        </w:tc>
        <w:tc>
          <w:tcPr>
            <w:tcW w:w="840" w:type="dxa"/>
            <w:vAlign w:val="bottom"/>
            <w:gridSpan w:val="2"/>
          </w:tcPr>
          <w:p>
            <w:pPr>
              <w:jc w:val="right"/>
              <w:ind w:right="15"/>
              <w:spacing w:after="0"/>
              <w:rPr>
                <w:sz w:val="20"/>
                <w:szCs w:val="20"/>
                <w:color w:val="auto"/>
              </w:rPr>
            </w:pPr>
            <w:r>
              <w:rPr>
                <w:rFonts w:ascii="Arial" w:cs="Arial" w:eastAsia="Arial" w:hAnsi="Arial"/>
                <w:sz w:val="19"/>
                <w:szCs w:val="19"/>
                <w:color w:val="auto"/>
              </w:rPr>
              <w:t>25</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33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69</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Interest and other financial charges</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(351 )</w:t>
            </w: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(376 )</w:t>
            </w:r>
          </w:p>
        </w:tc>
        <w:tc>
          <w:tcPr>
            <w:tcW w:w="6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(386 )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Stock compensation expense(2)</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(170 )</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(168 )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(163 )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Pension ongoing expense(2)</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(36 )</w:t>
            </w: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(105 )</w:t>
            </w:r>
          </w:p>
        </w:tc>
        <w:tc>
          <w:tcPr>
            <w:tcW w:w="6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(185 )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Pension mark-to-market expense(2)</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(957 )</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(1,802 )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(471 )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postretirement income/(expense)(2)</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(72 )</w:t>
            </w:r>
          </w:p>
        </w:tc>
        <w:tc>
          <w:tcPr>
            <w:tcW w:w="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86</w:t>
            </w:r>
          </w:p>
        </w:tc>
        <w:tc>
          <w:tcPr>
            <w:tcW w:w="6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(29 )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tcPr>
          <w:p>
            <w:pPr>
              <w:ind w:left="20"/>
              <w:spacing w:after="0"/>
              <w:rPr>
                <w:sz w:val="20"/>
                <w:szCs w:val="20"/>
                <w:color w:val="auto"/>
              </w:rPr>
            </w:pPr>
            <w:r>
              <w:rPr>
                <w:rFonts w:ascii="Arial" w:cs="Arial" w:eastAsia="Arial" w:hAnsi="Arial"/>
                <w:sz w:val="19"/>
                <w:szCs w:val="19"/>
                <w:color w:val="auto"/>
              </w:rPr>
              <w:t>Repositioning and other charges(2)</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(443 )</w:t>
            </w:r>
          </w:p>
        </w:tc>
        <w:tc>
          <w:tcPr>
            <w:tcW w:w="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(743 )</w:t>
            </w:r>
          </w:p>
        </w:tc>
        <w:tc>
          <w:tcPr>
            <w:tcW w:w="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(598 )</w:t>
            </w:r>
          </w:p>
        </w:tc>
        <w:tc>
          <w:tcPr>
            <w:tcW w:w="520" w:type="dxa"/>
            <w:vAlign w:val="bottom"/>
          </w:tcPr>
          <w:p>
            <w:pPr>
              <w:spacing w:after="0"/>
              <w:rPr>
                <w:sz w:val="23"/>
                <w:szCs w:val="23"/>
                <w:color w:val="auto"/>
              </w:rPr>
            </w:pPr>
          </w:p>
        </w:tc>
      </w:tr>
      <w:tr>
        <w:trPr>
          <w:trHeight w:val="34"/>
        </w:trPr>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704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Income from continuing operations before taxes</w:t>
            </w:r>
          </w:p>
        </w:tc>
        <w:tc>
          <w:tcPr>
            <w:tcW w:w="84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$ 3,875</w:t>
            </w:r>
          </w:p>
        </w:tc>
        <w:tc>
          <w:tcPr>
            <w:tcW w:w="56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2,282</w:t>
            </w:r>
          </w:p>
        </w:tc>
        <w:tc>
          <w:tcPr>
            <w:tcW w:w="58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2,722</w:t>
            </w:r>
          </w:p>
        </w:tc>
        <w:tc>
          <w:tcPr>
            <w:tcW w:w="160" w:type="dxa"/>
            <w:vAlign w:val="bottom"/>
            <w:shd w:val="clear" w:color="auto" w:fill="E5FFFF"/>
          </w:tcPr>
          <w:p>
            <w:pPr>
              <w:spacing w:after="0"/>
              <w:rPr>
                <w:sz w:val="23"/>
                <w:szCs w:val="23"/>
                <w:color w:val="auto"/>
              </w:rPr>
            </w:pPr>
          </w:p>
        </w:tc>
        <w:tc>
          <w:tcPr>
            <w:tcW w:w="520" w:type="dxa"/>
            <w:vAlign w:val="bottom"/>
          </w:tcPr>
          <w:p>
            <w:pPr>
              <w:spacing w:after="0"/>
              <w:rPr>
                <w:sz w:val="23"/>
                <w:szCs w:val="23"/>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7"/>
        </w:trPr>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5" w:lineRule="exact"/>
        <w:rPr>
          <w:sz w:val="20"/>
          <w:szCs w:val="20"/>
          <w:color w:val="auto"/>
        </w:rPr>
      </w:pPr>
    </w:p>
    <w:p>
      <w:pPr>
        <w:ind w:left="400" w:hanging="332"/>
        <w:spacing w:after="0"/>
        <w:tabs>
          <w:tab w:leader="none" w:pos="4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Equity income/(loss) of affiliated companies is included in Segment Profit.</w:t>
      </w:r>
    </w:p>
    <w:p>
      <w:pPr>
        <w:spacing w:after="0" w:line="119" w:lineRule="exact"/>
        <w:rPr>
          <w:rFonts w:ascii="Arial" w:cs="Arial" w:eastAsia="Arial" w:hAnsi="Arial"/>
          <w:sz w:val="19"/>
          <w:szCs w:val="19"/>
          <w:color w:val="auto"/>
        </w:rPr>
      </w:pPr>
    </w:p>
    <w:p>
      <w:pPr>
        <w:ind w:left="400" w:hanging="332"/>
        <w:spacing w:after="0"/>
        <w:tabs>
          <w:tab w:leader="none" w:pos="4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25—Geographic Areas—Financial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Net Sales(1)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w w:val="99"/>
              </w:rPr>
              <w:t>Long-lived Assets(2)</w:t>
            </w:r>
          </w:p>
        </w:tc>
        <w:tc>
          <w:tcPr>
            <w:tcW w:w="640" w:type="dxa"/>
            <w:vAlign w:val="bottom"/>
            <w:tcBorders>
              <w:bottom w:val="single" w:sz="8" w:color="auto"/>
            </w:tcBorders>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3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280" w:type="dxa"/>
            <w:vAlign w:val="bottom"/>
          </w:tcPr>
          <w:p>
            <w:pPr>
              <w:spacing w:after="0"/>
              <w:rPr>
                <w:sz w:val="17"/>
                <w:szCs w:val="17"/>
                <w:color w:val="auto"/>
              </w:rPr>
            </w:pPr>
          </w:p>
        </w:tc>
        <w:tc>
          <w:tcPr>
            <w:tcW w:w="30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2011</w:t>
            </w: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7"/>
                <w:szCs w:val="17"/>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2012</w:t>
            </w:r>
          </w:p>
        </w:tc>
        <w:tc>
          <w:tcPr>
            <w:tcW w:w="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2010</w:t>
            </w:r>
          </w:p>
        </w:tc>
      </w:tr>
      <w:tr>
        <w:trPr>
          <w:trHeight w:val="264"/>
        </w:trPr>
        <w:tc>
          <w:tcPr>
            <w:tcW w:w="500" w:type="dxa"/>
            <w:vAlign w:val="bottom"/>
          </w:tcPr>
          <w:p>
            <w:pPr>
              <w:spacing w:after="0"/>
              <w:rPr>
                <w:sz w:val="22"/>
                <w:szCs w:val="22"/>
                <w:color w:val="auto"/>
              </w:rPr>
            </w:pPr>
          </w:p>
        </w:tc>
        <w:tc>
          <w:tcPr>
            <w:tcW w:w="36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United States</w:t>
            </w:r>
          </w:p>
        </w:tc>
        <w:tc>
          <w:tcPr>
            <w:tcW w:w="9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$ 22,379</w:t>
            </w:r>
          </w:p>
        </w:tc>
        <w:tc>
          <w:tcPr>
            <w:tcW w:w="120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$ 21,005</w:t>
            </w:r>
          </w:p>
        </w:tc>
        <w:tc>
          <w:tcPr>
            <w:tcW w:w="122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$ 18,858</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$ 3,118</w:t>
            </w:r>
          </w:p>
        </w:tc>
        <w:tc>
          <w:tcPr>
            <w:tcW w:w="1200" w:type="dxa"/>
            <w:vAlign w:val="bottom"/>
            <w:gridSpan w:val="3"/>
            <w:shd w:val="clear" w:color="auto" w:fill="E5FFFF"/>
          </w:tcPr>
          <w:p>
            <w:pPr>
              <w:jc w:val="right"/>
              <w:ind w:right="12"/>
              <w:spacing w:after="0"/>
              <w:rPr>
                <w:sz w:val="20"/>
                <w:szCs w:val="20"/>
                <w:color w:val="auto"/>
              </w:rPr>
            </w:pPr>
            <w:r>
              <w:rPr>
                <w:rFonts w:ascii="Arial" w:cs="Arial" w:eastAsia="Arial" w:hAnsi="Arial"/>
                <w:sz w:val="19"/>
                <w:szCs w:val="19"/>
                <w:color w:val="auto"/>
              </w:rPr>
              <w:t>$ 2,956</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2,892</w:t>
            </w:r>
          </w:p>
        </w:tc>
      </w:tr>
      <w:tr>
        <w:trPr>
          <w:trHeight w:val="270"/>
        </w:trPr>
        <w:tc>
          <w:tcPr>
            <w:tcW w:w="500" w:type="dxa"/>
            <w:vAlign w:val="bottom"/>
          </w:tcPr>
          <w:p>
            <w:pPr>
              <w:spacing w:after="0"/>
              <w:rPr>
                <w:sz w:val="23"/>
                <w:szCs w:val="23"/>
                <w:color w:val="auto"/>
              </w:rPr>
            </w:pPr>
          </w:p>
        </w:tc>
        <w:tc>
          <w:tcPr>
            <w:tcW w:w="3680" w:type="dxa"/>
            <w:vAlign w:val="bottom"/>
            <w:gridSpan w:val="2"/>
          </w:tcPr>
          <w:p>
            <w:pPr>
              <w:ind w:left="20"/>
              <w:spacing w:after="0"/>
              <w:rPr>
                <w:sz w:val="20"/>
                <w:szCs w:val="20"/>
                <w:color w:val="auto"/>
              </w:rPr>
            </w:pPr>
            <w:r>
              <w:rPr>
                <w:rFonts w:ascii="Arial" w:cs="Arial" w:eastAsia="Arial" w:hAnsi="Arial"/>
                <w:sz w:val="19"/>
                <w:szCs w:val="19"/>
                <w:color w:val="auto"/>
              </w:rPr>
              <w:t>Europe</w:t>
            </w:r>
          </w:p>
        </w:tc>
        <w:tc>
          <w:tcPr>
            <w:tcW w:w="940" w:type="dxa"/>
            <w:vAlign w:val="bottom"/>
          </w:tcPr>
          <w:p>
            <w:pPr>
              <w:jc w:val="right"/>
              <w:ind w:right="9"/>
              <w:spacing w:after="0"/>
              <w:rPr>
                <w:sz w:val="20"/>
                <w:szCs w:val="20"/>
                <w:color w:val="auto"/>
              </w:rPr>
            </w:pPr>
            <w:r>
              <w:rPr>
                <w:rFonts w:ascii="Arial" w:cs="Arial" w:eastAsia="Arial" w:hAnsi="Arial"/>
                <w:sz w:val="19"/>
                <w:szCs w:val="19"/>
                <w:color w:val="auto"/>
              </w:rPr>
              <w:t>9,118</w:t>
            </w:r>
          </w:p>
        </w:tc>
        <w:tc>
          <w:tcPr>
            <w:tcW w:w="1200" w:type="dxa"/>
            <w:vAlign w:val="bottom"/>
            <w:gridSpan w:val="2"/>
          </w:tcPr>
          <w:p>
            <w:pPr>
              <w:jc w:val="right"/>
              <w:ind w:right="15"/>
              <w:spacing w:after="0"/>
              <w:rPr>
                <w:sz w:val="20"/>
                <w:szCs w:val="20"/>
                <w:color w:val="auto"/>
              </w:rPr>
            </w:pPr>
            <w:r>
              <w:rPr>
                <w:rFonts w:ascii="Arial" w:cs="Arial" w:eastAsia="Arial" w:hAnsi="Arial"/>
                <w:sz w:val="19"/>
                <w:szCs w:val="19"/>
                <w:color w:val="auto"/>
              </w:rPr>
              <w:t>9,604</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8,367</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932</w:t>
            </w:r>
          </w:p>
        </w:tc>
        <w:tc>
          <w:tcPr>
            <w:tcW w:w="1200" w:type="dxa"/>
            <w:vAlign w:val="bottom"/>
            <w:gridSpan w:val="3"/>
          </w:tcPr>
          <w:p>
            <w:pPr>
              <w:jc w:val="right"/>
              <w:ind w:right="12"/>
              <w:spacing w:after="0"/>
              <w:rPr>
                <w:sz w:val="20"/>
                <w:szCs w:val="20"/>
                <w:color w:val="auto"/>
              </w:rPr>
            </w:pPr>
            <w:r>
              <w:rPr>
                <w:rFonts w:ascii="Arial" w:cs="Arial" w:eastAsia="Arial" w:hAnsi="Arial"/>
                <w:sz w:val="19"/>
                <w:szCs w:val="19"/>
                <w:color w:val="auto"/>
              </w:rPr>
              <w:t>919</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924</w:t>
            </w:r>
          </w:p>
        </w:tc>
      </w:tr>
      <w:tr>
        <w:trPr>
          <w:trHeight w:val="270"/>
        </w:trPr>
        <w:tc>
          <w:tcPr>
            <w:tcW w:w="500" w:type="dxa"/>
            <w:vAlign w:val="bottom"/>
          </w:tcPr>
          <w:p>
            <w:pPr>
              <w:spacing w:after="0"/>
              <w:rPr>
                <w:sz w:val="23"/>
                <w:szCs w:val="23"/>
                <w:color w:val="auto"/>
              </w:rPr>
            </w:pPr>
          </w:p>
        </w:tc>
        <w:tc>
          <w:tcPr>
            <w:tcW w:w="368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Other International</w:t>
            </w:r>
          </w:p>
        </w:tc>
        <w:tc>
          <w:tcPr>
            <w:tcW w:w="94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6,168</w:t>
            </w:r>
          </w:p>
        </w:tc>
        <w:tc>
          <w:tcPr>
            <w:tcW w:w="260" w:type="dxa"/>
            <w:vAlign w:val="bottom"/>
            <w:shd w:val="clear" w:color="auto" w:fill="E5FFFF"/>
          </w:tcPr>
          <w:p>
            <w:pPr>
              <w:spacing w:after="0"/>
              <w:rPr>
                <w:sz w:val="23"/>
                <w:szCs w:val="23"/>
                <w:color w:val="auto"/>
              </w:rPr>
            </w:pPr>
          </w:p>
        </w:tc>
        <w:tc>
          <w:tcPr>
            <w:tcW w:w="9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9"/>
                <w:szCs w:val="19"/>
                <w:color w:val="auto"/>
              </w:rPr>
              <w:t>5,920</w:t>
            </w:r>
          </w:p>
        </w:tc>
        <w:tc>
          <w:tcPr>
            <w:tcW w:w="26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9"/>
                <w:szCs w:val="19"/>
                <w:color w:val="auto"/>
              </w:rPr>
              <w:t>5,125</w:t>
            </w:r>
          </w:p>
        </w:tc>
        <w:tc>
          <w:tcPr>
            <w:tcW w:w="280" w:type="dxa"/>
            <w:vAlign w:val="bottom"/>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951</w:t>
            </w:r>
          </w:p>
        </w:tc>
        <w:tc>
          <w:tcPr>
            <w:tcW w:w="80" w:type="dxa"/>
            <w:vAlign w:val="bottom"/>
            <w:tcBorders>
              <w:bottom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9"/>
                <w:szCs w:val="19"/>
                <w:color w:val="auto"/>
              </w:rPr>
              <w:t>929</w:t>
            </w:r>
          </w:p>
        </w:tc>
        <w:tc>
          <w:tcPr>
            <w:tcW w:w="28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908</w:t>
            </w:r>
          </w:p>
        </w:tc>
      </w:tr>
      <w:tr>
        <w:trPr>
          <w:trHeight w:val="304"/>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Arial" w:cs="Arial" w:eastAsia="Arial" w:hAnsi="Arial"/>
                <w:sz w:val="19"/>
                <w:szCs w:val="19"/>
                <w:color w:val="auto"/>
              </w:rPr>
              <w:t>$ 37,665</w:t>
            </w:r>
          </w:p>
        </w:tc>
        <w:tc>
          <w:tcPr>
            <w:tcW w:w="1200" w:type="dxa"/>
            <w:vAlign w:val="bottom"/>
            <w:gridSpan w:val="2"/>
          </w:tcPr>
          <w:p>
            <w:pPr>
              <w:jc w:val="right"/>
              <w:ind w:right="15"/>
              <w:spacing w:after="0"/>
              <w:rPr>
                <w:sz w:val="20"/>
                <w:szCs w:val="20"/>
                <w:color w:val="auto"/>
              </w:rPr>
            </w:pPr>
            <w:r>
              <w:rPr>
                <w:rFonts w:ascii="Arial" w:cs="Arial" w:eastAsia="Arial" w:hAnsi="Arial"/>
                <w:sz w:val="19"/>
                <w:szCs w:val="19"/>
                <w:color w:val="auto"/>
              </w:rPr>
              <w:t>$ 36,529</w:t>
            </w:r>
          </w:p>
        </w:tc>
        <w:tc>
          <w:tcPr>
            <w:tcW w:w="1220" w:type="dxa"/>
            <w:vAlign w:val="bottom"/>
            <w:gridSpan w:val="2"/>
          </w:tcPr>
          <w:p>
            <w:pPr>
              <w:jc w:val="right"/>
              <w:ind w:right="12"/>
              <w:spacing w:after="0"/>
              <w:rPr>
                <w:sz w:val="20"/>
                <w:szCs w:val="20"/>
                <w:color w:val="auto"/>
              </w:rPr>
            </w:pPr>
            <w:r>
              <w:rPr>
                <w:rFonts w:ascii="Arial" w:cs="Arial" w:eastAsia="Arial" w:hAnsi="Arial"/>
                <w:sz w:val="19"/>
                <w:szCs w:val="19"/>
                <w:color w:val="auto"/>
              </w:rPr>
              <w:t>$ 32,350</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$ 5,001</w:t>
            </w:r>
          </w:p>
        </w:tc>
        <w:tc>
          <w:tcPr>
            <w:tcW w:w="1200" w:type="dxa"/>
            <w:vAlign w:val="bottom"/>
            <w:gridSpan w:val="3"/>
          </w:tcPr>
          <w:p>
            <w:pPr>
              <w:jc w:val="right"/>
              <w:ind w:right="12"/>
              <w:spacing w:after="0"/>
              <w:rPr>
                <w:sz w:val="20"/>
                <w:szCs w:val="20"/>
                <w:color w:val="auto"/>
              </w:rPr>
            </w:pPr>
            <w:r>
              <w:rPr>
                <w:rFonts w:ascii="Arial" w:cs="Arial" w:eastAsia="Arial" w:hAnsi="Arial"/>
                <w:sz w:val="19"/>
                <w:szCs w:val="19"/>
                <w:color w:val="auto"/>
              </w:rPr>
              <w:t>$ 4,804</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4,724</w:t>
            </w: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9" w:lineRule="exact"/>
        <w:rPr>
          <w:sz w:val="20"/>
          <w:szCs w:val="20"/>
          <w:color w:val="auto"/>
        </w:rPr>
      </w:pPr>
    </w:p>
    <w:p>
      <w:pPr>
        <w:ind w:left="400" w:right="140" w:hanging="332"/>
        <w:spacing w:after="0" w:line="245" w:lineRule="auto"/>
        <w:tabs>
          <w:tab w:leader="none" w:pos="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Sales between geographic areas approximate market and are not significant. Net sales are classified according to their country of origin. Included in United States net sales are export sales of $5,126, $4,549 and $3,629 million in 2012, 2011 and 2010, respectively.</w:t>
      </w:r>
    </w:p>
    <w:p>
      <w:pPr>
        <w:spacing w:after="0" w:line="87" w:lineRule="exact"/>
        <w:rPr>
          <w:rFonts w:ascii="Arial" w:cs="Arial" w:eastAsia="Arial" w:hAnsi="Arial"/>
          <w:sz w:val="19"/>
          <w:szCs w:val="19"/>
          <w:color w:val="auto"/>
        </w:rPr>
      </w:pPr>
    </w:p>
    <w:p>
      <w:pPr>
        <w:ind w:left="400" w:hanging="332"/>
        <w:spacing w:after="0"/>
        <w:tabs>
          <w:tab w:leader="none" w:pos="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Long-lived assets are comprised of property, plant and equipment—net.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26—Supplemental Cash Flow Information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gridSpan w:val="13"/>
          </w:tcPr>
          <w:p>
            <w:pPr>
              <w:jc w:val="right"/>
              <w:ind w:right="943"/>
              <w:spacing w:after="0"/>
              <w:rPr>
                <w:sz w:val="20"/>
                <w:szCs w:val="20"/>
                <w:color w:val="auto"/>
              </w:rPr>
            </w:pPr>
            <w:r>
              <w:rPr>
                <w:rFonts w:ascii="Arial" w:cs="Arial" w:eastAsia="Arial" w:hAnsi="Arial"/>
                <w:sz w:val="16"/>
                <w:szCs w:val="16"/>
                <w:b w:val="1"/>
                <w:bCs w:val="1"/>
                <w:color w:val="auto"/>
              </w:rPr>
              <w:t>Years Ended December 31,</w:t>
            </w:r>
          </w:p>
        </w:tc>
      </w:tr>
      <w:tr>
        <w:trPr>
          <w:trHeight w:val="196"/>
        </w:trPr>
        <w:tc>
          <w:tcPr>
            <w:tcW w:w="5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13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129"/>
              <w:spacing w:after="0"/>
              <w:rPr>
                <w:sz w:val="20"/>
                <w:szCs w:val="20"/>
                <w:color w:val="auto"/>
              </w:rPr>
            </w:pPr>
            <w:r>
              <w:rPr>
                <w:rFonts w:ascii="Arial" w:cs="Arial" w:eastAsia="Arial" w:hAnsi="Arial"/>
                <w:sz w:val="16"/>
                <w:szCs w:val="16"/>
                <w:b w:val="1"/>
                <w:bCs w:val="1"/>
                <w:color w:val="auto"/>
              </w:rPr>
              <w:t>2011</w:t>
            </w: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17"/>
                <w:szCs w:val="17"/>
                <w:color w:val="auto"/>
              </w:rPr>
            </w:pPr>
          </w:p>
        </w:tc>
      </w:tr>
      <w:tr>
        <w:trPr>
          <w:trHeight w:val="237"/>
        </w:trPr>
        <w:tc>
          <w:tcPr>
            <w:tcW w:w="500" w:type="dxa"/>
            <w:vAlign w:val="bottom"/>
          </w:tcPr>
          <w:p>
            <w:pPr>
              <w:spacing w:after="0"/>
              <w:rPr>
                <w:sz w:val="20"/>
                <w:szCs w:val="20"/>
                <w:color w:val="auto"/>
              </w:rPr>
            </w:pPr>
          </w:p>
        </w:tc>
        <w:tc>
          <w:tcPr>
            <w:tcW w:w="4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Payments for repositioning and other charges:</w:t>
            </w:r>
          </w:p>
        </w:tc>
        <w:tc>
          <w:tcPr>
            <w:tcW w:w="32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4820" w:type="dxa"/>
            <w:vAlign w:val="bottom"/>
          </w:tcPr>
          <w:p>
            <w:pPr>
              <w:ind w:left="380"/>
              <w:spacing w:after="0"/>
              <w:rPr>
                <w:sz w:val="20"/>
                <w:szCs w:val="20"/>
                <w:color w:val="auto"/>
              </w:rPr>
            </w:pPr>
            <w:r>
              <w:rPr>
                <w:rFonts w:ascii="Arial" w:cs="Arial" w:eastAsia="Arial" w:hAnsi="Arial"/>
                <w:sz w:val="19"/>
                <w:szCs w:val="19"/>
                <w:color w:val="auto"/>
              </w:rPr>
              <w:t>Severance and exit cost payments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80" w:type="dxa"/>
            <w:vAlign w:val="bottom"/>
            <w:gridSpan w:val="6"/>
          </w:tcPr>
          <w:p>
            <w:pPr>
              <w:jc w:val="right"/>
              <w:spacing w:after="0"/>
              <w:rPr>
                <w:sz w:val="20"/>
                <w:szCs w:val="20"/>
                <w:color w:val="auto"/>
              </w:rPr>
            </w:pPr>
            <w:r>
              <w:rPr>
                <w:rFonts w:ascii="Arial" w:cs="Arial" w:eastAsia="Arial" w:hAnsi="Arial"/>
                <w:sz w:val="19"/>
                <w:szCs w:val="19"/>
                <w:color w:val="auto"/>
              </w:rPr>
              <w:t>$ (136 )</w:t>
            </w:r>
          </w:p>
        </w:tc>
        <w:tc>
          <w:tcPr>
            <w:tcW w:w="30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(161 )</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(151 )</w:t>
            </w:r>
          </w:p>
        </w:tc>
        <w:tc>
          <w:tcPr>
            <w:tcW w:w="520" w:type="dxa"/>
            <w:vAlign w:val="bottom"/>
          </w:tcPr>
          <w:p>
            <w:pPr>
              <w:spacing w:after="0"/>
              <w:rPr>
                <w:sz w:val="21"/>
                <w:szCs w:val="21"/>
                <w:color w:val="auto"/>
              </w:rPr>
            </w:pPr>
          </w:p>
        </w:tc>
      </w:tr>
      <w:tr>
        <w:trPr>
          <w:trHeight w:val="270"/>
        </w:trPr>
        <w:tc>
          <w:tcPr>
            <w:tcW w:w="500" w:type="dxa"/>
            <w:vAlign w:val="bottom"/>
          </w:tcPr>
          <w:p>
            <w:pPr>
              <w:spacing w:after="0"/>
              <w:rPr>
                <w:sz w:val="23"/>
                <w:szCs w:val="23"/>
                <w:color w:val="auto"/>
              </w:rPr>
            </w:pPr>
          </w:p>
        </w:tc>
        <w:tc>
          <w:tcPr>
            <w:tcW w:w="4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Environmental payments</w:t>
            </w:r>
          </w:p>
        </w:tc>
        <w:tc>
          <w:tcPr>
            <w:tcW w:w="32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(320 )</w:t>
            </w:r>
          </w:p>
        </w:tc>
        <w:tc>
          <w:tcPr>
            <w:tcW w:w="3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(270 )</w:t>
            </w:r>
          </w:p>
        </w:tc>
        <w:tc>
          <w:tcPr>
            <w:tcW w:w="3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(266 )</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820" w:type="dxa"/>
            <w:vAlign w:val="bottom"/>
          </w:tcPr>
          <w:p>
            <w:pPr>
              <w:ind w:left="380"/>
              <w:spacing w:after="0"/>
              <w:rPr>
                <w:sz w:val="20"/>
                <w:szCs w:val="20"/>
                <w:color w:val="auto"/>
              </w:rPr>
            </w:pPr>
            <w:r>
              <w:rPr>
                <w:rFonts w:ascii="Arial" w:cs="Arial" w:eastAsia="Arial" w:hAnsi="Arial"/>
                <w:sz w:val="19"/>
                <w:szCs w:val="19"/>
                <w:color w:val="auto"/>
              </w:rPr>
              <w:t>Insurance receipts for asbestos related liabilities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9"/>
                <w:szCs w:val="19"/>
                <w:color w:val="auto"/>
              </w:rPr>
              <w:t>122</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49"/>
              <w:spacing w:after="0"/>
              <w:rPr>
                <w:sz w:val="20"/>
                <w:szCs w:val="20"/>
                <w:color w:val="auto"/>
              </w:rPr>
            </w:pPr>
            <w:r>
              <w:rPr>
                <w:rFonts w:ascii="Arial" w:cs="Arial" w:eastAsia="Arial" w:hAnsi="Arial"/>
                <w:sz w:val="19"/>
                <w:szCs w:val="19"/>
                <w:color w:val="auto"/>
              </w:rPr>
              <w:t>134</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9"/>
                <w:szCs w:val="19"/>
                <w:color w:val="auto"/>
              </w:rPr>
              <w:t>141</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Asbestos related liability payments</w:t>
            </w:r>
          </w:p>
        </w:tc>
        <w:tc>
          <w:tcPr>
            <w:tcW w:w="32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(169 )</w:t>
            </w:r>
          </w:p>
        </w:tc>
        <w:tc>
          <w:tcPr>
            <w:tcW w:w="300" w:type="dxa"/>
            <w:vAlign w:val="bottom"/>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(171 )</w:t>
            </w:r>
          </w:p>
        </w:tc>
        <w:tc>
          <w:tcPr>
            <w:tcW w:w="320" w:type="dxa"/>
            <w:vAlign w:val="bottom"/>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80" w:type="dxa"/>
            <w:vAlign w:val="bottom"/>
            <w:tcBorders>
              <w:bottom w:val="single" w:sz="8" w:color="auto"/>
            </w:tcBorders>
            <w:shd w:val="clear" w:color="auto" w:fill="E5FFFF"/>
          </w:tcPr>
          <w:p>
            <w:pPr>
              <w:spacing w:after="0"/>
              <w:rPr>
                <w:sz w:val="23"/>
                <w:szCs w:val="23"/>
                <w:color w:val="auto"/>
              </w:rPr>
            </w:pPr>
          </w:p>
        </w:tc>
        <w:tc>
          <w:tcPr>
            <w:tcW w:w="6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(163 )</w:t>
            </w:r>
          </w:p>
        </w:tc>
        <w:tc>
          <w:tcPr>
            <w:tcW w:w="520" w:type="dxa"/>
            <w:vAlign w:val="bottom"/>
          </w:tcPr>
          <w:p>
            <w:pPr>
              <w:spacing w:after="0"/>
              <w:rPr>
                <w:sz w:val="23"/>
                <w:szCs w:val="23"/>
                <w:color w:val="auto"/>
              </w:rPr>
            </w:pPr>
          </w:p>
        </w:tc>
      </w:tr>
      <w:tr>
        <w:trPr>
          <w:trHeight w:val="277"/>
        </w:trPr>
        <w:tc>
          <w:tcPr>
            <w:tcW w:w="5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9"/>
                <w:szCs w:val="19"/>
                <w:color w:val="auto"/>
              </w:rPr>
              <w:t>$ (503 )</w:t>
            </w:r>
          </w:p>
        </w:tc>
        <w:tc>
          <w:tcPr>
            <w:tcW w:w="300" w:type="dxa"/>
            <w:vAlign w:val="bottom"/>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(468 )</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(439 )</w:t>
            </w:r>
          </w:p>
        </w:tc>
        <w:tc>
          <w:tcPr>
            <w:tcW w:w="5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
        </w:trPr>
        <w:tc>
          <w:tcPr>
            <w:tcW w:w="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4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Interest paid, net of amounts capitalized</w:t>
            </w:r>
          </w:p>
        </w:tc>
        <w:tc>
          <w:tcPr>
            <w:tcW w:w="32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1480" w:type="dxa"/>
            <w:vAlign w:val="bottom"/>
            <w:gridSpan w:val="4"/>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52"/>
              <w:spacing w:after="0"/>
              <w:rPr>
                <w:sz w:val="20"/>
                <w:szCs w:val="20"/>
                <w:color w:val="auto"/>
              </w:rPr>
            </w:pPr>
            <w:r>
              <w:rPr>
                <w:rFonts w:ascii="Arial" w:cs="Arial" w:eastAsia="Arial" w:hAnsi="Arial"/>
                <w:sz w:val="19"/>
                <w:szCs w:val="19"/>
                <w:color w:val="auto"/>
              </w:rPr>
              <w:t>344</w:t>
            </w:r>
          </w:p>
        </w:tc>
        <w:tc>
          <w:tcPr>
            <w:tcW w:w="300" w:type="dxa"/>
            <w:vAlign w:val="bottom"/>
            <w:shd w:val="clear" w:color="auto" w:fill="E5FFFF"/>
          </w:tcPr>
          <w:p>
            <w:pPr>
              <w:spacing w:after="0"/>
              <w:rPr>
                <w:sz w:val="23"/>
                <w:szCs w:val="23"/>
                <w:color w:val="auto"/>
              </w:rPr>
            </w:pPr>
          </w:p>
        </w:tc>
        <w:tc>
          <w:tcPr>
            <w:tcW w:w="2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378</w:t>
            </w:r>
          </w:p>
        </w:tc>
        <w:tc>
          <w:tcPr>
            <w:tcW w:w="3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w w:val="75"/>
              </w:rPr>
              <w:t>$</w:t>
            </w:r>
          </w:p>
        </w:tc>
        <w:tc>
          <w:tcPr>
            <w:tcW w:w="64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410</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9"/>
                <w:szCs w:val="19"/>
                <w:color w:val="auto"/>
              </w:rPr>
              <w:t>Income taxes paid, net of refunds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9"/>
                <w:szCs w:val="19"/>
                <w:color w:val="auto"/>
              </w:rPr>
              <w:t>919</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49"/>
              <w:spacing w:after="0"/>
              <w:rPr>
                <w:sz w:val="20"/>
                <w:szCs w:val="20"/>
                <w:color w:val="auto"/>
              </w:rPr>
            </w:pPr>
            <w:r>
              <w:rPr>
                <w:rFonts w:ascii="Arial" w:cs="Arial" w:eastAsia="Arial" w:hAnsi="Arial"/>
                <w:sz w:val="19"/>
                <w:szCs w:val="19"/>
                <w:color w:val="auto"/>
              </w:rPr>
              <w:t>578</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9"/>
                <w:szCs w:val="19"/>
                <w:color w:val="auto"/>
              </w:rPr>
              <w:t>80</w:t>
            </w:r>
          </w:p>
        </w:tc>
        <w:tc>
          <w:tcPr>
            <w:tcW w:w="520" w:type="dxa"/>
            <w:vAlign w:val="bottom"/>
          </w:tcPr>
          <w:p>
            <w:pPr>
              <w:spacing w:after="0"/>
              <w:rPr>
                <w:sz w:val="23"/>
                <w:szCs w:val="23"/>
                <w:color w:val="auto"/>
              </w:rPr>
            </w:pPr>
          </w:p>
        </w:tc>
      </w:tr>
      <w:tr>
        <w:trPr>
          <w:trHeight w:val="243"/>
        </w:trPr>
        <w:tc>
          <w:tcPr>
            <w:tcW w:w="500" w:type="dxa"/>
            <w:vAlign w:val="bottom"/>
          </w:tcPr>
          <w:p>
            <w:pPr>
              <w:spacing w:after="0"/>
              <w:rPr>
                <w:sz w:val="21"/>
                <w:szCs w:val="21"/>
                <w:color w:val="auto"/>
              </w:rPr>
            </w:pPr>
          </w:p>
        </w:tc>
        <w:tc>
          <w:tcPr>
            <w:tcW w:w="4820" w:type="dxa"/>
            <w:vAlign w:val="bottom"/>
            <w:shd w:val="clear" w:color="auto" w:fill="E5FFFF"/>
          </w:tcPr>
          <w:p>
            <w:pPr>
              <w:ind w:left="20"/>
              <w:spacing w:after="0"/>
              <w:rPr>
                <w:sz w:val="20"/>
                <w:szCs w:val="20"/>
                <w:color w:val="auto"/>
              </w:rPr>
            </w:pPr>
            <w:r>
              <w:rPr>
                <w:rFonts w:ascii="Arial" w:cs="Arial" w:eastAsia="Arial" w:hAnsi="Arial"/>
                <w:sz w:val="19"/>
                <w:szCs w:val="19"/>
                <w:color w:val="auto"/>
              </w:rPr>
              <w:t>Non-cash investing and financing activities:</w:t>
            </w: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00" w:type="dxa"/>
            <w:vAlign w:val="bottom"/>
          </w:tcPr>
          <w:p>
            <w:pPr>
              <w:spacing w:after="0"/>
              <w:rPr>
                <w:sz w:val="23"/>
                <w:szCs w:val="23"/>
                <w:color w:val="auto"/>
              </w:rPr>
            </w:pPr>
          </w:p>
        </w:tc>
        <w:tc>
          <w:tcPr>
            <w:tcW w:w="4820" w:type="dxa"/>
            <w:vAlign w:val="bottom"/>
          </w:tcPr>
          <w:p>
            <w:pPr>
              <w:ind w:left="380"/>
              <w:spacing w:after="0"/>
              <w:rPr>
                <w:sz w:val="20"/>
                <w:szCs w:val="20"/>
                <w:color w:val="auto"/>
              </w:rPr>
            </w:pPr>
            <w:r>
              <w:rPr>
                <w:rFonts w:ascii="Arial" w:cs="Arial" w:eastAsia="Arial" w:hAnsi="Arial"/>
                <w:sz w:val="19"/>
                <w:szCs w:val="19"/>
                <w:color w:val="auto"/>
              </w:rPr>
              <w:t>Common stock contributed to savings plans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9"/>
                <w:szCs w:val="19"/>
                <w:color w:val="auto"/>
              </w:rPr>
              <w:t>144</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49"/>
              <w:spacing w:after="0"/>
              <w:rPr>
                <w:sz w:val="20"/>
                <w:szCs w:val="20"/>
                <w:color w:val="auto"/>
              </w:rPr>
            </w:pPr>
            <w:r>
              <w:rPr>
                <w:rFonts w:ascii="Arial" w:cs="Arial" w:eastAsia="Arial" w:hAnsi="Arial"/>
                <w:sz w:val="19"/>
                <w:szCs w:val="19"/>
                <w:color w:val="auto"/>
              </w:rPr>
              <w:t>138</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9"/>
                <w:szCs w:val="19"/>
                <w:color w:val="auto"/>
              </w:rPr>
              <w:t>105</w:t>
            </w:r>
          </w:p>
        </w:tc>
        <w:tc>
          <w:tcPr>
            <w:tcW w:w="520" w:type="dxa"/>
            <w:vAlign w:val="bottom"/>
          </w:tcPr>
          <w:p>
            <w:pPr>
              <w:spacing w:after="0"/>
              <w:rPr>
                <w:sz w:val="23"/>
                <w:szCs w:val="23"/>
                <w:color w:val="auto"/>
              </w:rPr>
            </w:pPr>
          </w:p>
        </w:tc>
      </w:tr>
      <w:tr>
        <w:trPr>
          <w:trHeight w:val="270"/>
        </w:trPr>
        <w:tc>
          <w:tcPr>
            <w:tcW w:w="500" w:type="dxa"/>
            <w:vAlign w:val="bottom"/>
          </w:tcPr>
          <w:p>
            <w:pPr>
              <w:spacing w:after="0"/>
              <w:rPr>
                <w:sz w:val="23"/>
                <w:szCs w:val="23"/>
                <w:color w:val="auto"/>
              </w:rPr>
            </w:pPr>
          </w:p>
        </w:tc>
        <w:tc>
          <w:tcPr>
            <w:tcW w:w="4820" w:type="dxa"/>
            <w:vAlign w:val="bottom"/>
            <w:shd w:val="clear" w:color="auto" w:fill="E5FFFF"/>
          </w:tcPr>
          <w:p>
            <w:pPr>
              <w:ind w:left="380"/>
              <w:spacing w:after="0"/>
              <w:rPr>
                <w:sz w:val="20"/>
                <w:szCs w:val="20"/>
                <w:color w:val="auto"/>
              </w:rPr>
            </w:pPr>
            <w:r>
              <w:rPr>
                <w:rFonts w:ascii="Arial" w:cs="Arial" w:eastAsia="Arial" w:hAnsi="Arial"/>
                <w:sz w:val="19"/>
                <w:szCs w:val="19"/>
                <w:color w:val="auto"/>
              </w:rPr>
              <w:t>Common stock contributed to U.S. pension plans</w:t>
            </w:r>
          </w:p>
        </w:tc>
        <w:tc>
          <w:tcPr>
            <w:tcW w:w="32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92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gridSpan w:val="2"/>
            <w:shd w:val="clear" w:color="auto" w:fill="E5FFFF"/>
          </w:tcPr>
          <w:p>
            <w:pPr>
              <w:jc w:val="right"/>
              <w:ind w:right="343"/>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40" w:type="dxa"/>
            <w:vAlign w:val="bottom"/>
            <w:gridSpan w:val="3"/>
            <w:shd w:val="clear" w:color="auto" w:fill="E5FFFF"/>
          </w:tcPr>
          <w:p>
            <w:pPr>
              <w:jc w:val="right"/>
              <w:ind w:right="520"/>
              <w:spacing w:after="0"/>
              <w:rPr>
                <w:sz w:val="20"/>
                <w:szCs w:val="20"/>
                <w:color w:val="auto"/>
              </w:rPr>
            </w:pPr>
            <w:r>
              <w:rPr>
                <w:rFonts w:ascii="Arial" w:cs="Arial" w:eastAsia="Arial" w:hAnsi="Arial"/>
                <w:sz w:val="19"/>
                <w:szCs w:val="19"/>
                <w:color w:val="auto"/>
              </w:rPr>
              <w:t>—</w:t>
            </w:r>
          </w:p>
        </w:tc>
        <w:tc>
          <w:tcPr>
            <w:tcW w:w="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64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400</w:t>
            </w:r>
          </w:p>
        </w:tc>
        <w:tc>
          <w:tcPr>
            <w:tcW w:w="520" w:type="dxa"/>
            <w:vAlign w:val="bottom"/>
          </w:tcPr>
          <w:p>
            <w:pPr>
              <w:spacing w:after="0"/>
              <w:rPr>
                <w:sz w:val="23"/>
                <w:szCs w:val="23"/>
                <w:color w:val="auto"/>
              </w:rPr>
            </w:pPr>
          </w:p>
        </w:tc>
      </w:tr>
      <w:tr>
        <w:trPr>
          <w:trHeight w:val="274"/>
        </w:trPr>
        <w:tc>
          <w:tcPr>
            <w:tcW w:w="500" w:type="dxa"/>
            <w:vAlign w:val="bottom"/>
          </w:tcPr>
          <w:p>
            <w:pPr>
              <w:spacing w:after="0"/>
              <w:rPr>
                <w:sz w:val="23"/>
                <w:szCs w:val="23"/>
                <w:color w:val="auto"/>
              </w:rPr>
            </w:pPr>
          </w:p>
        </w:tc>
        <w:tc>
          <w:tcPr>
            <w:tcW w:w="6060" w:type="dxa"/>
            <w:vAlign w:val="bottom"/>
            <w:gridSpan w:val="3"/>
          </w:tcPr>
          <w:p>
            <w:pPr>
              <w:ind w:left="380"/>
              <w:spacing w:after="0"/>
              <w:rPr>
                <w:sz w:val="20"/>
                <w:szCs w:val="20"/>
                <w:color w:val="auto"/>
              </w:rPr>
            </w:pPr>
            <w:r>
              <w:rPr>
                <w:rFonts w:ascii="Arial" w:cs="Arial" w:eastAsia="Arial" w:hAnsi="Arial"/>
                <w:sz w:val="19"/>
                <w:szCs w:val="19"/>
                <w:color w:val="auto"/>
              </w:rPr>
              <w:t>Marketable securities contributed to non-U.S. pension plans</w:t>
            </w: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jc w:val="right"/>
              <w:ind w:right="343"/>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9"/>
                <w:szCs w:val="19"/>
                <w:color w:val="auto"/>
              </w:rPr>
              <w:t>242</w:t>
            </w:r>
          </w:p>
        </w:tc>
        <w:tc>
          <w:tcPr>
            <w:tcW w:w="520" w:type="dxa"/>
            <w:vAlign w:val="bottom"/>
          </w:tcPr>
          <w:p>
            <w:pPr>
              <w:spacing w:after="0"/>
              <w:rPr>
                <w:sz w:val="23"/>
                <w:szCs w:val="23"/>
                <w:color w:val="auto"/>
              </w:rPr>
            </w:pPr>
          </w:p>
        </w:tc>
      </w:tr>
      <w:tr>
        <w:trPr>
          <w:trHeight w:val="554"/>
        </w:trPr>
        <w:tc>
          <w:tcPr>
            <w:tcW w:w="5320" w:type="dxa"/>
            <w:vAlign w:val="bottom"/>
            <w:gridSpan w:val="2"/>
          </w:tcPr>
          <w:p>
            <w:pPr>
              <w:spacing w:after="0"/>
              <w:rPr>
                <w:sz w:val="20"/>
                <w:szCs w:val="20"/>
                <w:color w:val="auto"/>
              </w:rPr>
            </w:pPr>
            <w:r>
              <w:rPr>
                <w:rFonts w:ascii="Arial" w:cs="Arial" w:eastAsia="Arial" w:hAnsi="Arial"/>
                <w:sz w:val="19"/>
                <w:szCs w:val="19"/>
                <w:b w:val="1"/>
                <w:bCs w:val="1"/>
                <w:color w:val="auto"/>
              </w:rPr>
              <w:t>Note 27—Unaudited Quarterly Financial Information</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9"/>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Mar. 31</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rPr>
              <w:t>June 30</w:t>
            </w:r>
          </w:p>
        </w:tc>
        <w:tc>
          <w:tcPr>
            <w:tcW w:w="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Sept. 30</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 31</w:t>
            </w:r>
          </w:p>
        </w:tc>
        <w:tc>
          <w:tcPr>
            <w:tcW w:w="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6"/>
                <w:szCs w:val="16"/>
                <w:b w:val="1"/>
                <w:bCs w:val="1"/>
                <w:color w:val="auto"/>
              </w:rPr>
              <w:t>Year</w:t>
            </w:r>
          </w:p>
        </w:tc>
      </w:tr>
      <w:tr>
        <w:trPr>
          <w:trHeight w:val="264"/>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124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  9,307</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  9,435</w:t>
            </w:r>
          </w:p>
        </w:tc>
        <w:tc>
          <w:tcPr>
            <w:tcW w:w="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9,342</w:t>
            </w:r>
          </w:p>
        </w:tc>
        <w:tc>
          <w:tcPr>
            <w:tcW w:w="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9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9,581</w:t>
            </w:r>
          </w:p>
        </w:tc>
        <w:tc>
          <w:tcPr>
            <w:tcW w:w="8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116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$ 37,665</w:t>
            </w:r>
          </w:p>
        </w:tc>
      </w:tr>
      <w:tr>
        <w:trPr>
          <w:trHeight w:val="270"/>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Gross Profit</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2,427</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2,513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2,534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1,900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9,374</w:t>
            </w:r>
          </w:p>
        </w:tc>
      </w:tr>
      <w:tr>
        <w:trPr>
          <w:trHeight w:val="243"/>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Amounts attributable to Honeywell</w:t>
            </w: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r>
      <w:tr>
        <w:trPr>
          <w:trHeight w:val="230"/>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Income from continuing operations less net income</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5320" w:type="dxa"/>
            <w:vAlign w:val="bottom"/>
            <w:gridSpan w:val="2"/>
          </w:tcPr>
          <w:p>
            <w:pPr>
              <w:ind w:left="380"/>
              <w:spacing w:after="0"/>
              <w:rPr>
                <w:sz w:val="20"/>
                <w:szCs w:val="20"/>
                <w:color w:val="auto"/>
              </w:rPr>
            </w:pPr>
            <w:r>
              <w:rPr>
                <w:rFonts w:ascii="Arial" w:cs="Arial" w:eastAsia="Arial" w:hAnsi="Arial"/>
                <w:sz w:val="19"/>
                <w:szCs w:val="19"/>
                <w:color w:val="auto"/>
              </w:rPr>
              <w:t>attributable to the noncontrolling interest</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823</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902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950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251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2,926</w:t>
            </w:r>
          </w:p>
        </w:tc>
      </w:tr>
      <w:tr>
        <w:trPr>
          <w:trHeight w:val="270"/>
        </w:trPr>
        <w:tc>
          <w:tcPr>
            <w:tcW w:w="532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w:t>
            </w:r>
          </w:p>
        </w:tc>
        <w:tc>
          <w:tcPr>
            <w:tcW w:w="32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260" w:type="dxa"/>
            <w:vAlign w:val="bottom"/>
            <w:gridSpan w:val="2"/>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spacing w:after="0"/>
              <w:rPr>
                <w:sz w:val="23"/>
                <w:szCs w:val="23"/>
                <w:color w:val="auto"/>
              </w:rPr>
            </w:pPr>
          </w:p>
        </w:tc>
        <w:tc>
          <w:tcPr>
            <w:tcW w:w="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auto"/>
            </w:tcBorders>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304"/>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Net income attributable to Honeywell</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823</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902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950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251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2,926</w:t>
            </w:r>
          </w:p>
        </w:tc>
      </w:tr>
      <w:tr>
        <w:trPr>
          <w:trHeight w:val="243"/>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Earnings per share—basic</w:t>
            </w: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r>
      <w:tr>
        <w:trPr>
          <w:trHeight w:val="270"/>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Income from continuing operations</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1.06</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1.21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0.32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3.74</w:t>
            </w:r>
          </w:p>
        </w:tc>
      </w:tr>
      <w:tr>
        <w:trPr>
          <w:trHeight w:val="270"/>
        </w:trPr>
        <w:tc>
          <w:tcPr>
            <w:tcW w:w="532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w:t>
            </w:r>
          </w:p>
        </w:tc>
        <w:tc>
          <w:tcPr>
            <w:tcW w:w="32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260" w:type="dxa"/>
            <w:vAlign w:val="bottom"/>
            <w:gridSpan w:val="2"/>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spacing w:after="0"/>
              <w:rPr>
                <w:sz w:val="23"/>
                <w:szCs w:val="23"/>
                <w:color w:val="auto"/>
              </w:rPr>
            </w:pPr>
          </w:p>
        </w:tc>
        <w:tc>
          <w:tcPr>
            <w:tcW w:w="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auto"/>
            </w:tcBorders>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304"/>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Net income attributable to Honeywell</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1.06</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1.21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0.32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3.74</w:t>
            </w:r>
          </w:p>
        </w:tc>
      </w:tr>
      <w:tr>
        <w:trPr>
          <w:trHeight w:val="243"/>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Earnings per share—assuming dilution</w:t>
            </w:r>
          </w:p>
        </w:tc>
        <w:tc>
          <w:tcPr>
            <w:tcW w:w="32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r>
      <w:tr>
        <w:trPr>
          <w:trHeight w:val="270"/>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Income from continuing operations</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1.04</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1.20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0.32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3.69</w:t>
            </w:r>
          </w:p>
        </w:tc>
      </w:tr>
      <w:tr>
        <w:trPr>
          <w:trHeight w:val="270"/>
        </w:trPr>
        <w:tc>
          <w:tcPr>
            <w:tcW w:w="532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w:t>
            </w:r>
          </w:p>
        </w:tc>
        <w:tc>
          <w:tcPr>
            <w:tcW w:w="32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260" w:type="dxa"/>
            <w:vAlign w:val="bottom"/>
            <w:gridSpan w:val="2"/>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560" w:type="dxa"/>
            <w:vAlign w:val="bottom"/>
            <w:tcBorders>
              <w:bottom w:val="single" w:sz="8" w:color="auto"/>
            </w:tcBorders>
            <w:shd w:val="clear" w:color="auto" w:fill="E5FFFF"/>
          </w:tcPr>
          <w:p>
            <w:pPr>
              <w:spacing w:after="0"/>
              <w:rPr>
                <w:sz w:val="23"/>
                <w:szCs w:val="23"/>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460" w:type="dxa"/>
            <w:vAlign w:val="bottom"/>
            <w:tcBorders>
              <w:bottom w:val="single" w:sz="8" w:color="auto"/>
            </w:tcBorders>
            <w:shd w:val="clear" w:color="auto" w:fill="E5FFFF"/>
          </w:tcPr>
          <w:p>
            <w:pPr>
              <w:spacing w:after="0"/>
              <w:rPr>
                <w:sz w:val="23"/>
                <w:szCs w:val="23"/>
                <w:color w:val="auto"/>
              </w:rPr>
            </w:pPr>
          </w:p>
        </w:tc>
        <w:tc>
          <w:tcPr>
            <w:tcW w:w="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auto"/>
            </w:tcBorders>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400" w:type="dxa"/>
            <w:vAlign w:val="bottom"/>
            <w:tcBorders>
              <w:bottom w:val="single" w:sz="8" w:color="auto"/>
            </w:tcBorders>
            <w:shd w:val="clear" w:color="auto" w:fill="E5FFFF"/>
          </w:tcPr>
          <w:p>
            <w:pPr>
              <w:spacing w:after="0"/>
              <w:rPr>
                <w:sz w:val="23"/>
                <w:szCs w:val="23"/>
                <w:color w:val="auto"/>
              </w:rPr>
            </w:pPr>
          </w:p>
        </w:tc>
        <w:tc>
          <w:tcPr>
            <w:tcW w:w="5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w:t>
            </w:r>
          </w:p>
        </w:tc>
      </w:tr>
      <w:tr>
        <w:trPr>
          <w:trHeight w:val="304"/>
        </w:trPr>
        <w:tc>
          <w:tcPr>
            <w:tcW w:w="5320" w:type="dxa"/>
            <w:vAlign w:val="bottom"/>
            <w:gridSpan w:val="2"/>
          </w:tcPr>
          <w:p>
            <w:pPr>
              <w:ind w:left="200"/>
              <w:spacing w:after="0"/>
              <w:rPr>
                <w:sz w:val="20"/>
                <w:szCs w:val="20"/>
                <w:color w:val="auto"/>
              </w:rPr>
            </w:pPr>
            <w:r>
              <w:rPr>
                <w:rFonts w:ascii="Arial" w:cs="Arial" w:eastAsia="Arial" w:hAnsi="Arial"/>
                <w:sz w:val="19"/>
                <w:szCs w:val="19"/>
                <w:color w:val="auto"/>
              </w:rPr>
              <w:t>Net income attributable to Honeywell</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1.04</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1.20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0.32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3.69</w:t>
            </w:r>
          </w:p>
        </w:tc>
      </w:tr>
      <w:tr>
        <w:trPr>
          <w:trHeight w:val="270"/>
        </w:trPr>
        <w:tc>
          <w:tcPr>
            <w:tcW w:w="5320" w:type="dxa"/>
            <w:vAlign w:val="bottom"/>
            <w:gridSpan w:val="2"/>
            <w:shd w:val="clear" w:color="auto" w:fill="E5FFFF"/>
          </w:tcPr>
          <w:p>
            <w:pPr>
              <w:ind w:left="20"/>
              <w:spacing w:after="0"/>
              <w:rPr>
                <w:sz w:val="20"/>
                <w:szCs w:val="20"/>
                <w:color w:val="auto"/>
              </w:rPr>
            </w:pPr>
            <w:r>
              <w:rPr>
                <w:rFonts w:ascii="Arial" w:cs="Arial" w:eastAsia="Arial" w:hAnsi="Arial"/>
                <w:sz w:val="19"/>
                <w:szCs w:val="19"/>
                <w:color w:val="auto"/>
              </w:rPr>
              <w:t>Dividends paid per share</w:t>
            </w:r>
          </w:p>
        </w:tc>
        <w:tc>
          <w:tcPr>
            <w:tcW w:w="124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0.3725</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0.3725</w:t>
            </w: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0.3725</w:t>
            </w: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0.4100</w:t>
            </w:r>
          </w:p>
        </w:tc>
        <w:tc>
          <w:tcPr>
            <w:tcW w:w="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16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1.53</w:t>
            </w: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9"/>
                <w:szCs w:val="19"/>
                <w:color w:val="auto"/>
              </w:rPr>
              <w:t>Market Price per share</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0"/>
        </w:trPr>
        <w:tc>
          <w:tcPr>
            <w:tcW w:w="532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High</w:t>
            </w:r>
          </w:p>
        </w:tc>
        <w:tc>
          <w:tcPr>
            <w:tcW w:w="124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61.78</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61.29</w:t>
            </w:r>
          </w:p>
        </w:tc>
        <w:tc>
          <w:tcPr>
            <w:tcW w:w="6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61.72</w:t>
            </w:r>
          </w:p>
        </w:tc>
        <w:tc>
          <w:tcPr>
            <w:tcW w:w="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64.29</w:t>
            </w:r>
          </w:p>
        </w:tc>
        <w:tc>
          <w:tcPr>
            <w:tcW w:w="80" w:type="dxa"/>
            <w:vAlign w:val="bottom"/>
            <w:shd w:val="clear" w:color="auto" w:fill="E5FFFF"/>
          </w:tcPr>
          <w:p>
            <w:pPr>
              <w:spacing w:after="0"/>
              <w:rPr>
                <w:sz w:val="23"/>
                <w:szCs w:val="23"/>
                <w:color w:val="auto"/>
              </w:rPr>
            </w:pPr>
          </w:p>
        </w:tc>
        <w:tc>
          <w:tcPr>
            <w:tcW w:w="60" w:type="dxa"/>
            <w:vAlign w:val="bottom"/>
            <w:shd w:val="clear" w:color="auto" w:fill="E5FFFF"/>
          </w:tcPr>
          <w:p>
            <w:pPr>
              <w:spacing w:after="0"/>
              <w:rPr>
                <w:sz w:val="23"/>
                <w:szCs w:val="23"/>
                <w:color w:val="auto"/>
              </w:rPr>
            </w:pPr>
          </w:p>
        </w:tc>
        <w:tc>
          <w:tcPr>
            <w:tcW w:w="116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64.29</w:t>
            </w:r>
          </w:p>
        </w:tc>
      </w:tr>
      <w:tr>
        <w:trPr>
          <w:trHeight w:val="274"/>
        </w:trPr>
        <w:tc>
          <w:tcPr>
            <w:tcW w:w="5320" w:type="dxa"/>
            <w:vAlign w:val="bottom"/>
            <w:gridSpan w:val="2"/>
          </w:tcPr>
          <w:p>
            <w:pPr>
              <w:ind w:left="380"/>
              <w:spacing w:after="0"/>
              <w:rPr>
                <w:sz w:val="20"/>
                <w:szCs w:val="20"/>
                <w:color w:val="auto"/>
              </w:rPr>
            </w:pPr>
            <w:r>
              <w:rPr>
                <w:rFonts w:ascii="Arial" w:cs="Arial" w:eastAsia="Arial" w:hAnsi="Arial"/>
                <w:sz w:val="19"/>
                <w:szCs w:val="19"/>
                <w:color w:val="auto"/>
              </w:rPr>
              <w:t>Low</w:t>
            </w:r>
          </w:p>
        </w:tc>
        <w:tc>
          <w:tcPr>
            <w:tcW w:w="1240" w:type="dxa"/>
            <w:vAlign w:val="bottom"/>
            <w:gridSpan w:val="2"/>
          </w:tcPr>
          <w:p>
            <w:pPr>
              <w:jc w:val="right"/>
              <w:ind w:right="8"/>
              <w:spacing w:after="0"/>
              <w:rPr>
                <w:sz w:val="20"/>
                <w:szCs w:val="20"/>
                <w:color w:val="auto"/>
              </w:rPr>
            </w:pPr>
            <w:r>
              <w:rPr>
                <w:rFonts w:ascii="Arial" w:cs="Arial" w:eastAsia="Arial" w:hAnsi="Arial"/>
                <w:sz w:val="19"/>
                <w:szCs w:val="19"/>
                <w:color w:val="auto"/>
              </w:rPr>
              <w:t>55.18</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52.92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9"/>
                <w:szCs w:val="19"/>
                <w:color w:val="auto"/>
              </w:rPr>
              <w:t>53.60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59.15</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3"/>
          </w:tcPr>
          <w:p>
            <w:pPr>
              <w:jc w:val="right"/>
              <w:ind w:right="3"/>
              <w:spacing w:after="0"/>
              <w:rPr>
                <w:sz w:val="20"/>
                <w:szCs w:val="20"/>
                <w:color w:val="auto"/>
              </w:rPr>
            </w:pPr>
            <w:r>
              <w:rPr>
                <w:rFonts w:ascii="Arial" w:cs="Arial" w:eastAsia="Arial" w:hAnsi="Arial"/>
                <w:sz w:val="19"/>
                <w:szCs w:val="19"/>
                <w:color w:val="auto"/>
              </w:rPr>
              <w:t>52.92</w:t>
            </w:r>
          </w:p>
        </w:tc>
      </w:tr>
      <w:tr>
        <w:trPr>
          <w:trHeight w:val="338"/>
        </w:trPr>
        <w:tc>
          <w:tcPr>
            <w:tcW w:w="5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9"/>
                <w:szCs w:val="19"/>
                <w:color w:val="auto"/>
              </w:rPr>
              <w:t>116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5580" w:type="dxa"/>
            <w:vAlign w:val="bottom"/>
          </w:tcPr>
          <w:p>
            <w:pPr>
              <w:spacing w:after="0"/>
              <w:rPr>
                <w:sz w:val="17"/>
                <w:szCs w:val="17"/>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Mar. 31</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Dec. 31</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Year</w:t>
            </w:r>
          </w:p>
        </w:tc>
      </w:tr>
      <w:tr>
        <w:trPr>
          <w:trHeight w:val="264"/>
        </w:trPr>
        <w:tc>
          <w:tcPr>
            <w:tcW w:w="5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Net Sales</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  8,672</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  9,086</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  9,298</w:t>
            </w:r>
          </w:p>
        </w:tc>
        <w:tc>
          <w:tcPr>
            <w:tcW w:w="12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  9,473</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$ 36,529</w:t>
            </w:r>
          </w:p>
        </w:tc>
      </w:tr>
      <w:tr>
        <w:trPr>
          <w:trHeight w:val="270"/>
        </w:trPr>
        <w:tc>
          <w:tcPr>
            <w:tcW w:w="5580" w:type="dxa"/>
            <w:vAlign w:val="bottom"/>
          </w:tcPr>
          <w:p>
            <w:pPr>
              <w:ind w:left="20"/>
              <w:spacing w:after="0"/>
              <w:rPr>
                <w:sz w:val="20"/>
                <w:szCs w:val="20"/>
                <w:color w:val="auto"/>
              </w:rPr>
            </w:pPr>
            <w:r>
              <w:rPr>
                <w:rFonts w:ascii="Arial" w:cs="Arial" w:eastAsia="Arial" w:hAnsi="Arial"/>
                <w:sz w:val="19"/>
                <w:szCs w:val="19"/>
                <w:color w:val="auto"/>
              </w:rPr>
              <w:t>Gross Profit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2,248</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2,422</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2,265</w:t>
            </w:r>
          </w:p>
        </w:tc>
        <w:tc>
          <w:tcPr>
            <w:tcW w:w="1260" w:type="dxa"/>
            <w:vAlign w:val="bottom"/>
            <w:gridSpan w:val="2"/>
          </w:tcPr>
          <w:p>
            <w:pPr>
              <w:jc w:val="right"/>
              <w:ind w:right="48"/>
              <w:spacing w:after="0"/>
              <w:rPr>
                <w:sz w:val="20"/>
                <w:szCs w:val="20"/>
                <w:color w:val="auto"/>
              </w:rPr>
            </w:pPr>
            <w:r>
              <w:rPr>
                <w:rFonts w:ascii="Arial" w:cs="Arial" w:eastAsia="Arial" w:hAnsi="Arial"/>
                <w:sz w:val="19"/>
                <w:szCs w:val="19"/>
                <w:color w:val="auto"/>
              </w:rPr>
              <w:t>1,038</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7,973</w:t>
            </w:r>
          </w:p>
        </w:tc>
      </w:tr>
      <w:tr>
        <w:trPr>
          <w:trHeight w:val="243"/>
        </w:trPr>
        <w:tc>
          <w:tcPr>
            <w:tcW w:w="5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Amounts attributable to Honeywell</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30"/>
        </w:trPr>
        <w:tc>
          <w:tcPr>
            <w:tcW w:w="5580" w:type="dxa"/>
            <w:vAlign w:val="bottom"/>
          </w:tcPr>
          <w:p>
            <w:pPr>
              <w:ind w:left="200"/>
              <w:spacing w:after="0"/>
              <w:rPr>
                <w:sz w:val="20"/>
                <w:szCs w:val="20"/>
                <w:color w:val="auto"/>
              </w:rPr>
            </w:pPr>
            <w:r>
              <w:rPr>
                <w:rFonts w:ascii="Arial" w:cs="Arial" w:eastAsia="Arial" w:hAnsi="Arial"/>
                <w:sz w:val="19"/>
                <w:szCs w:val="19"/>
                <w:color w:val="auto"/>
              </w:rPr>
              <w:t>Income (loss) from continuing operations less net income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580" w:type="dxa"/>
            <w:vAlign w:val="bottom"/>
          </w:tcPr>
          <w:p>
            <w:pPr>
              <w:ind w:left="380"/>
              <w:spacing w:after="0"/>
              <w:rPr>
                <w:sz w:val="20"/>
                <w:szCs w:val="20"/>
                <w:color w:val="auto"/>
              </w:rPr>
            </w:pPr>
            <w:r>
              <w:rPr>
                <w:rFonts w:ascii="Arial" w:cs="Arial" w:eastAsia="Arial" w:hAnsi="Arial"/>
                <w:sz w:val="19"/>
                <w:szCs w:val="19"/>
                <w:color w:val="auto"/>
              </w:rPr>
              <w:t>attributable to the noncontrolling interest</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687</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796</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685</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(310 )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1,858</w:t>
            </w:r>
          </w:p>
        </w:tc>
      </w:tr>
      <w:tr>
        <w:trPr>
          <w:trHeight w:val="270"/>
        </w:trPr>
        <w:tc>
          <w:tcPr>
            <w:tcW w:w="55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operations(1)</w:t>
            </w: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18</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14</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177</w:t>
            </w:r>
          </w:p>
        </w:tc>
        <w:tc>
          <w:tcPr>
            <w:tcW w:w="30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209</w:t>
            </w:r>
          </w:p>
        </w:tc>
      </w:tr>
      <w:tr>
        <w:trPr>
          <w:trHeight w:val="304"/>
        </w:trPr>
        <w:tc>
          <w:tcPr>
            <w:tcW w:w="5580" w:type="dxa"/>
            <w:vAlign w:val="bottom"/>
          </w:tcPr>
          <w:p>
            <w:pPr>
              <w:ind w:left="200"/>
              <w:spacing w:after="0"/>
              <w:rPr>
                <w:sz w:val="20"/>
                <w:szCs w:val="20"/>
                <w:color w:val="auto"/>
              </w:rPr>
            </w:pPr>
            <w:r>
              <w:rPr>
                <w:rFonts w:ascii="Arial" w:cs="Arial" w:eastAsia="Arial" w:hAnsi="Arial"/>
                <w:sz w:val="19"/>
                <w:szCs w:val="19"/>
                <w:color w:val="auto"/>
              </w:rPr>
              <w:t>Net income (loss) attributable to Honeywell</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705</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810</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862</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(310 )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2,067</w:t>
            </w:r>
          </w:p>
        </w:tc>
      </w:tr>
      <w:tr>
        <w:trPr>
          <w:trHeight w:val="243"/>
        </w:trPr>
        <w:tc>
          <w:tcPr>
            <w:tcW w:w="5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share—basic</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580" w:type="dxa"/>
            <w:vAlign w:val="bottom"/>
          </w:tcPr>
          <w:p>
            <w:pPr>
              <w:ind w:left="200"/>
              <w:spacing w:after="0"/>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0.87</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1.01</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0.88</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(0.40 )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2.38</w:t>
            </w:r>
          </w:p>
        </w:tc>
      </w:tr>
      <w:tr>
        <w:trPr>
          <w:trHeight w:val="270"/>
        </w:trPr>
        <w:tc>
          <w:tcPr>
            <w:tcW w:w="55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0.03</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0.02</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0.23</w:t>
            </w:r>
          </w:p>
        </w:tc>
        <w:tc>
          <w:tcPr>
            <w:tcW w:w="30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0.27</w:t>
            </w:r>
          </w:p>
        </w:tc>
      </w:tr>
      <w:tr>
        <w:trPr>
          <w:trHeight w:val="304"/>
        </w:trPr>
        <w:tc>
          <w:tcPr>
            <w:tcW w:w="5580" w:type="dxa"/>
            <w:vAlign w:val="bottom"/>
          </w:tcPr>
          <w:p>
            <w:pPr>
              <w:ind w:left="200"/>
              <w:spacing w:after="0"/>
              <w:rPr>
                <w:sz w:val="20"/>
                <w:szCs w:val="20"/>
                <w:color w:val="auto"/>
              </w:rPr>
            </w:pPr>
            <w:r>
              <w:rPr>
                <w:rFonts w:ascii="Arial" w:cs="Arial" w:eastAsia="Arial" w:hAnsi="Arial"/>
                <w:sz w:val="19"/>
                <w:szCs w:val="19"/>
                <w:color w:val="auto"/>
              </w:rPr>
              <w:t>Net income (loss) attributable to Honeywell</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0.90</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1.03</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1.11</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(0.40 )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2.65</w:t>
            </w:r>
          </w:p>
        </w:tc>
      </w:tr>
      <w:tr>
        <w:trPr>
          <w:trHeight w:val="243"/>
        </w:trPr>
        <w:tc>
          <w:tcPr>
            <w:tcW w:w="5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Earnings per share—assuming dilution</w:t>
            </w: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70"/>
        </w:trPr>
        <w:tc>
          <w:tcPr>
            <w:tcW w:w="5580" w:type="dxa"/>
            <w:vAlign w:val="bottom"/>
          </w:tcPr>
          <w:p>
            <w:pPr>
              <w:ind w:left="200"/>
              <w:spacing w:after="0"/>
              <w:rPr>
                <w:sz w:val="20"/>
                <w:szCs w:val="20"/>
                <w:color w:val="auto"/>
              </w:rPr>
            </w:pPr>
            <w:r>
              <w:rPr>
                <w:rFonts w:ascii="Arial" w:cs="Arial" w:eastAsia="Arial" w:hAnsi="Arial"/>
                <w:sz w:val="19"/>
                <w:szCs w:val="19"/>
                <w:color w:val="auto"/>
              </w:rPr>
              <w:t>Income (loss) from continuing operations</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0.86</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1.00</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0.87</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(0.40 )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2.35</w:t>
            </w:r>
          </w:p>
        </w:tc>
      </w:tr>
      <w:tr>
        <w:trPr>
          <w:trHeight w:val="270"/>
        </w:trPr>
        <w:tc>
          <w:tcPr>
            <w:tcW w:w="55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Income from discontinued operations</w:t>
            </w:r>
          </w:p>
        </w:tc>
        <w:tc>
          <w:tcPr>
            <w:tcW w:w="9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0.02</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0.02</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0.23</w:t>
            </w:r>
          </w:p>
        </w:tc>
        <w:tc>
          <w:tcPr>
            <w:tcW w:w="300" w:type="dxa"/>
            <w:vAlign w:val="bottom"/>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3"/>
                <w:szCs w:val="23"/>
                <w:color w:val="auto"/>
              </w:rPr>
            </w:pPr>
          </w:p>
        </w:tc>
        <w:tc>
          <w:tcPr>
            <w:tcW w:w="92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0.26</w:t>
            </w:r>
          </w:p>
        </w:tc>
      </w:tr>
      <w:tr>
        <w:trPr>
          <w:trHeight w:val="304"/>
        </w:trPr>
        <w:tc>
          <w:tcPr>
            <w:tcW w:w="5580" w:type="dxa"/>
            <w:vAlign w:val="bottom"/>
          </w:tcPr>
          <w:p>
            <w:pPr>
              <w:ind w:left="200"/>
              <w:spacing w:after="0"/>
              <w:rPr>
                <w:sz w:val="20"/>
                <w:szCs w:val="20"/>
                <w:color w:val="auto"/>
              </w:rPr>
            </w:pPr>
            <w:r>
              <w:rPr>
                <w:rFonts w:ascii="Arial" w:cs="Arial" w:eastAsia="Arial" w:hAnsi="Arial"/>
                <w:sz w:val="19"/>
                <w:szCs w:val="19"/>
                <w:color w:val="auto"/>
              </w:rPr>
              <w:t>Net income (loss) attributable to Honeywell</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0.88</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1.02</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1.10</w:t>
            </w:r>
          </w:p>
        </w:tc>
        <w:tc>
          <w:tcPr>
            <w:tcW w:w="1260" w:type="dxa"/>
            <w:vAlign w:val="bottom"/>
            <w:gridSpan w:val="2"/>
          </w:tcPr>
          <w:p>
            <w:pPr>
              <w:jc w:val="right"/>
              <w:spacing w:after="0"/>
              <w:rPr>
                <w:sz w:val="20"/>
                <w:szCs w:val="20"/>
                <w:color w:val="auto"/>
              </w:rPr>
            </w:pPr>
            <w:r>
              <w:rPr>
                <w:rFonts w:ascii="Arial" w:cs="Arial" w:eastAsia="Arial" w:hAnsi="Arial"/>
                <w:sz w:val="19"/>
                <w:szCs w:val="19"/>
                <w:color w:val="auto"/>
              </w:rPr>
              <w:t>(0.40 )</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2.61</w:t>
            </w:r>
          </w:p>
        </w:tc>
      </w:tr>
      <w:tr>
        <w:trPr>
          <w:trHeight w:val="270"/>
        </w:trPr>
        <w:tc>
          <w:tcPr>
            <w:tcW w:w="55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Dividends paid per share</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0.3325</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0.3325</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0.3325</w:t>
            </w:r>
          </w:p>
        </w:tc>
        <w:tc>
          <w:tcPr>
            <w:tcW w:w="12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0.3725</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1.37</w:t>
            </w:r>
          </w:p>
        </w:tc>
      </w:tr>
      <w:tr>
        <w:trPr>
          <w:trHeight w:val="243"/>
        </w:trPr>
        <w:tc>
          <w:tcPr>
            <w:tcW w:w="5580" w:type="dxa"/>
            <w:vAlign w:val="bottom"/>
          </w:tcPr>
          <w:p>
            <w:pPr>
              <w:ind w:left="20"/>
              <w:spacing w:after="0"/>
              <w:rPr>
                <w:sz w:val="20"/>
                <w:szCs w:val="20"/>
                <w:color w:val="auto"/>
              </w:rPr>
            </w:pPr>
            <w:r>
              <w:rPr>
                <w:rFonts w:ascii="Arial" w:cs="Arial" w:eastAsia="Arial" w:hAnsi="Arial"/>
                <w:sz w:val="19"/>
                <w:szCs w:val="19"/>
                <w:color w:val="auto"/>
              </w:rPr>
              <w:t>Market Price per share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580" w:type="dxa"/>
            <w:vAlign w:val="bottom"/>
            <w:shd w:val="clear" w:color="auto" w:fill="E5FFFF"/>
          </w:tcPr>
          <w:p>
            <w:pPr>
              <w:ind w:left="380"/>
              <w:spacing w:after="0"/>
              <w:rPr>
                <w:sz w:val="20"/>
                <w:szCs w:val="20"/>
                <w:color w:val="auto"/>
              </w:rPr>
            </w:pPr>
            <w:r>
              <w:rPr>
                <w:rFonts w:ascii="Arial" w:cs="Arial" w:eastAsia="Arial" w:hAnsi="Arial"/>
                <w:sz w:val="19"/>
                <w:szCs w:val="19"/>
                <w:color w:val="auto"/>
              </w:rPr>
              <w:t>High</w:t>
            </w: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59.71</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62.00</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60.44</w:t>
            </w:r>
          </w:p>
        </w:tc>
        <w:tc>
          <w:tcPr>
            <w:tcW w:w="1260" w:type="dxa"/>
            <w:vAlign w:val="bottom"/>
            <w:gridSpan w:val="2"/>
            <w:shd w:val="clear" w:color="auto" w:fill="E5FFFF"/>
          </w:tcPr>
          <w:p>
            <w:pPr>
              <w:jc w:val="right"/>
              <w:ind w:right="48"/>
              <w:spacing w:after="0"/>
              <w:rPr>
                <w:sz w:val="20"/>
                <w:szCs w:val="20"/>
                <w:color w:val="auto"/>
              </w:rPr>
            </w:pPr>
            <w:r>
              <w:rPr>
                <w:rFonts w:ascii="Arial" w:cs="Arial" w:eastAsia="Arial" w:hAnsi="Arial"/>
                <w:sz w:val="19"/>
                <w:szCs w:val="19"/>
                <w:color w:val="auto"/>
              </w:rPr>
              <w:t>54.98</w:t>
            </w:r>
          </w:p>
        </w:tc>
        <w:tc>
          <w:tcPr>
            <w:tcW w:w="1220" w:type="dxa"/>
            <w:vAlign w:val="bottom"/>
            <w:gridSpan w:val="2"/>
            <w:shd w:val="clear" w:color="auto" w:fill="E5FFFF"/>
          </w:tcPr>
          <w:p>
            <w:pPr>
              <w:jc w:val="right"/>
              <w:ind w:right="8"/>
              <w:spacing w:after="0"/>
              <w:rPr>
                <w:sz w:val="20"/>
                <w:szCs w:val="20"/>
                <w:color w:val="auto"/>
              </w:rPr>
            </w:pPr>
            <w:r>
              <w:rPr>
                <w:rFonts w:ascii="Arial" w:cs="Arial" w:eastAsia="Arial" w:hAnsi="Arial"/>
                <w:sz w:val="19"/>
                <w:szCs w:val="19"/>
                <w:color w:val="auto"/>
              </w:rPr>
              <w:t>62.00</w:t>
            </w:r>
          </w:p>
        </w:tc>
      </w:tr>
      <w:tr>
        <w:trPr>
          <w:trHeight w:val="274"/>
        </w:trPr>
        <w:tc>
          <w:tcPr>
            <w:tcW w:w="5580" w:type="dxa"/>
            <w:vAlign w:val="bottom"/>
          </w:tcPr>
          <w:p>
            <w:pPr>
              <w:ind w:left="380"/>
              <w:spacing w:after="0"/>
              <w:rPr>
                <w:sz w:val="20"/>
                <w:szCs w:val="20"/>
                <w:color w:val="auto"/>
              </w:rPr>
            </w:pPr>
            <w:r>
              <w:rPr>
                <w:rFonts w:ascii="Arial" w:cs="Arial" w:eastAsia="Arial" w:hAnsi="Arial"/>
                <w:sz w:val="19"/>
                <w:szCs w:val="19"/>
                <w:color w:val="auto"/>
              </w:rPr>
              <w:t>Low</w:t>
            </w: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53.48</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55.53</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41.94</w:t>
            </w:r>
          </w:p>
        </w:tc>
        <w:tc>
          <w:tcPr>
            <w:tcW w:w="1260" w:type="dxa"/>
            <w:vAlign w:val="bottom"/>
            <w:gridSpan w:val="2"/>
          </w:tcPr>
          <w:p>
            <w:pPr>
              <w:jc w:val="right"/>
              <w:ind w:right="48"/>
              <w:spacing w:after="0"/>
              <w:rPr>
                <w:sz w:val="20"/>
                <w:szCs w:val="20"/>
                <w:color w:val="auto"/>
              </w:rPr>
            </w:pPr>
            <w:r>
              <w:rPr>
                <w:rFonts w:ascii="Arial" w:cs="Arial" w:eastAsia="Arial" w:hAnsi="Arial"/>
                <w:sz w:val="19"/>
                <w:szCs w:val="19"/>
                <w:color w:val="auto"/>
              </w:rPr>
              <w:t>42.32</w:t>
            </w:r>
          </w:p>
        </w:tc>
        <w:tc>
          <w:tcPr>
            <w:tcW w:w="1220" w:type="dxa"/>
            <w:vAlign w:val="bottom"/>
            <w:gridSpan w:val="2"/>
          </w:tcPr>
          <w:p>
            <w:pPr>
              <w:jc w:val="right"/>
              <w:ind w:right="8"/>
              <w:spacing w:after="0"/>
              <w:rPr>
                <w:sz w:val="20"/>
                <w:szCs w:val="20"/>
                <w:color w:val="auto"/>
              </w:rPr>
            </w:pPr>
            <w:r>
              <w:rPr>
                <w:rFonts w:ascii="Arial" w:cs="Arial" w:eastAsia="Arial" w:hAnsi="Arial"/>
                <w:sz w:val="19"/>
                <w:szCs w:val="19"/>
                <w:color w:val="auto"/>
              </w:rPr>
              <w:t>41.94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57023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68" w:lineRule="exact"/>
        <w:rPr>
          <w:sz w:val="20"/>
          <w:szCs w:val="20"/>
          <w:color w:val="auto"/>
        </w:rPr>
      </w:pPr>
    </w:p>
    <w:p>
      <w:pPr>
        <w:ind w:left="400" w:right="160" w:hanging="332"/>
        <w:spacing w:after="0" w:line="253" w:lineRule="auto"/>
        <w:tabs>
          <w:tab w:leader="none" w:pos="4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For the year ended December 31, 2011, Income from discontinued operations includes a $178 million, net of tax gain, resulting from the sale of the CPG business which funded a portion of the 2011 repositioning actions.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21" w:name="page122"/>
    <w:bookmarkEnd w:id="121"/>
    <w:p>
      <w:pPr>
        <w:ind w:left="24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w:t>
      </w:r>
      <w:r>
        <w:rPr>
          <w:rFonts w:ascii="Arial" w:cs="Arial" w:eastAsia="Arial" w:hAnsi="Arial"/>
          <w:sz w:val="14"/>
          <w:szCs w:val="14"/>
          <w:color w:val="auto"/>
        </w:rPr>
        <w:t>O THE</w:t>
      </w:r>
      <w:r>
        <w:rPr>
          <w:rFonts w:ascii="Arial" w:cs="Arial" w:eastAsia="Arial" w:hAnsi="Arial"/>
          <w:sz w:val="19"/>
          <w:szCs w:val="19"/>
          <w:color w:val="auto"/>
        </w:rPr>
        <w:t xml:space="preserve"> B</w:t>
      </w:r>
      <w:r>
        <w:rPr>
          <w:rFonts w:ascii="Arial" w:cs="Arial" w:eastAsia="Arial" w:hAnsi="Arial"/>
          <w:sz w:val="14"/>
          <w:szCs w:val="14"/>
          <w:color w:val="auto"/>
        </w:rPr>
        <w:t>OARD OF</w:t>
      </w:r>
      <w:r>
        <w:rPr>
          <w:rFonts w:ascii="Arial" w:cs="Arial" w:eastAsia="Arial" w:hAnsi="Arial"/>
          <w:sz w:val="19"/>
          <w:szCs w:val="19"/>
          <w:color w:val="auto"/>
        </w:rPr>
        <w:t xml:space="preserve"> D</w:t>
      </w:r>
      <w:r>
        <w:rPr>
          <w:rFonts w:ascii="Arial" w:cs="Arial" w:eastAsia="Arial" w:hAnsi="Arial"/>
          <w:sz w:val="14"/>
          <w:szCs w:val="14"/>
          <w:color w:val="auto"/>
        </w:rPr>
        <w:t>IRECTORS AND</w:t>
      </w:r>
      <w:r>
        <w:rPr>
          <w:rFonts w:ascii="Arial" w:cs="Arial" w:eastAsia="Arial" w:hAnsi="Arial"/>
          <w:sz w:val="19"/>
          <w:szCs w:val="19"/>
          <w:color w:val="auto"/>
        </w:rPr>
        <w:t xml:space="preserve"> S</w:t>
      </w:r>
      <w:r>
        <w:rPr>
          <w:rFonts w:ascii="Arial" w:cs="Arial" w:eastAsia="Arial" w:hAnsi="Arial"/>
          <w:sz w:val="14"/>
          <w:szCs w:val="14"/>
          <w:color w:val="auto"/>
        </w:rPr>
        <w:t>HAREHOLDERS OF</w:t>
      </w:r>
    </w:p>
    <w:p>
      <w:pPr>
        <w:spacing w:after="0"/>
        <w:rPr>
          <w:sz w:val="20"/>
          <w:szCs w:val="20"/>
          <w:color w:val="auto"/>
        </w:rPr>
      </w:pPr>
      <w:r>
        <w:rPr>
          <w:rFonts w:ascii="Arial" w:cs="Arial" w:eastAsia="Arial" w:hAnsi="Arial"/>
          <w:sz w:val="19"/>
          <w:szCs w:val="19"/>
          <w:color w:val="auto"/>
        </w:rPr>
        <w:t>H</w:t>
      </w:r>
      <w:r>
        <w:rPr>
          <w:rFonts w:ascii="Arial" w:cs="Arial" w:eastAsia="Arial" w:hAnsi="Arial"/>
          <w:sz w:val="14"/>
          <w:szCs w:val="14"/>
          <w:color w:val="auto"/>
        </w:rPr>
        <w:t>ONEYWELL</w:t>
      </w:r>
      <w:r>
        <w:rPr>
          <w:rFonts w:ascii="Arial" w:cs="Arial" w:eastAsia="Arial" w:hAnsi="Arial"/>
          <w:sz w:val="19"/>
          <w:szCs w:val="19"/>
          <w:color w:val="auto"/>
        </w:rPr>
        <w:t xml:space="preserve"> I</w:t>
      </w:r>
      <w:r>
        <w:rPr>
          <w:rFonts w:ascii="Arial" w:cs="Arial" w:eastAsia="Arial" w:hAnsi="Arial"/>
          <w:sz w:val="14"/>
          <w:szCs w:val="14"/>
          <w:color w:val="auto"/>
        </w:rPr>
        <w:t>NTERNATIONAL</w:t>
      </w:r>
      <w:r>
        <w:rPr>
          <w:rFonts w:ascii="Arial" w:cs="Arial" w:eastAsia="Arial" w:hAnsi="Arial"/>
          <w:sz w:val="19"/>
          <w:szCs w:val="19"/>
          <w:color w:val="auto"/>
        </w:rPr>
        <w:t xml:space="preserve"> I</w:t>
      </w:r>
      <w:r>
        <w:rPr>
          <w:rFonts w:ascii="Arial" w:cs="Arial" w:eastAsia="Arial" w:hAnsi="Arial"/>
          <w:sz w:val="14"/>
          <w:szCs w:val="14"/>
          <w:color w:val="auto"/>
        </w:rPr>
        <w:t>NC</w:t>
      </w:r>
      <w:r>
        <w:rPr>
          <w:rFonts w:ascii="Arial" w:cs="Arial" w:eastAsia="Arial" w:hAnsi="Arial"/>
          <w:sz w:val="19"/>
          <w:szCs w:val="19"/>
          <w:color w:val="auto"/>
        </w:rPr>
        <w:t>.:</w:t>
      </w:r>
    </w:p>
    <w:p>
      <w:pPr>
        <w:spacing w:after="0" w:line="106"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 xml:space="preserve">In our opinion, the consolidated financial statements listed in the index appearing under Item 15(a)(1) present fairly, in all material respects, the financial position of Honeywell International Inc. and its subsidiaries at December 31, 2012 and 2011, and the results of their operations and their cash flows for each of the three years in the period ended December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w:t>
      </w:r>
      <w:r>
        <w:rPr>
          <w:rFonts w:ascii="Arial" w:cs="Arial" w:eastAsia="Arial" w:hAnsi="Arial"/>
          <w:sz w:val="19"/>
          <w:szCs w:val="19"/>
          <w:i w:val="1"/>
          <w:iCs w:val="1"/>
          <w:color w:val="auto"/>
        </w:rPr>
        <w:t>Internal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w:t>
      </w:r>
      <w:r>
        <w:rPr>
          <w:rFonts w:ascii="Arial" w:cs="Arial" w:eastAsia="Arial" w:hAnsi="Arial"/>
          <w:sz w:val="19"/>
          <w:szCs w:val="19"/>
          <w:color w:val="auto"/>
        </w:rPr>
        <w:t>issued by the Committee of Sponsoring Organizations of the Treadway Commission (COSO).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is responsible for these financial statements and the financial statement schedule,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Florham Park, New Jersey</w:t>
      </w:r>
    </w:p>
    <w:p>
      <w:pPr>
        <w:spacing w:after="0"/>
        <w:rPr>
          <w:sz w:val="20"/>
          <w:szCs w:val="20"/>
          <w:color w:val="auto"/>
        </w:rPr>
      </w:pPr>
      <w:r>
        <w:rPr>
          <w:rFonts w:ascii="Arial" w:cs="Arial" w:eastAsia="Arial" w:hAnsi="Arial"/>
          <w:sz w:val="19"/>
          <w:szCs w:val="19"/>
          <w:color w:val="auto"/>
        </w:rPr>
        <w:t>February 15, 2013</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22" w:name="page123"/>
    <w:bookmarkEnd w:id="122"/>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14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management, including the Chief Executive Officer and Chief Financial Officer, conducted an evaluation of the effectiveness of our disclosure controls and procedures as of the end of the period covered by this Annual Report on Form 10-K. Based upon that evaluation, the Chief Executive Officer and the Chief Financial Officer concluded that such disclosure controls and procedures were effective as of the end of the period covered by this Annual Report on Form 10-K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2012.</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Management’s Report on Internal Control Over Financial Reporting</w:t>
      </w:r>
    </w:p>
    <w:p>
      <w:pPr>
        <w:spacing w:after="0" w:line="13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Honeywell management is responsible for establishing and maintaining adequate internal control over financial reporting as defined in Rules 13a-15(f) and 15d-15(f) under the Securities Exchange Act of 1934. Honeywell’s internal control over financial reporting is a process designed to provide reasonable assurance regarding the reliability of financial reporting and the preparation of financial statements for external purposes in accordance with generally accepted accounting principles. Honeywell’s internal control over financial reporting includes those policies and procedures that:</w:t>
      </w:r>
    </w:p>
    <w:p>
      <w:pPr>
        <w:spacing w:after="0" w:line="91" w:lineRule="exact"/>
        <w:rPr>
          <w:sz w:val="20"/>
          <w:szCs w:val="20"/>
          <w:color w:val="auto"/>
        </w:rPr>
      </w:pPr>
    </w:p>
    <w:p>
      <w:pPr>
        <w:ind w:left="360" w:right="860" w:firstLine="363"/>
        <w:spacing w:after="0" w:line="253" w:lineRule="auto"/>
        <w:tabs>
          <w:tab w:leader="none" w:pos="943" w:val="left"/>
        </w:tabs>
        <w:numPr>
          <w:ilvl w:val="0"/>
          <w:numId w:val="43"/>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Honeywell’s assets;</w:t>
      </w:r>
    </w:p>
    <w:p>
      <w:pPr>
        <w:spacing w:after="0" w:line="79" w:lineRule="exact"/>
        <w:rPr>
          <w:rFonts w:ascii="Arial" w:cs="Arial" w:eastAsia="Arial" w:hAnsi="Arial"/>
          <w:sz w:val="19"/>
          <w:szCs w:val="19"/>
          <w:color w:val="auto"/>
        </w:rPr>
      </w:pPr>
    </w:p>
    <w:p>
      <w:pPr>
        <w:ind w:left="360" w:right="20" w:firstLine="363"/>
        <w:spacing w:after="0" w:line="245" w:lineRule="auto"/>
        <w:tabs>
          <w:tab w:leader="none" w:pos="987" w:val="left"/>
        </w:tabs>
        <w:numPr>
          <w:ilvl w:val="0"/>
          <w:numId w:val="43"/>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Honeywell’s management and directors; and</w:t>
      </w:r>
    </w:p>
    <w:p>
      <w:pPr>
        <w:spacing w:after="0" w:line="87" w:lineRule="exact"/>
        <w:rPr>
          <w:rFonts w:ascii="Arial" w:cs="Arial" w:eastAsia="Arial" w:hAnsi="Arial"/>
          <w:sz w:val="19"/>
          <w:szCs w:val="19"/>
          <w:color w:val="auto"/>
        </w:rPr>
      </w:pPr>
    </w:p>
    <w:p>
      <w:pPr>
        <w:ind w:left="360" w:right="120" w:firstLine="363"/>
        <w:spacing w:after="0" w:line="253" w:lineRule="auto"/>
        <w:tabs>
          <w:tab w:leader="none" w:pos="103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Honeywell’s assets that could have a material effect on the financial statements.</w:t>
      </w:r>
    </w:p>
    <w:p>
      <w:pPr>
        <w:spacing w:after="0" w:line="80" w:lineRule="exact"/>
        <w:rPr>
          <w:sz w:val="20"/>
          <w:szCs w:val="20"/>
          <w:color w:val="auto"/>
        </w:rPr>
      </w:pPr>
    </w:p>
    <w:p>
      <w:pPr>
        <w:ind w:right="100"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jc w:val="both"/>
        <w:ind w:right="380" w:firstLine="357"/>
        <w:spacing w:after="0" w:line="245" w:lineRule="auto"/>
        <w:rPr>
          <w:sz w:val="20"/>
          <w:szCs w:val="20"/>
          <w:color w:val="auto"/>
        </w:rPr>
      </w:pPr>
      <w:r>
        <w:rPr>
          <w:rFonts w:ascii="Arial" w:cs="Arial" w:eastAsia="Arial" w:hAnsi="Arial"/>
          <w:sz w:val="19"/>
          <w:szCs w:val="19"/>
          <w:color w:val="auto"/>
        </w:rPr>
        <w:t xml:space="preserve">Management assessed the effectiveness of Honeywell’s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9"/>
          <w:szCs w:val="19"/>
          <w:i w:val="1"/>
          <w:iCs w:val="1"/>
          <w:color w:val="auto"/>
        </w:rPr>
        <w:t>Internal Control—Integrated Framework.</w:t>
      </w:r>
    </w:p>
    <w:p>
      <w:pPr>
        <w:spacing w:after="0" w:line="87"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Based on this assessment, management determined that Honeywell maintained effective internal control over financial reporting as of December 31, 2012.</w:t>
      </w:r>
    </w:p>
    <w:p>
      <w:pPr>
        <w:spacing w:after="0" w:line="8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The effectiveness of Honeywell’s internal control over financial reporting as of December 31, 2012 has been audited by PricewaterhouseCoopers LLP, an independent registered public accounting firm, as stated in their report which is included in “Item 8. Financial Statements and Supplementary Data.”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123" w:name="page124"/>
    <w:bookmarkEnd w:id="123"/>
    <w:p>
      <w:pPr>
        <w:spacing w:after="0"/>
        <w:rPr>
          <w:sz w:val="20"/>
          <w:szCs w:val="20"/>
          <w:color w:val="auto"/>
        </w:rPr>
      </w:pPr>
      <w:r>
        <w:rPr>
          <w:rFonts w:ascii="Arial" w:cs="Arial" w:eastAsia="Arial" w:hAnsi="Arial"/>
          <w:sz w:val="23"/>
          <w:szCs w:val="23"/>
          <w:b w:val="1"/>
          <w:bCs w:val="1"/>
          <w:color w:val="auto"/>
        </w:rPr>
        <w:t>Item 9B. Other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and Executive Officers of the Registrant</w:t>
      </w:r>
    </w:p>
    <w:p>
      <w:pPr>
        <w:spacing w:after="0" w:line="147"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2012, and such information is incorporated herein by reference. Certain other information relating to the Executive Officers of Honeywell appears in Part I of this Annual Report on Form 10-K under the heading “Executive Officers of the Registrant”.</w:t>
      </w:r>
    </w:p>
    <w:p>
      <w:pPr>
        <w:spacing w:after="0" w:line="91" w:lineRule="exact"/>
        <w:rPr>
          <w:sz w:val="20"/>
          <w:szCs w:val="20"/>
          <w:color w:val="auto"/>
        </w:rPr>
      </w:pPr>
    </w:p>
    <w:p>
      <w:pPr>
        <w:ind w:right="220" w:firstLine="357"/>
        <w:spacing w:after="0" w:line="241" w:lineRule="auto"/>
        <w:rPr>
          <w:sz w:val="20"/>
          <w:szCs w:val="20"/>
          <w:color w:val="auto"/>
        </w:rPr>
      </w:pPr>
      <w:r>
        <w:rPr>
          <w:rFonts w:ascii="Arial" w:cs="Arial" w:eastAsia="Arial" w:hAnsi="Arial"/>
          <w:sz w:val="19"/>
          <w:szCs w:val="19"/>
          <w:color w:val="auto"/>
        </w:rPr>
        <w:t>The members of the Audit Committee of our Board of Directors are: George Paz (Chair), Kevin Burke, D. Scott Davis, Linnet Deily, and Judd Gregg. The Board has determined that Mr. Paz is the “audit committee financial expert” as defined by applicable SEC rules and that Mr. Paz, Mr. Burke, Mr. Davis, and Ms. Deily satisfy the “accounting or related financial management expertise” criteria established by the NYSE. All members of the Audit Committee are “independent” as that term is defined in applicable SEC Rules and NYSE listing standards.</w:t>
      </w:r>
    </w:p>
    <w:p>
      <w:pPr>
        <w:spacing w:after="0" w:line="78" w:lineRule="exact"/>
        <w:rPr>
          <w:sz w:val="20"/>
          <w:szCs w:val="20"/>
          <w:color w:val="auto"/>
        </w:rPr>
      </w:pPr>
    </w:p>
    <w:p>
      <w:pPr>
        <w:ind w:right="200" w:firstLine="357"/>
        <w:spacing w:after="0"/>
        <w:rPr>
          <w:sz w:val="20"/>
          <w:szCs w:val="20"/>
          <w:color w:val="auto"/>
        </w:rPr>
      </w:pPr>
      <w:r>
        <w:rPr>
          <w:rFonts w:ascii="Arial" w:cs="Arial" w:eastAsia="Arial" w:hAnsi="Arial"/>
          <w:sz w:val="19"/>
          <w:szCs w:val="19"/>
          <w:color w:val="auto"/>
        </w:rPr>
        <w:t>Honeywell’s Code of Business Conduct is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147"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ind w:left="940" w:right="460" w:hanging="933"/>
        <w:spacing w:after="0" w:line="280"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64" w:lineRule="exact"/>
        <w:rPr>
          <w:sz w:val="20"/>
          <w:szCs w:val="20"/>
          <w:color w:val="auto"/>
        </w:rPr>
      </w:pPr>
    </w:p>
    <w:p>
      <w:pPr>
        <w:ind w:right="580" w:firstLine="357"/>
        <w:spacing w:after="0" w:line="245" w:lineRule="auto"/>
        <w:rPr>
          <w:sz w:val="20"/>
          <w:szCs w:val="20"/>
          <w:color w:val="auto"/>
        </w:rPr>
      </w:pPr>
      <w:r>
        <w:rPr>
          <w:rFonts w:ascii="Arial" w:cs="Arial" w:eastAsia="Arial" w:hAnsi="Arial"/>
          <w:sz w:val="19"/>
          <w:szCs w:val="19"/>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2012 information about our equity compensation plans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Remaining</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Available for</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Shares to be</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Weighted-</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Future Issuance</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Issued Upon</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Under Equity</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of</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Price</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Compensation</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Outstanding</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of Outstanding</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Plans (Excluding</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Options,</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Options,</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Warrants and</w:t>
            </w:r>
          </w:p>
        </w:tc>
        <w:tc>
          <w:tcPr>
            <w:tcW w:w="3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Warrants and</w:t>
            </w:r>
          </w:p>
        </w:tc>
        <w:tc>
          <w:tcPr>
            <w:tcW w:w="3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Reflected in</w:t>
            </w:r>
          </w:p>
        </w:tc>
        <w:tc>
          <w:tcPr>
            <w:tcW w:w="0" w:type="dxa"/>
            <w:vAlign w:val="bottom"/>
          </w:tcPr>
          <w:p>
            <w:pPr>
              <w:spacing w:after="0"/>
              <w:rPr>
                <w:sz w:val="1"/>
                <w:szCs w:val="1"/>
                <w:color w:val="auto"/>
              </w:rPr>
            </w:pPr>
          </w:p>
        </w:tc>
      </w:tr>
      <w:tr>
        <w:trPr>
          <w:trHeight w:val="20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category</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3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3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Column (a))</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3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70"/>
        </w:trPr>
        <w:tc>
          <w:tcPr>
            <w:tcW w:w="5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 holders</w:t>
            </w:r>
          </w:p>
        </w:tc>
        <w:tc>
          <w:tcPr>
            <w:tcW w:w="2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45,349,354 (1)</w:t>
            </w:r>
          </w:p>
        </w:tc>
        <w:tc>
          <w:tcPr>
            <w:tcW w:w="1680" w:type="dxa"/>
            <w:vAlign w:val="bottom"/>
            <w:gridSpan w:val="2"/>
            <w:shd w:val="clear" w:color="auto" w:fill="E5FFFF"/>
          </w:tcPr>
          <w:p>
            <w:pPr>
              <w:jc w:val="right"/>
              <w:ind w:right="99"/>
              <w:spacing w:after="0"/>
              <w:rPr>
                <w:sz w:val="20"/>
                <w:szCs w:val="20"/>
                <w:color w:val="auto"/>
              </w:rPr>
            </w:pPr>
            <w:r>
              <w:rPr>
                <w:rFonts w:ascii="Arial" w:cs="Arial" w:eastAsia="Arial" w:hAnsi="Arial"/>
                <w:sz w:val="19"/>
                <w:szCs w:val="19"/>
                <w:color w:val="auto"/>
              </w:rPr>
              <w:t>$   47.13 (2)</w:t>
            </w:r>
          </w:p>
        </w:tc>
        <w:tc>
          <w:tcPr>
            <w:tcW w:w="1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35,209,070 (3)</w:t>
            </w:r>
          </w:p>
        </w:tc>
        <w:tc>
          <w:tcPr>
            <w:tcW w:w="0" w:type="dxa"/>
            <w:vAlign w:val="bottom"/>
          </w:tcPr>
          <w:p>
            <w:pPr>
              <w:spacing w:after="0"/>
              <w:rPr>
                <w:sz w:val="1"/>
                <w:szCs w:val="1"/>
                <w:color w:val="auto"/>
              </w:rPr>
            </w:pPr>
          </w:p>
        </w:tc>
      </w:tr>
      <w:tr>
        <w:trPr>
          <w:trHeight w:val="270"/>
        </w:trPr>
        <w:tc>
          <w:tcPr>
            <w:tcW w:w="5380" w:type="dxa"/>
            <w:vAlign w:val="bottom"/>
          </w:tcPr>
          <w:p>
            <w:pPr>
              <w:ind w:left="20"/>
              <w:spacing w:after="0"/>
              <w:rPr>
                <w:sz w:val="20"/>
                <w:szCs w:val="20"/>
                <w:color w:val="auto"/>
              </w:rPr>
            </w:pPr>
            <w:r>
              <w:rPr>
                <w:rFonts w:ascii="Arial" w:cs="Arial" w:eastAsia="Arial" w:hAnsi="Arial"/>
                <w:sz w:val="19"/>
                <w:szCs w:val="19"/>
                <w:color w:val="auto"/>
              </w:rPr>
              <w:t>Equity compensation plans not approved by security holders</w:t>
            </w:r>
          </w:p>
        </w:tc>
        <w:tc>
          <w:tcPr>
            <w:tcW w:w="2460" w:type="dxa"/>
            <w:vAlign w:val="bottom"/>
            <w:gridSpan w:val="3"/>
          </w:tcPr>
          <w:p>
            <w:pPr>
              <w:jc w:val="right"/>
              <w:spacing w:after="0"/>
              <w:rPr>
                <w:sz w:val="20"/>
                <w:szCs w:val="20"/>
                <w:color w:val="auto"/>
              </w:rPr>
            </w:pPr>
            <w:r>
              <w:rPr>
                <w:rFonts w:ascii="Arial" w:cs="Arial" w:eastAsia="Arial" w:hAnsi="Arial"/>
                <w:sz w:val="19"/>
                <w:szCs w:val="19"/>
                <w:color w:val="auto"/>
              </w:rPr>
              <w:t>594,679(4)</w:t>
            </w:r>
          </w:p>
        </w:tc>
        <w:tc>
          <w:tcPr>
            <w:tcW w:w="300" w:type="dxa"/>
            <w:vAlign w:val="bottom"/>
          </w:tcPr>
          <w:p>
            <w:pPr>
              <w:spacing w:after="0"/>
              <w:rPr>
                <w:sz w:val="23"/>
                <w:szCs w:val="23"/>
                <w:color w:val="auto"/>
              </w:rPr>
            </w:pPr>
          </w:p>
        </w:tc>
        <w:tc>
          <w:tcPr>
            <w:tcW w:w="1380" w:type="dxa"/>
            <w:vAlign w:val="bottom"/>
          </w:tcPr>
          <w:p>
            <w:pPr>
              <w:jc w:val="right"/>
              <w:ind w:right="99"/>
              <w:spacing w:after="0"/>
              <w:rPr>
                <w:sz w:val="20"/>
                <w:szCs w:val="20"/>
                <w:color w:val="auto"/>
              </w:rPr>
            </w:pPr>
            <w:r>
              <w:rPr>
                <w:rFonts w:ascii="Arial" w:cs="Arial" w:eastAsia="Arial" w:hAnsi="Arial"/>
                <w:sz w:val="19"/>
                <w:szCs w:val="19"/>
                <w:color w:val="auto"/>
              </w:rPr>
              <w:t>N/A(5)</w:t>
            </w:r>
          </w:p>
        </w:tc>
        <w:tc>
          <w:tcPr>
            <w:tcW w:w="3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N/A(6)</w:t>
            </w:r>
          </w:p>
        </w:tc>
        <w:tc>
          <w:tcPr>
            <w:tcW w:w="0" w:type="dxa"/>
            <w:vAlign w:val="bottom"/>
          </w:tcPr>
          <w:p>
            <w:pPr>
              <w:spacing w:after="0"/>
              <w:rPr>
                <w:sz w:val="1"/>
                <w:szCs w:val="1"/>
                <w:color w:val="auto"/>
              </w:rPr>
            </w:pPr>
          </w:p>
        </w:tc>
      </w:tr>
      <w:tr>
        <w:trPr>
          <w:trHeight w:val="34"/>
        </w:trPr>
        <w:tc>
          <w:tcPr>
            <w:tcW w:w="5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460" w:type="dxa"/>
            <w:vAlign w:val="bottom"/>
            <w:gridSpan w:val="3"/>
            <w:shd w:val="clear" w:color="auto" w:fill="E5FFFF"/>
          </w:tcPr>
          <w:p>
            <w:pPr>
              <w:jc w:val="right"/>
              <w:ind w:right="241"/>
              <w:spacing w:after="0"/>
              <w:rPr>
                <w:sz w:val="20"/>
                <w:szCs w:val="20"/>
                <w:color w:val="auto"/>
              </w:rPr>
            </w:pPr>
            <w:r>
              <w:rPr>
                <w:rFonts w:ascii="Arial" w:cs="Arial" w:eastAsia="Arial" w:hAnsi="Arial"/>
                <w:sz w:val="19"/>
                <w:szCs w:val="19"/>
                <w:color w:val="auto"/>
              </w:rPr>
              <w:t>45,944,033</w:t>
            </w:r>
          </w:p>
        </w:tc>
        <w:tc>
          <w:tcPr>
            <w:tcW w:w="1680" w:type="dxa"/>
            <w:vAlign w:val="bottom"/>
            <w:gridSpan w:val="2"/>
            <w:shd w:val="clear" w:color="auto" w:fill="E5FFFF"/>
          </w:tcPr>
          <w:p>
            <w:pPr>
              <w:jc w:val="right"/>
              <w:ind w:right="359"/>
              <w:spacing w:after="0"/>
              <w:rPr>
                <w:sz w:val="20"/>
                <w:szCs w:val="20"/>
                <w:color w:val="auto"/>
              </w:rPr>
            </w:pPr>
            <w:r>
              <w:rPr>
                <w:rFonts w:ascii="Arial" w:cs="Arial" w:eastAsia="Arial" w:hAnsi="Arial"/>
                <w:sz w:val="19"/>
                <w:szCs w:val="19"/>
                <w:color w:val="auto"/>
              </w:rPr>
              <w:t>47.13</w:t>
            </w:r>
          </w:p>
        </w:tc>
        <w:tc>
          <w:tcPr>
            <w:tcW w:w="1900" w:type="dxa"/>
            <w:vAlign w:val="bottom"/>
            <w:gridSpan w:val="2"/>
            <w:shd w:val="clear" w:color="auto" w:fill="E5FFFF"/>
          </w:tcPr>
          <w:p>
            <w:pPr>
              <w:jc w:val="right"/>
              <w:ind w:right="280"/>
              <w:spacing w:after="0"/>
              <w:rPr>
                <w:sz w:val="20"/>
                <w:szCs w:val="20"/>
                <w:color w:val="auto"/>
              </w:rPr>
            </w:pPr>
            <w:r>
              <w:rPr>
                <w:rFonts w:ascii="Arial" w:cs="Arial" w:eastAsia="Arial" w:hAnsi="Arial"/>
                <w:sz w:val="19"/>
                <w:szCs w:val="19"/>
                <w:color w:val="auto"/>
              </w:rPr>
              <w:t>35,209,070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9"/>
                <w:szCs w:val="19"/>
                <w:color w:val="auto"/>
              </w:rPr>
              <w:t>120</w:t>
            </w: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24" w:name="page125"/>
    <w:bookmarkEnd w:id="124"/>
    <w:p>
      <w:pPr>
        <w:ind w:left="340" w:hanging="332"/>
        <w:spacing w:after="0"/>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Equity compensation plans approved by shareowners that are included in column (a) of the table are the 2011 Stock Incentive Plan of Honeywell International Inc. and its Affiliates (the “2011 Stock Incentive Plan”), the 2006 Stock Incentive Plan of Honeywell International Inc. and its Affiliates (the “2006 Stock Incentive Plan”), the 2003 Stock Incentive Plan of Honeywell International Inc. and its Affiliates (the “2003 Stock Incentive Plan”) and the 1993 Stock Plan for Employees of Honeywell International Inc. and its Affiliates (the “1993 Stock Plan”) (35,204,087 shares of Common Stock to be issued for options with a weighted average term of 6.28 years; 26,000 shares to be issued for stock appreciation rights (“SARs”); 8,081,006 RSUs subject to continued employment; ; and 1,688,194 deferred RSUs of earned and vested awards where delivery of shares has been deferred); and the 2006 Stock Plan for Non-Employee Directors of Honeywell International Inc. (the “2006 Non-Employee Director Plan”) and the 1994 Stock Plan for Non-Employee Directors of Honeywell International Inc. (the “1994 Non-Employee Director Plan”) (335,334 shares of Common Stock to be issued for options; and 14,733 RSUs subject to continued services). RSUs included in column (a) of the table represent the full number of RSUs awarded and outstanding whereas the number of shares of Common Stock to be issued upon vesting will be lower than what is reflected on the table due to the net share settlement process used by the Company (whereas the value of shares required to meet employee statutory minimum tax withholding requirements are not issued).</w:t>
      </w:r>
    </w:p>
    <w:p>
      <w:pPr>
        <w:spacing w:after="0" w:line="306" w:lineRule="exact"/>
        <w:rPr>
          <w:rFonts w:ascii="Arial" w:cs="Arial" w:eastAsia="Arial" w:hAnsi="Arial"/>
          <w:sz w:val="19"/>
          <w:szCs w:val="19"/>
          <w:color w:val="auto"/>
        </w:rPr>
      </w:pPr>
    </w:p>
    <w:p>
      <w:pPr>
        <w:ind w:left="340" w:right="120"/>
        <w:spacing w:after="0"/>
        <w:rPr>
          <w:rFonts w:ascii="Arial" w:cs="Arial" w:eastAsia="Arial" w:hAnsi="Arial"/>
          <w:sz w:val="19"/>
          <w:szCs w:val="19"/>
          <w:color w:val="auto"/>
        </w:rPr>
      </w:pPr>
      <w:r>
        <w:rPr>
          <w:rFonts w:ascii="Arial" w:cs="Arial" w:eastAsia="Arial" w:hAnsi="Arial"/>
          <w:sz w:val="19"/>
          <w:szCs w:val="19"/>
          <w:color w:val="auto"/>
        </w:rPr>
        <w:t>1,092,801 growth plan units were issued for the performance cycle commencing on January 1, 2010 and ending December 31, 2011 pursuant to the 2006 Stock Incentive Plan. The second and final payment related to these growth plan units will be paid in March 2013. 1,535,800 growth plan units were issued for the performance cycle commencing January 1, 2012 and ending December 31, 2013 pursuant to the 2011 Stock Incentive Plan. 50% of the payment related to these growth plan units, if any, will be paid in March 2014 and the remaining 50% will be paid in March 2015, subject to active employment on the payment dates.</w:t>
      </w:r>
    </w:p>
    <w:p>
      <w:pPr>
        <w:spacing w:after="0" w:line="325" w:lineRule="exact"/>
        <w:rPr>
          <w:rFonts w:ascii="Arial" w:cs="Arial" w:eastAsia="Arial" w:hAnsi="Arial"/>
          <w:sz w:val="19"/>
          <w:szCs w:val="19"/>
          <w:color w:val="auto"/>
        </w:rPr>
      </w:pPr>
    </w:p>
    <w:p>
      <w:pPr>
        <w:ind w:left="340" w:right="220"/>
        <w:spacing w:after="0" w:line="245" w:lineRule="auto"/>
        <w:rPr>
          <w:rFonts w:ascii="Arial" w:cs="Arial" w:eastAsia="Arial" w:hAnsi="Arial"/>
          <w:sz w:val="19"/>
          <w:szCs w:val="19"/>
          <w:color w:val="auto"/>
        </w:rPr>
      </w:pPr>
      <w:r>
        <w:rPr>
          <w:rFonts w:ascii="Arial" w:cs="Arial" w:eastAsia="Arial" w:hAnsi="Arial"/>
          <w:sz w:val="19"/>
          <w:szCs w:val="19"/>
          <w:color w:val="auto"/>
        </w:rPr>
        <w:t>The ultimate value of any growth plan award may be paid in cash or shares of Common Stock and, thus, growth plan units are not included in the table above. The ultimate value of growth plan units depends upon the achievement of pre-established performance goals during the two-year performance cycle.</w:t>
      </w:r>
    </w:p>
    <w:p>
      <w:pPr>
        <w:spacing w:after="0" w:line="100" w:lineRule="exact"/>
        <w:rPr>
          <w:rFonts w:ascii="Arial" w:cs="Arial" w:eastAsia="Arial" w:hAnsi="Arial"/>
          <w:sz w:val="19"/>
          <w:szCs w:val="19"/>
          <w:color w:val="auto"/>
        </w:rPr>
      </w:pPr>
    </w:p>
    <w:p>
      <w:pPr>
        <w:ind w:left="340" w:right="240"/>
        <w:spacing w:after="0" w:line="253" w:lineRule="auto"/>
        <w:rPr>
          <w:rFonts w:ascii="Arial" w:cs="Arial" w:eastAsia="Arial" w:hAnsi="Arial"/>
          <w:sz w:val="19"/>
          <w:szCs w:val="19"/>
          <w:color w:val="auto"/>
        </w:rPr>
      </w:pPr>
      <w:r>
        <w:rPr>
          <w:rFonts w:ascii="Arial" w:cs="Arial" w:eastAsia="Arial" w:hAnsi="Arial"/>
          <w:sz w:val="19"/>
          <w:szCs w:val="19"/>
          <w:color w:val="auto"/>
        </w:rPr>
        <w:t>Because the number of future shares that may be distributed to employees participating in the Honeywell Global Stock Plan is unknown, no shares attributable to that plan are included in column (a) of the table above.</w:t>
      </w:r>
    </w:p>
    <w:p>
      <w:pPr>
        <w:spacing w:after="0" w:line="93" w:lineRule="exact"/>
        <w:rPr>
          <w:rFonts w:ascii="Arial" w:cs="Arial" w:eastAsia="Arial" w:hAnsi="Arial"/>
          <w:sz w:val="19"/>
          <w:szCs w:val="19"/>
          <w:color w:val="auto"/>
        </w:rPr>
      </w:pPr>
    </w:p>
    <w:p>
      <w:pPr>
        <w:ind w:left="340" w:right="60" w:hanging="332"/>
        <w:spacing w:after="0" w:line="241" w:lineRule="auto"/>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Column (b) relates to stock options and does not include any exercise price for RSUs or growth plan units granted to employees or non-employee directors under equity compensation plans approved by shareowners. RSUs do not have an exercise price because their value is dependent upon attainment of certain performance goals or continued employment or service and they are settled for shares of Common Stock on a one-for-one basis. Growth plan units are denominated in cash units and the ultimate value of the award is dependent upon attainment of certain performance goals.</w:t>
      </w:r>
    </w:p>
    <w:p>
      <w:pPr>
        <w:spacing w:after="0" w:line="104" w:lineRule="exact"/>
        <w:rPr>
          <w:rFonts w:ascii="Arial" w:cs="Arial" w:eastAsia="Arial" w:hAnsi="Arial"/>
          <w:sz w:val="19"/>
          <w:szCs w:val="19"/>
          <w:color w:val="auto"/>
        </w:rPr>
      </w:pPr>
    </w:p>
    <w:p>
      <w:pPr>
        <w:ind w:left="340" w:right="40" w:hanging="332"/>
        <w:spacing w:after="0" w:line="239" w:lineRule="auto"/>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number of shares that may be issued under the 2011 Stock Incentive Plan as of December 31, 2012 is 32,796,373 which includes the following additional shares under the 2011 Stock Incentive Plan (or any Prior Plan as defined in the 2011 Stock Incentive Plan) that may again be available for issuance: shares that are settled for cash, expire, are canceled, are tendered in satisfaction of an option exercise price or tax withholding obligations, are reacquired with cash tendered in satisfaction of an option exercise price or with monies attributable to any tax deduction enjoyed by Honeywell to the exercise of an option, and are under any outstanding awards assumed under any equity compensation plan of an entity acquired by Honeywell. No securities are available for future issuance under the 2006 Stock Incentive Plan, the 2003 Stock Incentive Plan, the 1993 Stock Plan, or the 1994 Non-Employee Director Plan.</w:t>
      </w:r>
    </w:p>
    <w:p>
      <w:pPr>
        <w:spacing w:after="0" w:line="109" w:lineRule="exact"/>
        <w:rPr>
          <w:rFonts w:ascii="Arial" w:cs="Arial" w:eastAsia="Arial" w:hAnsi="Arial"/>
          <w:sz w:val="19"/>
          <w:szCs w:val="19"/>
          <w:color w:val="auto"/>
        </w:rPr>
      </w:pPr>
    </w:p>
    <w:p>
      <w:pPr>
        <w:ind w:left="340" w:right="160"/>
        <w:spacing w:after="0" w:line="242" w:lineRule="auto"/>
        <w:rPr>
          <w:rFonts w:ascii="Arial" w:cs="Arial" w:eastAsia="Arial" w:hAnsi="Arial"/>
          <w:sz w:val="19"/>
          <w:szCs w:val="19"/>
          <w:color w:val="auto"/>
        </w:rPr>
      </w:pPr>
      <w:r>
        <w:rPr>
          <w:rFonts w:ascii="Arial" w:cs="Arial" w:eastAsia="Arial" w:hAnsi="Arial"/>
          <w:sz w:val="19"/>
          <w:szCs w:val="19"/>
          <w:color w:val="auto"/>
        </w:rPr>
        <w:t>The number of shares that may be issued under the Honeywell Global Stock Plan as of December 31, 2012 is 2,225,764. This plan is an umbrella plan for four plans maintained solely for eligible employees of participating non-U.S. countries. More than 50% of the shares distributed under the Honeywell Global Stock Plan have been distributed to participants in one sub-plan, the Global Employee Stock Purchase Plan. As of February 1, 2013, the Global Employee Stock Purchase</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518" w:right="239" w:bottom="1440" w:gutter="0" w:footer="0" w:header="0"/>
        </w:sectPr>
      </w:pPr>
    </w:p>
    <w:bookmarkStart w:id="125" w:name="page126"/>
    <w:bookmarkEnd w:id="125"/>
    <w:p>
      <w:pPr>
        <w:ind w:left="340"/>
        <w:spacing w:after="0" w:line="245" w:lineRule="auto"/>
        <w:rPr>
          <w:sz w:val="20"/>
          <w:szCs w:val="20"/>
          <w:color w:val="auto"/>
        </w:rPr>
      </w:pPr>
      <w:r>
        <w:rPr>
          <w:rFonts w:ascii="Arial" w:cs="Arial" w:eastAsia="Arial" w:hAnsi="Arial"/>
          <w:sz w:val="19"/>
          <w:szCs w:val="19"/>
          <w:color w:val="auto"/>
        </w:rPr>
        <w:t>Plan was terminated and all shares remaining in the plan on that date were transferred to direct registration accounts maintained by the Corporation’s stock transfer agent. 20,692 Company matching shares awarded to participants in 2009 vested in November 2012, and an additional 17,506 shares were credited to participants’ accounts as a result of dividend reinvestment.</w:t>
      </w:r>
    </w:p>
    <w:p>
      <w:pPr>
        <w:spacing w:after="0" w:line="101" w:lineRule="exact"/>
        <w:rPr>
          <w:sz w:val="20"/>
          <w:szCs w:val="20"/>
          <w:color w:val="auto"/>
        </w:rPr>
      </w:pPr>
    </w:p>
    <w:p>
      <w:pPr>
        <w:ind w:left="340" w:right="60"/>
        <w:spacing w:after="0"/>
        <w:rPr>
          <w:sz w:val="20"/>
          <w:szCs w:val="20"/>
          <w:color w:val="auto"/>
        </w:rPr>
      </w:pPr>
      <w:r>
        <w:rPr>
          <w:rFonts w:ascii="Arial" w:cs="Arial" w:eastAsia="Arial" w:hAnsi="Arial"/>
          <w:sz w:val="19"/>
          <w:szCs w:val="19"/>
          <w:color w:val="auto"/>
        </w:rPr>
        <w:t>Another sub-plan of the Honeywell Global Stock Plan, the UK Sharebuilder Plan, allows an eligible UK employee to contribute a specified percentage of their taxable earnings that is then invested in shares. The Company matches those shares and dividends paid are used to purchase additional shares of Common Stock. The match share percentage for 2012 was 62.50%. Matched shares are subject to a three-year vesting schedule. Shares taken out of the plan before five years lose their tax-favored status. For the year ending December 31, 2012, 100,678 shares were credited to participants’ accounts under the UK Sharebuilder Plan.</w:t>
      </w:r>
    </w:p>
    <w:p>
      <w:pPr>
        <w:spacing w:after="0" w:line="32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remaining two sub-plans of the Honeywell Global Stock Plan, the Honeywell International Technologies Employees Share Ownership Plan (Ireland) and the Honeywell Measurex (Ireland) Limited Group Employee Profit Sharing Scheme, allow eligible employees in Ireland to contribute specified percentages of base pay, bonus or performance pay that are then invested in Common Stock. Shares must be held in trust for at least two years and lose their tax-favored status if they are taken out of the plan before three years. For the year ending December 31, 2012, 19,712 shares of Common Stock were credited to participants’ accounts under these two plans.</w:t>
      </w:r>
    </w:p>
    <w:p>
      <w:pPr>
        <w:spacing w:after="0" w:line="107" w:lineRule="exact"/>
        <w:rPr>
          <w:sz w:val="20"/>
          <w:szCs w:val="20"/>
          <w:color w:val="auto"/>
        </w:rPr>
      </w:pPr>
    </w:p>
    <w:p>
      <w:pPr>
        <w:ind w:left="340" w:right="440"/>
        <w:spacing w:after="0" w:line="253" w:lineRule="auto"/>
        <w:rPr>
          <w:sz w:val="20"/>
          <w:szCs w:val="20"/>
          <w:color w:val="auto"/>
        </w:rPr>
      </w:pPr>
      <w:r>
        <w:rPr>
          <w:rFonts w:ascii="Arial" w:cs="Arial" w:eastAsia="Arial" w:hAnsi="Arial"/>
          <w:sz w:val="19"/>
          <w:szCs w:val="19"/>
          <w:color w:val="auto"/>
        </w:rPr>
        <w:t>The remaining 186,933 shares included in column (c) are shares remaining for future grants under the 2006 Non-Employee Director Plan.</w:t>
      </w:r>
    </w:p>
    <w:p>
      <w:pPr>
        <w:spacing w:after="0" w:line="93" w:lineRule="exact"/>
        <w:rPr>
          <w:sz w:val="20"/>
          <w:szCs w:val="20"/>
          <w:color w:val="auto"/>
        </w:rPr>
      </w:pPr>
    </w:p>
    <w:p>
      <w:pPr>
        <w:jc w:val="both"/>
        <w:ind w:left="340" w:right="440" w:hanging="332"/>
        <w:spacing w:after="0" w:line="245" w:lineRule="auto"/>
        <w:tabs>
          <w:tab w:leader="none" w:pos="3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Equity compensation plans not approved by shareowners that are included in the table are the Supplemental Non-Qualified Savings Plan for Highly Compensated Employees of Honeywell International Inc. and its Subsidiaries, and the AlliedSignal Incentive Compensation Plan for Executive Employees of AlliedSignal Inc. and its Subsidiaries.</w:t>
      </w:r>
    </w:p>
    <w:p>
      <w:pPr>
        <w:spacing w:after="0" w:line="100" w:lineRule="exact"/>
        <w:rPr>
          <w:rFonts w:ascii="Arial" w:cs="Arial" w:eastAsia="Arial" w:hAnsi="Arial"/>
          <w:sz w:val="19"/>
          <w:szCs w:val="19"/>
          <w:color w:val="auto"/>
        </w:rPr>
      </w:pPr>
    </w:p>
    <w:p>
      <w:pPr>
        <w:ind w:left="340" w:right="140"/>
        <w:spacing w:after="0"/>
        <w:rPr>
          <w:rFonts w:ascii="Arial" w:cs="Arial" w:eastAsia="Arial" w:hAnsi="Arial"/>
          <w:sz w:val="19"/>
          <w:szCs w:val="19"/>
          <w:color w:val="auto"/>
        </w:rPr>
      </w:pPr>
      <w:r>
        <w:rPr>
          <w:rFonts w:ascii="Arial" w:cs="Arial" w:eastAsia="Arial" w:hAnsi="Arial"/>
          <w:sz w:val="19"/>
          <w:szCs w:val="19"/>
          <w:color w:val="auto"/>
        </w:rPr>
        <w:t>The Supplemental Non-Qualified Savings Plan for Highly Compensated Employees of Honeywell International Inc. and its Subsidiaries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when payments are made to participants under the plan. The number of shares to be issued under this plan based on the value of the notional shares as of December 31, 2012 is 565,113.</w:t>
      </w:r>
    </w:p>
    <w:p>
      <w:pPr>
        <w:spacing w:after="0" w:line="104"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The AlliedSignal Incentive Compensation Plan for Executive Employees of AlliedSignal Inc. and its Subsidiaries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when payments are made to participants under the plan. No further deferrals can be made under this plan. The number of shares of Common Stock that remain to be issued under this expired plan as of December 31, 2012 is 29,566.</w:t>
      </w:r>
    </w:p>
    <w:p>
      <w:pPr>
        <w:spacing w:after="0" w:line="107" w:lineRule="exact"/>
        <w:rPr>
          <w:rFonts w:ascii="Arial" w:cs="Arial" w:eastAsia="Arial" w:hAnsi="Arial"/>
          <w:sz w:val="19"/>
          <w:szCs w:val="19"/>
          <w:color w:val="auto"/>
        </w:rPr>
      </w:pPr>
    </w:p>
    <w:p>
      <w:pPr>
        <w:ind w:left="340" w:right="20"/>
        <w:spacing w:after="0" w:line="242" w:lineRule="auto"/>
        <w:rPr>
          <w:rFonts w:ascii="Arial" w:cs="Arial" w:eastAsia="Arial" w:hAnsi="Arial"/>
          <w:sz w:val="19"/>
          <w:szCs w:val="19"/>
          <w:color w:val="auto"/>
        </w:rPr>
      </w:pPr>
      <w:r>
        <w:rPr>
          <w:rFonts w:ascii="Arial" w:cs="Arial" w:eastAsia="Arial" w:hAnsi="Arial"/>
          <w:sz w:val="19"/>
          <w:szCs w:val="19"/>
          <w:color w:val="auto"/>
        </w:rPr>
        <w:t>The Deferred Compensation Plan for Non-Employee Directors of Honeywell International Inc. provides for mandatory and elective deferral of certain payments to non-employee directors. Mandatory deferrals are invested in notional shares of Common Stock. Directors may also invest any elective deferrals in notional shares of Common Stock. Because the notional shares are distributed in the form of cash when payments are made to directors under the plan, they are not included in the table above.</w:t>
      </w:r>
    </w:p>
    <w:p>
      <w:pPr>
        <w:spacing w:after="0" w:line="104" w:lineRule="exact"/>
        <w:rPr>
          <w:rFonts w:ascii="Arial" w:cs="Arial" w:eastAsia="Arial" w:hAnsi="Arial"/>
          <w:sz w:val="19"/>
          <w:szCs w:val="19"/>
          <w:color w:val="auto"/>
        </w:rPr>
      </w:pPr>
    </w:p>
    <w:p>
      <w:pPr>
        <w:ind w:left="340" w:right="160" w:hanging="332"/>
        <w:spacing w:after="0" w:line="241" w:lineRule="auto"/>
        <w:tabs>
          <w:tab w:leader="none" w:pos="3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Column (b) does not include any exercise price for notional shares allocated to employees under Honeywell’s equity compensation plans not approved by shareowners because all of these shares are notionally allocated as a matching contribution under the non-tax qualified savings plans or as a notional investment of deferred bonuses or fees under the cash incentive compensation and directors’ plans as described in note 4 and are only settled for shares of Common Stock on a one-for-one basis.</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300" w:top="356" w:right="259" w:bottom="1440" w:gutter="0" w:footer="0" w:header="0"/>
        </w:sectPr>
      </w:pPr>
    </w:p>
    <w:bookmarkStart w:id="126" w:name="page127"/>
    <w:bookmarkEnd w:id="126"/>
    <w:p>
      <w:pPr>
        <w:ind w:left="400" w:right="40" w:hanging="332"/>
        <w:spacing w:after="0"/>
        <w:tabs>
          <w:tab w:leader="none" w:pos="4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 securities are available for future issuance under the AlliedSignal Incentive Compensation Plan for Executive Employees of AlliedSignal Inc. and its Subsidiaries and the Deferred Compensation Plan for Non-Employee Directors of Honeywell International Inc. The cash incentive compensation plan has expired. All notional investments in shares of Common Stock are converted to cash when payments are made under the directors’ plan. The amount of securities available for future issuance under the Supplemental Non-Qualified Savings Plan for Highly Compensated Employees of Honeywell International Inc. and its Subsidiaries is not determinable because the number of securities that may be issued under this plan depends upon the amount deferred to the plan by participants in future years.</w:t>
      </w:r>
    </w:p>
    <w:p>
      <w:pPr>
        <w:spacing w:after="0" w:line="104" w:lineRule="exact"/>
        <w:rPr>
          <w:rFonts w:ascii="Arial" w:cs="Arial" w:eastAsia="Arial" w:hAnsi="Arial"/>
          <w:sz w:val="19"/>
          <w:szCs w:val="19"/>
          <w:color w:val="auto"/>
        </w:rPr>
      </w:pPr>
    </w:p>
    <w:p>
      <w:pPr>
        <w:ind w:left="400" w:right="300"/>
        <w:spacing w:after="0" w:line="245" w:lineRule="auto"/>
        <w:rPr>
          <w:rFonts w:ascii="Arial" w:cs="Arial" w:eastAsia="Arial" w:hAnsi="Arial"/>
          <w:sz w:val="19"/>
          <w:szCs w:val="19"/>
          <w:color w:val="auto"/>
        </w:rPr>
      </w:pPr>
      <w:r>
        <w:rPr>
          <w:rFonts w:ascii="Arial" w:cs="Arial" w:eastAsia="Arial" w:hAnsi="Arial"/>
          <w:sz w:val="19"/>
          <w:szCs w:val="19"/>
          <w:color w:val="auto"/>
        </w:rPr>
        <w:t>The table does not contain information for employee benefit plans of Honeywell that are intended to meet the requirements of Section 401(a) of the Internal Revenue Code and a small number of foreign employee benefit plans that are similar to such Section 401(a) plans.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w:t>
      </w:r>
    </w:p>
    <w:p>
      <w:pPr>
        <w:spacing w:after="0" w:line="147" w:lineRule="exact"/>
        <w:rPr>
          <w:sz w:val="20"/>
          <w:szCs w:val="20"/>
          <w:color w:val="auto"/>
        </w:rPr>
      </w:pPr>
    </w:p>
    <w:p>
      <w:pPr>
        <w:ind w:right="440" w:firstLine="357"/>
        <w:spacing w:after="0" w:line="253" w:lineRule="auto"/>
        <w:rPr>
          <w:sz w:val="20"/>
          <w:szCs w:val="20"/>
          <w:color w:val="auto"/>
        </w:rPr>
      </w:pPr>
      <w:r>
        <w:rPr>
          <w:rFonts w:ascii="Arial" w:cs="Arial" w:eastAsia="Arial" w:hAnsi="Arial"/>
          <w:sz w:val="19"/>
          <w:szCs w:val="19"/>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133"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Information relating to fees paid to and services performed by PricewaterhouseCoopers LLP in 2012 and 2011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500" w:type="dxa"/>
            <w:vAlign w:val="bottom"/>
          </w:tcPr>
          <w:p>
            <w:pPr>
              <w:ind w:left="240"/>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204"/>
        </w:trPr>
        <w:tc>
          <w:tcPr>
            <w:tcW w:w="9920" w:type="dxa"/>
            <w:vAlign w:val="bottom"/>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37"/>
        </w:trPr>
        <w:tc>
          <w:tcPr>
            <w:tcW w:w="99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(a)(1.) Consolidated Financial Statements:</w:t>
            </w:r>
          </w:p>
        </w:tc>
        <w:tc>
          <w:tcPr>
            <w:tcW w:w="15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920" w:type="dxa"/>
            <w:vAlign w:val="bottom"/>
          </w:tcPr>
          <w:p>
            <w:pPr>
              <w:ind w:left="1320"/>
              <w:spacing w:after="0"/>
              <w:rPr>
                <w:sz w:val="20"/>
                <w:szCs w:val="20"/>
                <w:color w:val="auto"/>
              </w:rPr>
            </w:pPr>
            <w:r>
              <w:rPr>
                <w:rFonts w:ascii="Arial" w:cs="Arial" w:eastAsia="Arial" w:hAnsi="Arial"/>
                <w:sz w:val="19"/>
                <w:szCs w:val="19"/>
                <w:color w:val="auto"/>
              </w:rPr>
              <w:t>Consolidated Statement of Operations for the years ended December 31, 2012, 2011 and 2010</w:t>
            </w:r>
          </w:p>
        </w:tc>
        <w:tc>
          <w:tcPr>
            <w:tcW w:w="1500" w:type="dxa"/>
            <w:vAlign w:val="bottom"/>
          </w:tcPr>
          <w:p>
            <w:pPr>
              <w:jc w:val="right"/>
              <w:ind w:right="169"/>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3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Consolidated Statement of Comprehensive Income for the years ended December 31, 2012,</w:t>
            </w:r>
          </w:p>
        </w:tc>
        <w:tc>
          <w:tcPr>
            <w:tcW w:w="15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20" w:type="dxa"/>
            <w:vAlign w:val="bottom"/>
            <w:shd w:val="clear" w:color="auto" w:fill="E5FFFF"/>
          </w:tcPr>
          <w:p>
            <w:pPr>
              <w:ind w:left="1520"/>
              <w:spacing w:after="0"/>
              <w:rPr>
                <w:sz w:val="20"/>
                <w:szCs w:val="20"/>
                <w:color w:val="auto"/>
              </w:rPr>
            </w:pPr>
            <w:r>
              <w:rPr>
                <w:rFonts w:ascii="Arial" w:cs="Arial" w:eastAsia="Arial" w:hAnsi="Arial"/>
                <w:sz w:val="19"/>
                <w:szCs w:val="19"/>
                <w:color w:val="auto"/>
              </w:rPr>
              <w:t>2011 and 2010</w:t>
            </w:r>
          </w:p>
        </w:tc>
        <w:tc>
          <w:tcPr>
            <w:tcW w:w="1500" w:type="dxa"/>
            <w:vAlign w:val="bottom"/>
            <w:shd w:val="clear" w:color="auto" w:fill="E5FFFF"/>
          </w:tcPr>
          <w:p>
            <w:pPr>
              <w:jc w:val="right"/>
              <w:ind w:right="169"/>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270"/>
        </w:trPr>
        <w:tc>
          <w:tcPr>
            <w:tcW w:w="9920" w:type="dxa"/>
            <w:vAlign w:val="bottom"/>
          </w:tcPr>
          <w:p>
            <w:pPr>
              <w:ind w:left="1320"/>
              <w:spacing w:after="0"/>
              <w:rPr>
                <w:sz w:val="20"/>
                <w:szCs w:val="20"/>
                <w:color w:val="auto"/>
              </w:rPr>
            </w:pPr>
            <w:r>
              <w:rPr>
                <w:rFonts w:ascii="Arial" w:cs="Arial" w:eastAsia="Arial" w:hAnsi="Arial"/>
                <w:sz w:val="19"/>
                <w:szCs w:val="19"/>
                <w:color w:val="auto"/>
              </w:rPr>
              <w:t>Consolidated Balance Sheet at December 31, 2012 and 2011</w:t>
            </w:r>
          </w:p>
        </w:tc>
        <w:tc>
          <w:tcPr>
            <w:tcW w:w="1500" w:type="dxa"/>
            <w:vAlign w:val="bottom"/>
          </w:tcPr>
          <w:p>
            <w:pPr>
              <w:jc w:val="right"/>
              <w:ind w:right="169"/>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7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Consolidated Statement of Cash Flows for the years ended December 31, 2012, 2011 and 2010</w:t>
            </w:r>
          </w:p>
        </w:tc>
        <w:tc>
          <w:tcPr>
            <w:tcW w:w="1500" w:type="dxa"/>
            <w:vAlign w:val="bottom"/>
            <w:shd w:val="clear" w:color="auto" w:fill="E5FFFF"/>
          </w:tcPr>
          <w:p>
            <w:pPr>
              <w:jc w:val="right"/>
              <w:ind w:right="169"/>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30"/>
        </w:trPr>
        <w:tc>
          <w:tcPr>
            <w:tcW w:w="9920" w:type="dxa"/>
            <w:vAlign w:val="bottom"/>
          </w:tcPr>
          <w:p>
            <w:pPr>
              <w:ind w:left="1320"/>
              <w:spacing w:after="0"/>
              <w:rPr>
                <w:sz w:val="20"/>
                <w:szCs w:val="20"/>
                <w:color w:val="auto"/>
              </w:rPr>
            </w:pPr>
            <w:r>
              <w:rPr>
                <w:rFonts w:ascii="Arial" w:cs="Arial" w:eastAsia="Arial" w:hAnsi="Arial"/>
                <w:sz w:val="19"/>
                <w:szCs w:val="19"/>
                <w:color w:val="auto"/>
              </w:rPr>
              <w:t>Consolidated Statement of Shareowners’ Equity for the years ended December 31, 2012, 2011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20" w:type="dxa"/>
            <w:vAlign w:val="bottom"/>
          </w:tcPr>
          <w:p>
            <w:pPr>
              <w:ind w:left="1520"/>
              <w:spacing w:after="0"/>
              <w:rPr>
                <w:sz w:val="20"/>
                <w:szCs w:val="20"/>
                <w:color w:val="auto"/>
              </w:rPr>
            </w:pPr>
            <w:r>
              <w:rPr>
                <w:rFonts w:ascii="Arial" w:cs="Arial" w:eastAsia="Arial" w:hAnsi="Arial"/>
                <w:sz w:val="19"/>
                <w:szCs w:val="19"/>
                <w:color w:val="auto"/>
              </w:rPr>
              <w:t>and 2010</w:t>
            </w:r>
          </w:p>
        </w:tc>
        <w:tc>
          <w:tcPr>
            <w:tcW w:w="1500" w:type="dxa"/>
            <w:vAlign w:val="bottom"/>
          </w:tcPr>
          <w:p>
            <w:pPr>
              <w:jc w:val="right"/>
              <w:ind w:right="169"/>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70"/>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Notes to Financial Statements</w:t>
            </w:r>
          </w:p>
        </w:tc>
        <w:tc>
          <w:tcPr>
            <w:tcW w:w="1500" w:type="dxa"/>
            <w:vAlign w:val="bottom"/>
            <w:shd w:val="clear" w:color="auto" w:fill="E5FFFF"/>
          </w:tcPr>
          <w:p>
            <w:pPr>
              <w:jc w:val="right"/>
              <w:ind w:right="169"/>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74"/>
        </w:trPr>
        <w:tc>
          <w:tcPr>
            <w:tcW w:w="9920" w:type="dxa"/>
            <w:vAlign w:val="bottom"/>
          </w:tcPr>
          <w:p>
            <w:pPr>
              <w:ind w:left="1320"/>
              <w:spacing w:after="0"/>
              <w:rPr>
                <w:sz w:val="20"/>
                <w:szCs w:val="20"/>
                <w:color w:val="auto"/>
              </w:rPr>
            </w:pPr>
            <w:r>
              <w:rPr>
                <w:rFonts w:ascii="Arial" w:cs="Arial" w:eastAsia="Arial" w:hAnsi="Arial"/>
                <w:sz w:val="19"/>
                <w:szCs w:val="19"/>
                <w:color w:val="auto"/>
              </w:rPr>
              <w:t>Report of Independent Registered Public Accounting Firm</w:t>
            </w:r>
          </w:p>
        </w:tc>
        <w:tc>
          <w:tcPr>
            <w:tcW w:w="1500" w:type="dxa"/>
            <w:vAlign w:val="bottom"/>
          </w:tcPr>
          <w:p>
            <w:pPr>
              <w:jc w:val="right"/>
              <w:ind w:right="169"/>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25"/>
        </w:trPr>
        <w:tc>
          <w:tcPr>
            <w:tcW w:w="9920" w:type="dxa"/>
            <w:vAlign w:val="bottom"/>
            <w:vMerge w:val="restart"/>
          </w:tcPr>
          <w:p>
            <w:pPr>
              <w:ind w:left="20"/>
              <w:spacing w:after="0"/>
              <w:rPr>
                <w:sz w:val="20"/>
                <w:szCs w:val="20"/>
                <w:color w:val="auto"/>
              </w:rPr>
            </w:pPr>
            <w:r>
              <w:rPr>
                <w:rFonts w:ascii="Arial" w:cs="Arial" w:eastAsia="Arial" w:hAnsi="Arial"/>
                <w:sz w:val="19"/>
                <w:szCs w:val="19"/>
                <w:color w:val="auto"/>
              </w:rPr>
              <w:t>(a)(2.) Consolidated Financial Statement Schedules:</w:t>
            </w:r>
          </w:p>
        </w:tc>
        <w:tc>
          <w:tcPr>
            <w:tcW w:w="1500" w:type="dxa"/>
            <w:vAlign w:val="bottom"/>
          </w:tcPr>
          <w:p>
            <w:pPr>
              <w:ind w:left="240"/>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204"/>
        </w:trPr>
        <w:tc>
          <w:tcPr>
            <w:tcW w:w="9920" w:type="dxa"/>
            <w:vAlign w:val="bottom"/>
            <w:vMerge w:val="continue"/>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64"/>
        </w:trPr>
        <w:tc>
          <w:tcPr>
            <w:tcW w:w="9920" w:type="dxa"/>
            <w:vAlign w:val="bottom"/>
            <w:shd w:val="clear" w:color="auto" w:fill="E5FFFF"/>
          </w:tcPr>
          <w:p>
            <w:pPr>
              <w:ind w:left="1320"/>
              <w:spacing w:after="0"/>
              <w:rPr>
                <w:sz w:val="20"/>
                <w:szCs w:val="20"/>
                <w:color w:val="auto"/>
              </w:rPr>
            </w:pPr>
            <w:r>
              <w:rPr>
                <w:rFonts w:ascii="Arial" w:cs="Arial" w:eastAsia="Arial" w:hAnsi="Arial"/>
                <w:sz w:val="19"/>
                <w:szCs w:val="19"/>
                <w:color w:val="auto"/>
              </w:rPr>
              <w:t>Schedule II—Valuation and Qualifying Accounts</w:t>
            </w:r>
          </w:p>
        </w:tc>
        <w:tc>
          <w:tcPr>
            <w:tcW w:w="1500" w:type="dxa"/>
            <w:vAlign w:val="bottom"/>
            <w:shd w:val="clear" w:color="auto" w:fill="E5FFFF"/>
          </w:tcPr>
          <w:p>
            <w:pPr>
              <w:jc w:val="right"/>
              <w:ind w:right="169"/>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All other financial statement schedules have been omitted because they are not applicable to us or the required information is shown in the consolidated financial statements or notes thereto.</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20" w:type="dxa"/>
            <w:vAlign w:val="bottom"/>
            <w:shd w:val="clear" w:color="auto" w:fill="E5FFFF"/>
          </w:tcPr>
          <w:p>
            <w:pPr>
              <w:jc w:val="right"/>
              <w:ind w:right="2763"/>
              <w:spacing w:after="0"/>
              <w:rPr>
                <w:sz w:val="20"/>
                <w:szCs w:val="20"/>
                <w:color w:val="auto"/>
              </w:rPr>
            </w:pPr>
            <w:r>
              <w:rPr>
                <w:rFonts w:ascii="Arial" w:cs="Arial" w:eastAsia="Arial" w:hAnsi="Arial"/>
                <w:sz w:val="19"/>
                <w:szCs w:val="19"/>
                <w:color w:val="auto"/>
              </w:rPr>
              <w:t>See the Exhibit Index of this Annual Report on Form 10-K</w:t>
            </w:r>
          </w:p>
        </w:tc>
        <w:tc>
          <w:tcPr>
            <w:tcW w:w="1700" w:type="dxa"/>
            <w:vAlign w:val="bottom"/>
          </w:tcPr>
          <w:p>
            <w:pPr>
              <w:spacing w:after="0"/>
              <w:rPr>
                <w:sz w:val="23"/>
                <w:szCs w:val="23"/>
                <w:color w:val="auto"/>
              </w:rPr>
            </w:pPr>
          </w:p>
        </w:tc>
        <w:tc>
          <w:tcPr>
            <w:tcW w:w="6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125</w:t>
            </w:r>
          </w:p>
        </w:tc>
      </w:tr>
      <w:tr>
        <w:trPr>
          <w:trHeight w:val="342"/>
        </w:trPr>
        <w:tc>
          <w:tcPr>
            <w:tcW w:w="9120" w:type="dxa"/>
            <w:vAlign w:val="bottom"/>
          </w:tcPr>
          <w:p>
            <w:pPr>
              <w:jc w:val="right"/>
              <w:ind w:right="3143"/>
              <w:spacing w:after="0"/>
              <w:rPr>
                <w:sz w:val="20"/>
                <w:szCs w:val="20"/>
                <w:color w:val="auto"/>
              </w:rPr>
            </w:pPr>
            <w:r>
              <w:rPr>
                <w:rFonts w:ascii="Arial" w:cs="Arial" w:eastAsia="Arial" w:hAnsi="Arial"/>
                <w:sz w:val="19"/>
                <w:szCs w:val="19"/>
                <w:color w:val="auto"/>
              </w:rPr>
              <w:t>123</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9"/>
        </w:trPr>
        <w:tc>
          <w:tcPr>
            <w:tcW w:w="9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9"/>
          <w:szCs w:val="19"/>
          <w:b w:val="1"/>
          <w:bCs w:val="1"/>
          <w:color w:val="auto"/>
        </w:rPr>
        <w:t>SIGNATURES</w:t>
      </w:r>
    </w:p>
    <w:p>
      <w:pPr>
        <w:spacing w:after="0" w:line="130"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34"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H</w:t>
      </w:r>
      <w:r>
        <w:rPr>
          <w:rFonts w:ascii="Arial" w:cs="Arial" w:eastAsia="Arial" w:hAnsi="Arial"/>
          <w:sz w:val="15"/>
          <w:szCs w:val="15"/>
          <w:color w:val="auto"/>
        </w:rPr>
        <w:t>ONEYWELL</w:t>
      </w:r>
      <w:r>
        <w:rPr>
          <w:rFonts w:ascii="Arial" w:cs="Arial" w:eastAsia="Arial" w:hAnsi="Arial"/>
          <w:sz w:val="21"/>
          <w:szCs w:val="21"/>
          <w:color w:val="auto"/>
        </w:rPr>
        <w:t xml:space="preserve"> I</w:t>
      </w:r>
      <w:r>
        <w:rPr>
          <w:rFonts w:ascii="Arial" w:cs="Arial" w:eastAsia="Arial" w:hAnsi="Arial"/>
          <w:sz w:val="15"/>
          <w:szCs w:val="15"/>
          <w:color w:val="auto"/>
        </w:rPr>
        <w:t>NTERNATIONAL</w:t>
      </w:r>
      <w:r>
        <w:rPr>
          <w:rFonts w:ascii="Arial" w:cs="Arial" w:eastAsia="Arial" w:hAnsi="Arial"/>
          <w:sz w:val="21"/>
          <w:szCs w:val="21"/>
          <w:color w:val="auto"/>
        </w:rPr>
        <w:t xml:space="preserve"> I</w:t>
      </w:r>
      <w:r>
        <w:rPr>
          <w:rFonts w:ascii="Arial" w:cs="Arial" w:eastAsia="Arial" w:hAnsi="Arial"/>
          <w:sz w:val="15"/>
          <w:szCs w:val="15"/>
          <w:color w:val="auto"/>
        </w:rPr>
        <w:t>NC</w:t>
      </w:r>
      <w:r>
        <w:rPr>
          <w:rFonts w:ascii="Arial" w:cs="Arial" w:eastAsia="Arial" w:hAnsi="Arial"/>
          <w:sz w:val="21"/>
          <w:szCs w:val="21"/>
          <w:color w:val="auto"/>
        </w:rPr>
        <w:t>.</w:t>
      </w:r>
    </w:p>
    <w:p>
      <w:pPr>
        <w:spacing w:after="0" w:line="277" w:lineRule="exact"/>
        <w:rPr>
          <w:sz w:val="20"/>
          <w:szCs w:val="20"/>
          <w:color w:val="auto"/>
        </w:rPr>
      </w:pPr>
    </w:p>
    <w:p>
      <w:pPr>
        <w:ind w:left="20"/>
        <w:spacing w:after="0"/>
        <w:tabs>
          <w:tab w:leader="none" w:pos="6020" w:val="left"/>
          <w:tab w:leader="none" w:pos="8220" w:val="left"/>
        </w:tabs>
        <w:rPr>
          <w:sz w:val="20"/>
          <w:szCs w:val="20"/>
          <w:color w:val="auto"/>
        </w:rPr>
      </w:pPr>
      <w:r>
        <w:rPr>
          <w:rFonts w:ascii="Arial" w:cs="Arial" w:eastAsia="Arial" w:hAnsi="Arial"/>
          <w:sz w:val="19"/>
          <w:szCs w:val="19"/>
          <w:color w:val="auto"/>
        </w:rPr>
        <w:t>Date: February 15, 2013</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Adam M. 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24130</wp:posOffset>
            </wp:positionV>
            <wp:extent cx="29584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3" w:lineRule="exact"/>
        <w:rPr>
          <w:sz w:val="20"/>
          <w:szCs w:val="20"/>
          <w:color w:val="auto"/>
        </w:rPr>
      </w:pPr>
    </w:p>
    <w:p>
      <w:pPr>
        <w:jc w:val="center"/>
        <w:ind w:left="6760"/>
        <w:spacing w:after="0"/>
        <w:rPr>
          <w:sz w:val="20"/>
          <w:szCs w:val="20"/>
          <w:color w:val="auto"/>
        </w:rPr>
      </w:pPr>
      <w:r>
        <w:rPr>
          <w:rFonts w:ascii="Arial" w:cs="Arial" w:eastAsia="Arial" w:hAnsi="Arial"/>
          <w:sz w:val="19"/>
          <w:szCs w:val="19"/>
          <w:color w:val="auto"/>
        </w:rPr>
        <w:t>Adam M. Matteo</w:t>
      </w:r>
    </w:p>
    <w:p>
      <w:pPr>
        <w:jc w:val="center"/>
        <w:ind w:left="6760"/>
        <w:spacing w:after="0" w:line="237" w:lineRule="auto"/>
        <w:rPr>
          <w:sz w:val="20"/>
          <w:szCs w:val="20"/>
          <w:color w:val="auto"/>
        </w:rPr>
      </w:pPr>
      <w:r>
        <w:rPr>
          <w:rFonts w:ascii="Arial" w:cs="Arial" w:eastAsia="Arial" w:hAnsi="Arial"/>
          <w:sz w:val="19"/>
          <w:szCs w:val="19"/>
          <w:color w:val="auto"/>
        </w:rPr>
        <w:t>Vice President and Controller</w:t>
      </w:r>
    </w:p>
    <w:p>
      <w:pPr>
        <w:jc w:val="center"/>
        <w:ind w:left="6760"/>
        <w:spacing w:after="0" w:line="237" w:lineRule="auto"/>
        <w:rPr>
          <w:sz w:val="20"/>
          <w:szCs w:val="20"/>
          <w:color w:val="auto"/>
        </w:rPr>
      </w:pPr>
      <w:r>
        <w:rPr>
          <w:rFonts w:ascii="Arial" w:cs="Arial" w:eastAsia="Arial" w:hAnsi="Arial"/>
          <w:sz w:val="19"/>
          <w:szCs w:val="19"/>
          <w:color w:val="auto"/>
        </w:rPr>
        <w:t>(on behalf of the Registrant</w:t>
      </w:r>
    </w:p>
    <w:p>
      <w:pPr>
        <w:jc w:val="center"/>
        <w:ind w:left="6760"/>
        <w:spacing w:after="0" w:line="238" w:lineRule="auto"/>
        <w:rPr>
          <w:sz w:val="20"/>
          <w:szCs w:val="20"/>
          <w:color w:val="auto"/>
        </w:rPr>
      </w:pPr>
      <w:r>
        <w:rPr>
          <w:rFonts w:ascii="Arial" w:cs="Arial" w:eastAsia="Arial" w:hAnsi="Arial"/>
          <w:sz w:val="19"/>
          <w:szCs w:val="19"/>
          <w:color w:val="auto"/>
        </w:rPr>
        <w:t>and as the Registrant’s</w:t>
      </w:r>
    </w:p>
    <w:p>
      <w:pPr>
        <w:jc w:val="center"/>
        <w:ind w:left="6760"/>
        <w:spacing w:after="0"/>
        <w:rPr>
          <w:sz w:val="20"/>
          <w:szCs w:val="20"/>
          <w:color w:val="auto"/>
        </w:rPr>
      </w:pPr>
      <w:r>
        <w:rPr>
          <w:rFonts w:ascii="Arial" w:cs="Arial" w:eastAsia="Arial" w:hAnsi="Arial"/>
          <w:sz w:val="19"/>
          <w:szCs w:val="19"/>
          <w:color w:val="auto"/>
        </w:rPr>
        <w:t>Principal Accounting Officer)</w:t>
      </w:r>
    </w:p>
    <w:p>
      <w:pPr>
        <w:spacing w:after="0" w:line="227" w:lineRule="exact"/>
        <w:rPr>
          <w:sz w:val="20"/>
          <w:szCs w:val="20"/>
          <w:color w:val="auto"/>
        </w:rPr>
      </w:pPr>
    </w:p>
    <w:p>
      <w:pPr>
        <w:ind w:right="120" w:firstLine="357"/>
        <w:spacing w:after="0" w:line="253" w:lineRule="auto"/>
        <w:rPr>
          <w:sz w:val="20"/>
          <w:szCs w:val="20"/>
          <w:color w:val="auto"/>
        </w:rPr>
      </w:pPr>
      <w:r>
        <w:rPr>
          <w:rFonts w:ascii="Arial" w:cs="Arial" w:eastAsia="Arial" w:hAnsi="Arial"/>
          <w:sz w:val="19"/>
          <w:szCs w:val="19"/>
          <w:color w:val="auto"/>
        </w:rPr>
        <w:t>Pursuant to the requirements of the Securities Exchange Act of 1934, this annual report has been signed below by the following persons on behalf of the Registrant and in the capacities and on the date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2980" w:type="dxa"/>
            <w:vAlign w:val="bottom"/>
            <w:gridSpan w:val="2"/>
          </w:tcPr>
          <w:p>
            <w:pPr>
              <w:jc w:val="center"/>
              <w:ind w:right="2460"/>
              <w:spacing w:after="0"/>
              <w:rPr>
                <w:sz w:val="20"/>
                <w:szCs w:val="20"/>
                <w:color w:val="auto"/>
              </w:rPr>
            </w:pPr>
            <w:r>
              <w:rPr>
                <w:rFonts w:ascii="Arial" w:cs="Arial" w:eastAsia="Arial" w:hAnsi="Arial"/>
                <w:sz w:val="19"/>
                <w:szCs w:val="19"/>
                <w:b w:val="1"/>
                <w:bCs w:val="1"/>
                <w:color w:val="auto"/>
              </w:rPr>
              <w:t>Name</w:t>
            </w:r>
          </w:p>
        </w:tc>
        <w:tc>
          <w:tcPr>
            <w:tcW w:w="540" w:type="dxa"/>
            <w:vAlign w:val="bottom"/>
          </w:tcPr>
          <w:p>
            <w:pPr>
              <w:spacing w:after="0"/>
              <w:rPr>
                <w:sz w:val="18"/>
                <w:szCs w:val="18"/>
                <w:color w:val="auto"/>
              </w:rPr>
            </w:pPr>
          </w:p>
        </w:tc>
        <w:tc>
          <w:tcPr>
            <w:tcW w:w="5440" w:type="dxa"/>
            <w:vAlign w:val="bottom"/>
            <w:gridSpan w:val="3"/>
          </w:tcPr>
          <w:p>
            <w:pPr>
              <w:jc w:val="center"/>
              <w:spacing w:after="0"/>
              <w:rPr>
                <w:sz w:val="20"/>
                <w:szCs w:val="20"/>
                <w:color w:val="auto"/>
              </w:rPr>
            </w:pPr>
            <w:r>
              <w:rPr>
                <w:rFonts w:ascii="Arial" w:cs="Arial" w:eastAsia="Arial" w:hAnsi="Arial"/>
                <w:sz w:val="19"/>
                <w:szCs w:val="19"/>
                <w:b w:val="1"/>
                <w:bCs w:val="1"/>
                <w:color w:val="auto"/>
              </w:rPr>
              <w:t>Name</w:t>
            </w:r>
          </w:p>
        </w:tc>
      </w:tr>
      <w:tr>
        <w:trPr>
          <w:trHeight w:val="497"/>
        </w:trPr>
        <w:tc>
          <w:tcPr>
            <w:tcW w:w="246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460" w:type="dxa"/>
            <w:vAlign w:val="bottom"/>
          </w:tcPr>
          <w:p>
            <w:pPr>
              <w:spacing w:after="0"/>
              <w:rPr>
                <w:sz w:val="24"/>
                <w:szCs w:val="24"/>
                <w:color w:val="auto"/>
              </w:rPr>
            </w:pPr>
          </w:p>
        </w:tc>
        <w:tc>
          <w:tcPr>
            <w:tcW w:w="3000" w:type="dxa"/>
            <w:vAlign w:val="bottom"/>
            <w:gridSpan w:val="2"/>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460" w:type="dxa"/>
            <w:vAlign w:val="bottom"/>
          </w:tcPr>
          <w:p>
            <w:pPr>
              <w:spacing w:after="0"/>
              <w:rPr>
                <w:sz w:val="24"/>
                <w:szCs w:val="24"/>
                <w:color w:val="auto"/>
              </w:rPr>
            </w:pPr>
          </w:p>
        </w:tc>
      </w:tr>
      <w:tr>
        <w:trPr>
          <w:trHeight w:val="23"/>
        </w:trPr>
        <w:tc>
          <w:tcPr>
            <w:tcW w:w="2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64"/>
        </w:trPr>
        <w:tc>
          <w:tcPr>
            <w:tcW w:w="5440" w:type="dxa"/>
            <w:vAlign w:val="bottom"/>
            <w:gridSpan w:val="3"/>
          </w:tcPr>
          <w:p>
            <w:pPr>
              <w:jc w:val="center"/>
              <w:spacing w:after="0"/>
              <w:rPr>
                <w:sz w:val="20"/>
                <w:szCs w:val="20"/>
                <w:color w:val="auto"/>
              </w:rPr>
            </w:pPr>
            <w:r>
              <w:rPr>
                <w:rFonts w:ascii="Arial" w:cs="Arial" w:eastAsia="Arial" w:hAnsi="Arial"/>
                <w:sz w:val="19"/>
                <w:szCs w:val="19"/>
                <w:color w:val="auto"/>
              </w:rPr>
              <w:t>David M. Cote</w:t>
            </w:r>
          </w:p>
        </w:tc>
        <w:tc>
          <w:tcPr>
            <w:tcW w:w="540" w:type="dxa"/>
            <w:vAlign w:val="bottom"/>
          </w:tcPr>
          <w:p>
            <w:pPr>
              <w:spacing w:after="0"/>
              <w:rPr>
                <w:sz w:val="22"/>
                <w:szCs w:val="22"/>
                <w:color w:val="auto"/>
              </w:rPr>
            </w:pPr>
          </w:p>
        </w:tc>
        <w:tc>
          <w:tcPr>
            <w:tcW w:w="5440" w:type="dxa"/>
            <w:vAlign w:val="bottom"/>
            <w:gridSpan w:val="3"/>
          </w:tcPr>
          <w:p>
            <w:pPr>
              <w:jc w:val="center"/>
              <w:ind w:right="20"/>
              <w:spacing w:after="0"/>
              <w:rPr>
                <w:sz w:val="20"/>
                <w:szCs w:val="20"/>
                <w:color w:val="auto"/>
              </w:rPr>
            </w:pPr>
            <w:r>
              <w:rPr>
                <w:rFonts w:ascii="Arial" w:cs="Arial" w:eastAsia="Arial" w:hAnsi="Arial"/>
                <w:sz w:val="19"/>
                <w:szCs w:val="19"/>
                <w:color w:val="auto"/>
              </w:rPr>
              <w:t>Linnet F. Deily</w:t>
            </w:r>
          </w:p>
        </w:tc>
      </w:tr>
      <w:tr>
        <w:trPr>
          <w:trHeight w:val="216"/>
        </w:trPr>
        <w:tc>
          <w:tcPr>
            <w:tcW w:w="5440" w:type="dxa"/>
            <w:vAlign w:val="bottom"/>
            <w:gridSpan w:val="3"/>
          </w:tcPr>
          <w:p>
            <w:pPr>
              <w:jc w:val="center"/>
              <w:spacing w:after="0" w:line="216" w:lineRule="exact"/>
              <w:rPr>
                <w:sz w:val="20"/>
                <w:szCs w:val="20"/>
                <w:color w:val="auto"/>
              </w:rPr>
            </w:pPr>
            <w:r>
              <w:rPr>
                <w:rFonts w:ascii="Arial" w:cs="Arial" w:eastAsia="Arial" w:hAnsi="Arial"/>
                <w:sz w:val="19"/>
                <w:szCs w:val="19"/>
                <w:color w:val="auto"/>
              </w:rPr>
              <w:t>Chairman of the Board,</w:t>
            </w:r>
          </w:p>
        </w:tc>
        <w:tc>
          <w:tcPr>
            <w:tcW w:w="540" w:type="dxa"/>
            <w:vAlign w:val="bottom"/>
          </w:tcPr>
          <w:p>
            <w:pPr>
              <w:spacing w:after="0"/>
              <w:rPr>
                <w:sz w:val="18"/>
                <w:szCs w:val="18"/>
                <w:color w:val="auto"/>
              </w:rPr>
            </w:pPr>
          </w:p>
        </w:tc>
        <w:tc>
          <w:tcPr>
            <w:tcW w:w="5440" w:type="dxa"/>
            <w:vAlign w:val="bottom"/>
            <w:gridSpan w:val="3"/>
          </w:tcPr>
          <w:p>
            <w:pPr>
              <w:jc w:val="center"/>
              <w:spacing w:after="0" w:line="216" w:lineRule="exact"/>
              <w:rPr>
                <w:sz w:val="20"/>
                <w:szCs w:val="20"/>
                <w:color w:val="auto"/>
              </w:rPr>
            </w:pPr>
            <w:r>
              <w:rPr>
                <w:rFonts w:ascii="Arial" w:cs="Arial" w:eastAsia="Arial" w:hAnsi="Arial"/>
                <w:sz w:val="19"/>
                <w:szCs w:val="19"/>
                <w:color w:val="auto"/>
              </w:rPr>
              <w:t>Director</w:t>
            </w:r>
          </w:p>
        </w:tc>
      </w:tr>
      <w:tr>
        <w:trPr>
          <w:trHeight w:val="216"/>
        </w:trPr>
        <w:tc>
          <w:tcPr>
            <w:tcW w:w="5440" w:type="dxa"/>
            <w:vAlign w:val="bottom"/>
            <w:gridSpan w:val="3"/>
          </w:tcPr>
          <w:p>
            <w:pPr>
              <w:jc w:val="center"/>
              <w:spacing w:after="0" w:line="216" w:lineRule="exact"/>
              <w:rPr>
                <w:sz w:val="20"/>
                <w:szCs w:val="20"/>
                <w:color w:val="auto"/>
              </w:rPr>
            </w:pPr>
            <w:r>
              <w:rPr>
                <w:rFonts w:ascii="Arial" w:cs="Arial" w:eastAsia="Arial" w:hAnsi="Arial"/>
                <w:sz w:val="19"/>
                <w:szCs w:val="19"/>
                <w:color w:val="auto"/>
              </w:rPr>
              <w:t>Chief Executive Officer</w:t>
            </w:r>
          </w:p>
        </w:tc>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5440" w:type="dxa"/>
            <w:vAlign w:val="bottom"/>
            <w:gridSpan w:val="3"/>
          </w:tcPr>
          <w:p>
            <w:pPr>
              <w:jc w:val="center"/>
              <w:spacing w:after="0"/>
              <w:rPr>
                <w:sz w:val="20"/>
                <w:szCs w:val="20"/>
                <w:color w:val="auto"/>
              </w:rPr>
            </w:pPr>
            <w:r>
              <w:rPr>
                <w:rFonts w:ascii="Arial" w:cs="Arial" w:eastAsia="Arial" w:hAnsi="Arial"/>
                <w:sz w:val="19"/>
                <w:szCs w:val="19"/>
                <w:color w:val="auto"/>
              </w:rPr>
              <w:t>and Director</w:t>
            </w:r>
          </w:p>
        </w:tc>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39"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474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3"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Gordon M. Bethune</w:t>
      </w:r>
    </w:p>
    <w:p>
      <w:pPr>
        <w:jc w:val="center"/>
        <w:ind w:right="128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474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3"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Kevin Burke</w:t>
      </w:r>
    </w:p>
    <w:p>
      <w:pPr>
        <w:jc w:val="center"/>
        <w:ind w:right="128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474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3" w:lineRule="exact"/>
        <w:rPr>
          <w:sz w:val="20"/>
          <w:szCs w:val="20"/>
          <w:color w:val="auto"/>
        </w:rPr>
      </w:pPr>
    </w:p>
    <w:p>
      <w:pPr>
        <w:ind w:left="1900"/>
        <w:spacing w:after="0"/>
        <w:rPr>
          <w:sz w:val="20"/>
          <w:szCs w:val="20"/>
          <w:color w:val="auto"/>
        </w:rPr>
      </w:pPr>
      <w:r>
        <w:rPr>
          <w:rFonts w:ascii="Arial" w:cs="Arial" w:eastAsia="Arial" w:hAnsi="Arial"/>
          <w:sz w:val="19"/>
          <w:szCs w:val="19"/>
          <w:color w:val="auto"/>
        </w:rPr>
        <w:t>Jaime Chico Pardo</w:t>
      </w:r>
    </w:p>
    <w:p>
      <w:pPr>
        <w:jc w:val="center"/>
        <w:ind w:right="128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474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3"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D. Scott Davis</w:t>
      </w:r>
    </w:p>
    <w:p>
      <w:pPr>
        <w:ind w:left="238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4474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83"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David J. Anderson</w:t>
      </w:r>
    </w:p>
    <w:p>
      <w:pPr>
        <w:jc w:val="center"/>
        <w:ind w:right="1280"/>
        <w:spacing w:after="0" w:line="237" w:lineRule="auto"/>
        <w:rPr>
          <w:sz w:val="20"/>
          <w:szCs w:val="20"/>
          <w:color w:val="auto"/>
        </w:rPr>
      </w:pPr>
      <w:r>
        <w:rPr>
          <w:rFonts w:ascii="Arial" w:cs="Arial" w:eastAsia="Arial" w:hAnsi="Arial"/>
          <w:sz w:val="19"/>
          <w:szCs w:val="19"/>
          <w:color w:val="auto"/>
        </w:rPr>
        <w:t>Senior Vice President and</w:t>
      </w:r>
    </w:p>
    <w:p>
      <w:pPr>
        <w:jc w:val="center"/>
        <w:ind w:right="1280"/>
        <w:spacing w:after="0" w:line="237" w:lineRule="auto"/>
        <w:rPr>
          <w:sz w:val="20"/>
          <w:szCs w:val="20"/>
          <w:color w:val="auto"/>
        </w:rPr>
      </w:pPr>
      <w:r>
        <w:rPr>
          <w:rFonts w:ascii="Arial" w:cs="Arial" w:eastAsia="Arial" w:hAnsi="Arial"/>
          <w:sz w:val="19"/>
          <w:szCs w:val="19"/>
          <w:color w:val="auto"/>
        </w:rPr>
        <w:t>Chief Financial Officer</w:t>
      </w:r>
    </w:p>
    <w:p>
      <w:pPr>
        <w:spacing w:after="0" w:line="1" w:lineRule="exact"/>
        <w:rPr>
          <w:sz w:val="20"/>
          <w:szCs w:val="20"/>
          <w:color w:val="auto"/>
        </w:rPr>
      </w:pPr>
    </w:p>
    <w:p>
      <w:pPr>
        <w:jc w:val="center"/>
        <w:ind w:right="1280"/>
        <w:spacing w:after="0"/>
        <w:rPr>
          <w:sz w:val="20"/>
          <w:szCs w:val="20"/>
          <w:color w:val="auto"/>
        </w:rPr>
      </w:pPr>
      <w:r>
        <w:rPr>
          <w:rFonts w:ascii="Arial" w:cs="Arial" w:eastAsia="Arial" w:hAnsi="Arial"/>
          <w:sz w:val="19"/>
          <w:szCs w:val="19"/>
          <w:color w:val="auto"/>
        </w:rPr>
        <w:t>(Principal Financial Officer)</w:t>
      </w:r>
    </w:p>
    <w:p>
      <w:pPr>
        <w:spacing w:after="0" w:line="322" w:lineRule="exact"/>
        <w:rPr>
          <w:sz w:val="20"/>
          <w:szCs w:val="20"/>
          <w:color w:val="auto"/>
        </w:rPr>
      </w:pPr>
    </w:p>
    <w:p>
      <w:pPr>
        <w:ind w:left="20"/>
        <w:spacing w:after="0"/>
        <w:tabs>
          <w:tab w:leader="none" w:pos="23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24130</wp:posOffset>
            </wp:positionV>
            <wp:extent cx="29756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83"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(David J. Anderson</w:t>
      </w:r>
    </w:p>
    <w:p>
      <w:pPr>
        <w:jc w:val="center"/>
        <w:ind w:right="240"/>
        <w:spacing w:after="0"/>
        <w:rPr>
          <w:sz w:val="20"/>
          <w:szCs w:val="20"/>
          <w:color w:val="auto"/>
        </w:rPr>
      </w:pPr>
      <w:r>
        <w:rPr>
          <w:rFonts w:ascii="Arial" w:cs="Arial" w:eastAsia="Arial" w:hAnsi="Arial"/>
          <w:sz w:val="19"/>
          <w:szCs w:val="19"/>
          <w:color w:val="auto"/>
        </w:rPr>
        <w:t>Attorney-in-fact)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Judd Gregg</w:t>
      </w:r>
    </w:p>
    <w:p>
      <w:pPr>
        <w:jc w:val="center"/>
        <w:ind w:right="146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Clive R. Hollick</w:t>
      </w:r>
    </w:p>
    <w:p>
      <w:pPr>
        <w:jc w:val="center"/>
        <w:ind w:right="146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Grace Lieblein</w:t>
      </w:r>
    </w:p>
    <w:p>
      <w:pPr>
        <w:jc w:val="center"/>
        <w:ind w:right="146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George Paz</w:t>
      </w:r>
    </w:p>
    <w:p>
      <w:pPr>
        <w:jc w:val="center"/>
        <w:ind w:right="146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Bradley T. Sheares, Ph.D.</w:t>
      </w:r>
    </w:p>
    <w:p>
      <w:pPr>
        <w:jc w:val="center"/>
        <w:ind w:right="1460"/>
        <w:spacing w:after="0"/>
        <w:rPr>
          <w:sz w:val="20"/>
          <w:szCs w:val="20"/>
          <w:color w:val="auto"/>
        </w:rPr>
      </w:pPr>
      <w:r>
        <w:rPr>
          <w:rFonts w:ascii="Arial" w:cs="Arial" w:eastAsia="Arial" w:hAnsi="Arial"/>
          <w:sz w:val="19"/>
          <w:szCs w:val="19"/>
          <w:color w:val="auto"/>
        </w:rPr>
        <w:t>Director</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9"/>
          <w:szCs w:val="19"/>
          <w:color w:val="auto"/>
        </w:rPr>
        <w:t>/s/ Adam M. 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24130</wp:posOffset>
            </wp:positionV>
            <wp:extent cx="34563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Adam M. Matteo</w:t>
      </w:r>
    </w:p>
    <w:p>
      <w:pPr>
        <w:spacing w:after="0" w:line="237" w:lineRule="auto"/>
        <w:rPr>
          <w:sz w:val="20"/>
          <w:szCs w:val="20"/>
          <w:color w:val="auto"/>
        </w:rPr>
      </w:pPr>
      <w:r>
        <w:rPr>
          <w:rFonts w:ascii="Arial" w:cs="Arial" w:eastAsia="Arial" w:hAnsi="Arial"/>
          <w:sz w:val="19"/>
          <w:szCs w:val="19"/>
          <w:color w:val="auto"/>
        </w:rPr>
        <w:t>Vice President and Controller</w:t>
      </w:r>
    </w:p>
    <w:p>
      <w:pPr>
        <w:spacing w:after="0"/>
        <w:rPr>
          <w:sz w:val="20"/>
          <w:szCs w:val="20"/>
          <w:color w:val="auto"/>
        </w:rPr>
      </w:pPr>
      <w:r>
        <w:rPr>
          <w:rFonts w:ascii="Arial" w:cs="Arial" w:eastAsia="Arial" w:hAnsi="Arial"/>
          <w:sz w:val="19"/>
          <w:szCs w:val="19"/>
          <w:color w:val="auto"/>
        </w:rPr>
        <w:t>(Principal Accounting Officer)</w:t>
      </w:r>
    </w:p>
    <w:p>
      <w:pPr>
        <w:spacing w:after="0" w:line="1496" w:lineRule="exact"/>
        <w:rPr>
          <w:sz w:val="20"/>
          <w:szCs w:val="20"/>
          <w:color w:val="auto"/>
        </w:rPr>
      </w:pPr>
    </w:p>
    <w:p>
      <w:pPr>
        <w:sectPr>
          <w:pgSz w:w="11900" w:h="16838" w:orient="portrait"/>
          <w:cols w:equalWidth="0" w:num="2">
            <w:col w:w="6720" w:space="720"/>
            <w:col w:w="3980"/>
          </w:cols>
          <w:pgMar w:left="240" w:top="116"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February 15, 2013</w:t>
      </w:r>
    </w:p>
    <w:p>
      <w:pPr>
        <w:sectPr>
          <w:pgSz w:w="11900" w:h="16838" w:orient="portrait"/>
          <w:cols w:equalWidth="0" w:num="1">
            <w:col w:w="11420"/>
          </w:cols>
          <w:pgMar w:left="240" w:top="116" w:right="2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58"/>
        </w:trPr>
        <w:tc>
          <w:tcPr>
            <w:tcW w:w="1400" w:type="dxa"/>
            <w:vAlign w:val="bottom"/>
          </w:tcPr>
          <w:p>
            <w:pPr>
              <w:spacing w:after="0"/>
              <w:rPr>
                <w:sz w:val="22"/>
                <w:szCs w:val="22"/>
                <w:color w:val="auto"/>
              </w:rPr>
            </w:pPr>
          </w:p>
        </w:tc>
        <w:tc>
          <w:tcPr>
            <w:tcW w:w="10020" w:type="dxa"/>
            <w:vAlign w:val="bottom"/>
          </w:tcPr>
          <w:p>
            <w:pPr>
              <w:ind w:left="3600"/>
              <w:spacing w:after="0"/>
              <w:rPr>
                <w:sz w:val="20"/>
                <w:szCs w:val="20"/>
                <w:color w:val="auto"/>
              </w:rPr>
            </w:pPr>
            <w:r>
              <w:rPr>
                <w:rFonts w:ascii="Arial" w:cs="Arial" w:eastAsia="Arial" w:hAnsi="Arial"/>
                <w:sz w:val="19"/>
                <w:szCs w:val="19"/>
                <w:b w:val="1"/>
                <w:bCs w:val="1"/>
                <w:color w:val="auto"/>
              </w:rPr>
              <w:t>EXHIBIT INDEX</w:t>
            </w:r>
          </w:p>
        </w:tc>
      </w:tr>
      <w:tr>
        <w:trPr>
          <w:trHeight w:val="374"/>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ind w:left="4860"/>
              <w:spacing w:after="0"/>
              <w:rPr>
                <w:sz w:val="20"/>
                <w:szCs w:val="20"/>
                <w:color w:val="auto"/>
              </w:rPr>
            </w:pPr>
            <w:r>
              <w:rPr>
                <w:rFonts w:ascii="Arial" w:cs="Arial" w:eastAsia="Arial" w:hAnsi="Arial"/>
                <w:sz w:val="16"/>
                <w:szCs w:val="16"/>
                <w:b w:val="1"/>
                <w:bCs w:val="1"/>
                <w:color w:val="auto"/>
              </w:rPr>
              <w:t>Description</w:t>
            </w:r>
          </w:p>
        </w:tc>
      </w:tr>
      <w:tr>
        <w:trPr>
          <w:trHeight w:val="264"/>
        </w:trPr>
        <w:tc>
          <w:tcPr>
            <w:tcW w:w="1400" w:type="dxa"/>
            <w:vAlign w:val="bottom"/>
          </w:tcPr>
          <w:p>
            <w:pPr>
              <w:ind w:left="180"/>
              <w:spacing w:after="0"/>
              <w:rPr>
                <w:sz w:val="20"/>
                <w:szCs w:val="20"/>
                <w:color w:val="auto"/>
              </w:rPr>
            </w:pPr>
            <w:r>
              <w:rPr>
                <w:rFonts w:ascii="Arial" w:cs="Arial" w:eastAsia="Arial" w:hAnsi="Arial"/>
                <w:sz w:val="19"/>
                <w:szCs w:val="19"/>
                <w:color w:val="auto"/>
              </w:rPr>
              <w:t>3(i)</w:t>
            </w:r>
          </w:p>
        </w:tc>
        <w:tc>
          <w:tcPr>
            <w:tcW w:w="10020" w:type="dxa"/>
            <w:vAlign w:val="bottom"/>
          </w:tcPr>
          <w:p>
            <w:pPr>
              <w:ind w:left="560"/>
              <w:spacing w:after="0"/>
              <w:rPr>
                <w:sz w:val="20"/>
                <w:szCs w:val="20"/>
                <w:color w:val="auto"/>
              </w:rPr>
            </w:pPr>
            <w:r>
              <w:rPr>
                <w:rFonts w:ascii="Arial" w:cs="Arial" w:eastAsia="Arial" w:hAnsi="Arial"/>
                <w:sz w:val="19"/>
                <w:szCs w:val="19"/>
                <w:color w:val="auto"/>
              </w:rPr>
              <w:t>Amended and Restated Certificate of Incorporation of Honeywell International Inc., as amended April 26,</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2010 (incorporated by reference to Exhibit 3(i) to Honeywell’s Form 8-K filed April 27, 2010)</w:t>
            </w:r>
          </w:p>
        </w:tc>
      </w:tr>
      <w:tr>
        <w:trPr>
          <w:trHeight w:val="226"/>
        </w:trPr>
        <w:tc>
          <w:tcPr>
            <w:tcW w:w="1400" w:type="dxa"/>
            <w:vAlign w:val="bottom"/>
          </w:tcPr>
          <w:p>
            <w:pPr>
              <w:ind w:left="180"/>
              <w:spacing w:after="0"/>
              <w:rPr>
                <w:sz w:val="20"/>
                <w:szCs w:val="20"/>
                <w:color w:val="auto"/>
              </w:rPr>
            </w:pPr>
            <w:r>
              <w:rPr>
                <w:rFonts w:ascii="Arial" w:cs="Arial" w:eastAsia="Arial" w:hAnsi="Arial"/>
                <w:sz w:val="19"/>
                <w:szCs w:val="19"/>
                <w:color w:val="auto"/>
              </w:rPr>
              <w:t>3(ii)</w:t>
            </w:r>
          </w:p>
        </w:tc>
        <w:tc>
          <w:tcPr>
            <w:tcW w:w="10020" w:type="dxa"/>
            <w:vAlign w:val="bottom"/>
          </w:tcPr>
          <w:p>
            <w:pPr>
              <w:ind w:left="560"/>
              <w:spacing w:after="0"/>
              <w:rPr>
                <w:sz w:val="20"/>
                <w:szCs w:val="20"/>
                <w:color w:val="auto"/>
              </w:rPr>
            </w:pPr>
            <w:r>
              <w:rPr>
                <w:rFonts w:ascii="Arial" w:cs="Arial" w:eastAsia="Arial" w:hAnsi="Arial"/>
                <w:sz w:val="19"/>
                <w:szCs w:val="19"/>
                <w:color w:val="auto"/>
              </w:rPr>
              <w:t>By-laws of Honeywell International Inc., as amended December 14, 2012 (incorporated by reference to</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Exhibit 3(ii) to Honeywell’s Form 8-K filed December 14, 2012)</w:t>
            </w:r>
          </w:p>
        </w:tc>
      </w:tr>
      <w:tr>
        <w:trPr>
          <w:trHeight w:val="226"/>
        </w:trPr>
        <w:tc>
          <w:tcPr>
            <w:tcW w:w="1400" w:type="dxa"/>
            <w:vAlign w:val="bottom"/>
          </w:tcPr>
          <w:p>
            <w:pPr>
              <w:ind w:left="180"/>
              <w:spacing w:after="0"/>
              <w:rPr>
                <w:sz w:val="20"/>
                <w:szCs w:val="20"/>
                <w:color w:val="auto"/>
              </w:rPr>
            </w:pPr>
            <w:r>
              <w:rPr>
                <w:rFonts w:ascii="Arial" w:cs="Arial" w:eastAsia="Arial" w:hAnsi="Arial"/>
                <w:sz w:val="19"/>
                <w:szCs w:val="19"/>
                <w:color w:val="auto"/>
              </w:rPr>
              <w:t>4</w:t>
            </w:r>
          </w:p>
        </w:tc>
        <w:tc>
          <w:tcPr>
            <w:tcW w:w="10020" w:type="dxa"/>
            <w:vAlign w:val="bottom"/>
          </w:tcPr>
          <w:p>
            <w:pPr>
              <w:ind w:left="560"/>
              <w:spacing w:after="0"/>
              <w:rPr>
                <w:sz w:val="20"/>
                <w:szCs w:val="20"/>
                <w:color w:val="auto"/>
              </w:rPr>
            </w:pPr>
            <w:r>
              <w:rPr>
                <w:rFonts w:ascii="Arial" w:cs="Arial" w:eastAsia="Arial" w:hAnsi="Arial"/>
                <w:sz w:val="19"/>
                <w:szCs w:val="19"/>
                <w:color w:val="auto"/>
              </w:rPr>
              <w:t>Honeywell International Inc. is a party to several long-term debt instruments under which, in each case, the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total amount of securities authorized does not exceed 10% of the total assets of Honeywell and its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subsidiaries on a consolidated basis. Pursuant to paragraph 4(iii)(A) of Item 601(b) of Regulation S-K,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 agrees to furnish a copy of such instruments to the Securities and Exchange Commission upon</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request.</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10.1*</w:t>
            </w:r>
          </w:p>
        </w:tc>
        <w:tc>
          <w:tcPr>
            <w:tcW w:w="10020" w:type="dxa"/>
            <w:vAlign w:val="bottom"/>
          </w:tcPr>
          <w:p>
            <w:pPr>
              <w:ind w:left="560"/>
              <w:spacing w:after="0"/>
              <w:rPr>
                <w:sz w:val="20"/>
                <w:szCs w:val="20"/>
                <w:color w:val="auto"/>
              </w:rPr>
            </w:pPr>
            <w:r>
              <w:rPr>
                <w:rFonts w:ascii="Arial" w:cs="Arial" w:eastAsia="Arial" w:hAnsi="Arial"/>
                <w:sz w:val="19"/>
                <w:szCs w:val="19"/>
                <w:color w:val="auto"/>
              </w:rPr>
              <w:t>2003 Stock Incentive Plan of Honeywell International Inc. and its Affiliates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Proxy Statement, dated March 17, 2003, filed pursuant to Rule 14a-6 of the Securities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Exchange Act of 1934), and amended by Exhibit 10.1 to Honeywell’s Form 8-K filed December 21, 2004,</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Exhibit 10.1 to Honeywell’s Form 10-K for the year ended December 31, 2006 and Exhibit 10.1 to</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Honeywell’s Form 10-K for the year ended December 31, 2008</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10.2*</w:t>
            </w:r>
          </w:p>
        </w:tc>
        <w:tc>
          <w:tcPr>
            <w:tcW w:w="10020" w:type="dxa"/>
            <w:vAlign w:val="bottom"/>
          </w:tcPr>
          <w:p>
            <w:pPr>
              <w:ind w:left="560"/>
              <w:spacing w:after="0"/>
              <w:rPr>
                <w:sz w:val="20"/>
                <w:szCs w:val="20"/>
                <w:color w:val="auto"/>
              </w:rPr>
            </w:pPr>
            <w:r>
              <w:rPr>
                <w:rFonts w:ascii="Arial" w:cs="Arial" w:eastAsia="Arial" w:hAnsi="Arial"/>
                <w:sz w:val="19"/>
                <w:szCs w:val="19"/>
                <w:color w:val="auto"/>
              </w:rPr>
              <w:t>Deferred Compensation Plan for Non-Employee Directors of Honeywell International Inc., as amended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restated (incorporated by reference to Exhibit 10.2 to Honeywell’s Form 10-Q for quarter ended June 30,</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2003), and amended by Exhibit 10.1 to Honeywell’s Form 8-K filed December 21, 2004 and Exhibit 10.2 to</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Honeywell’s Form 10-K for the year ended December 31, 2005</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10.3*</w:t>
            </w:r>
          </w:p>
        </w:tc>
        <w:tc>
          <w:tcPr>
            <w:tcW w:w="10020" w:type="dxa"/>
            <w:vAlign w:val="bottom"/>
          </w:tcPr>
          <w:p>
            <w:pPr>
              <w:ind w:left="560"/>
              <w:spacing w:after="0"/>
              <w:rPr>
                <w:sz w:val="20"/>
                <w:szCs w:val="20"/>
                <w:color w:val="auto"/>
              </w:rPr>
            </w:pPr>
            <w:r>
              <w:rPr>
                <w:rFonts w:ascii="Arial" w:cs="Arial" w:eastAsia="Arial" w:hAnsi="Arial"/>
                <w:sz w:val="19"/>
                <w:szCs w:val="19"/>
                <w:color w:val="auto"/>
              </w:rPr>
              <w:t>Stock Plan for Non-Employee Directors of AlliedSignal Inc., as amended (incorporated by reference to Exhibit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10.3 to Honeywell’s Form 10-Q for the quarter ended June 30, 2003), and amended by Exhibit 10.2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10-Q for the quarter ended June 30, 2007 and Exhibit 10.1 to Honeywell’s Form 10-Q for</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the quarter ended September 30, 2008</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10.4*</w:t>
            </w:r>
          </w:p>
        </w:tc>
        <w:tc>
          <w:tcPr>
            <w:tcW w:w="10020" w:type="dxa"/>
            <w:vAlign w:val="bottom"/>
          </w:tcPr>
          <w:p>
            <w:pPr>
              <w:ind w:left="560"/>
              <w:spacing w:after="0"/>
              <w:rPr>
                <w:sz w:val="20"/>
                <w:szCs w:val="20"/>
                <w:color w:val="auto"/>
              </w:rPr>
            </w:pPr>
            <w:r>
              <w:rPr>
                <w:rFonts w:ascii="Arial" w:cs="Arial" w:eastAsia="Arial" w:hAnsi="Arial"/>
                <w:sz w:val="19"/>
                <w:szCs w:val="19"/>
                <w:color w:val="auto"/>
              </w:rPr>
              <w:t>Honeywell International Inc. Incentive Compensation Plan for Executive Employees, as amended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restated (incorporated by reference to Honeywell’s Proxy Statement, dated March 10, 2011, filed pursuant</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to Rule 14a-6 of the Securities Exchange Act of 1934)</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10.5*</w:t>
            </w:r>
          </w:p>
        </w:tc>
        <w:tc>
          <w:tcPr>
            <w:tcW w:w="10020" w:type="dxa"/>
            <w:vAlign w:val="bottom"/>
          </w:tcPr>
          <w:p>
            <w:pPr>
              <w:ind w:left="560"/>
              <w:spacing w:after="0"/>
              <w:rPr>
                <w:sz w:val="20"/>
                <w:szCs w:val="20"/>
                <w:color w:val="auto"/>
              </w:rPr>
            </w:pPr>
            <w:r>
              <w:rPr>
                <w:rFonts w:ascii="Arial" w:cs="Arial" w:eastAsia="Arial" w:hAnsi="Arial"/>
                <w:sz w:val="19"/>
                <w:szCs w:val="19"/>
                <w:color w:val="auto"/>
              </w:rPr>
              <w:t>Supplemental Non-Qualified Savings Plan for Highly Compensated Employees of Honeywell International Inc.</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and its Subsidiaries, as amended and restated (incorporated by reference to Exhibit 10.6 to Honeywell’s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Form 10-K for the year ended December 31, 2008), and amended by Exhibit 10.5 to Honeywell’s Form 10-K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 the year ended December 31, 2010 and by Exhibit 10.1 to Honeywell’s Form 10-Q for the quarter ended</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June 30, 2012</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10.6*</w:t>
            </w:r>
          </w:p>
        </w:tc>
        <w:tc>
          <w:tcPr>
            <w:tcW w:w="10020" w:type="dxa"/>
            <w:vAlign w:val="bottom"/>
          </w:tcPr>
          <w:p>
            <w:pPr>
              <w:ind w:left="560"/>
              <w:spacing w:after="0"/>
              <w:rPr>
                <w:sz w:val="20"/>
                <w:szCs w:val="20"/>
                <w:color w:val="auto"/>
              </w:rPr>
            </w:pPr>
            <w:r>
              <w:rPr>
                <w:rFonts w:ascii="Arial" w:cs="Arial" w:eastAsia="Arial" w:hAnsi="Arial"/>
                <w:sz w:val="19"/>
                <w:szCs w:val="19"/>
                <w:color w:val="auto"/>
              </w:rPr>
              <w:t>Honeywell International Inc. Severance Plan for Senior Executives, as amended and restated (incorporated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by reference to Exhibit 10.7 to Honeywell’s Form 10-K for the year ended December 31, 2008),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amended by Exhibit 10.7 to Honeywell’s Form 10-K for the year ended December 31, 2009 and by the</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attached amendment (filed herewith)</w:t>
            </w:r>
          </w:p>
        </w:tc>
      </w:tr>
      <w:tr>
        <w:trPr>
          <w:trHeight w:val="226"/>
        </w:trPr>
        <w:tc>
          <w:tcPr>
            <w:tcW w:w="1400" w:type="dxa"/>
            <w:vAlign w:val="bottom"/>
          </w:tcPr>
          <w:p>
            <w:pPr>
              <w:ind w:left="20"/>
              <w:spacing w:after="0"/>
              <w:rPr>
                <w:sz w:val="20"/>
                <w:szCs w:val="20"/>
                <w:color w:val="auto"/>
              </w:rPr>
            </w:pPr>
            <w:r>
              <w:rPr>
                <w:rFonts w:ascii="Arial" w:cs="Arial" w:eastAsia="Arial" w:hAnsi="Arial"/>
                <w:sz w:val="19"/>
                <w:szCs w:val="19"/>
                <w:color w:val="auto"/>
              </w:rPr>
              <w:t>10.7*</w:t>
            </w:r>
          </w:p>
        </w:tc>
        <w:tc>
          <w:tcPr>
            <w:tcW w:w="10020" w:type="dxa"/>
            <w:vAlign w:val="bottom"/>
          </w:tcPr>
          <w:p>
            <w:pPr>
              <w:ind w:left="560"/>
              <w:spacing w:after="0"/>
              <w:rPr>
                <w:sz w:val="20"/>
                <w:szCs w:val="20"/>
                <w:color w:val="auto"/>
              </w:rPr>
            </w:pPr>
            <w:r>
              <w:rPr>
                <w:rFonts w:ascii="Arial" w:cs="Arial" w:eastAsia="Arial" w:hAnsi="Arial"/>
                <w:sz w:val="19"/>
                <w:szCs w:val="19"/>
                <w:color w:val="auto"/>
              </w:rPr>
              <w:t>Salary and Incentive Award Deferral Plan for Selected Employees of Honeywell International Inc., and its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Affiliates, as amended and restated (incorporated by reference to Exhibit 10.8 to Honeywell’s Form 10-K for</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the year ended December 31, 2008)</w:t>
            </w:r>
          </w:p>
        </w:tc>
      </w:tr>
      <w:tr>
        <w:trPr>
          <w:trHeight w:val="338"/>
        </w:trPr>
        <w:tc>
          <w:tcPr>
            <w:tcW w:w="1400" w:type="dxa"/>
            <w:vAlign w:val="bottom"/>
          </w:tcPr>
          <w:p>
            <w:pPr>
              <w:spacing w:after="0"/>
              <w:rPr>
                <w:sz w:val="24"/>
                <w:szCs w:val="24"/>
                <w:color w:val="auto"/>
              </w:rPr>
            </w:pPr>
          </w:p>
        </w:tc>
        <w:tc>
          <w:tcPr>
            <w:tcW w:w="10020" w:type="dxa"/>
            <w:vAlign w:val="bottom"/>
          </w:tcPr>
          <w:p>
            <w:pPr>
              <w:ind w:left="4160"/>
              <w:spacing w:after="0"/>
              <w:rPr>
                <w:sz w:val="20"/>
                <w:szCs w:val="20"/>
                <w:color w:val="auto"/>
              </w:rPr>
            </w:pPr>
            <w:r>
              <w:rPr>
                <w:rFonts w:ascii="Arial" w:cs="Arial" w:eastAsia="Arial" w:hAnsi="Arial"/>
                <w:sz w:val="19"/>
                <w:szCs w:val="19"/>
                <w:color w:val="auto"/>
              </w:rPr>
              <w:t>125</w:t>
            </w:r>
          </w:p>
        </w:tc>
      </w:tr>
      <w:tr>
        <w:trPr>
          <w:trHeight w:val="209"/>
        </w:trPr>
        <w:tc>
          <w:tcPr>
            <w:tcW w:w="140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29" w:name="page130"/>
    <w:bookmarkEnd w:id="129"/>
    <w:p>
      <w:pPr>
        <w:ind w:left="20"/>
        <w:spacing w:after="0"/>
        <w:tabs>
          <w:tab w:leader="none" w:pos="6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80" w:type="dxa"/>
            <w:vAlign w:val="bottom"/>
          </w:tcPr>
          <w:p>
            <w:pPr>
              <w:ind w:left="20"/>
              <w:spacing w:after="0"/>
              <w:rPr>
                <w:sz w:val="20"/>
                <w:szCs w:val="20"/>
                <w:color w:val="auto"/>
              </w:rPr>
            </w:pPr>
            <w:r>
              <w:rPr>
                <w:rFonts w:ascii="Arial" w:cs="Arial" w:eastAsia="Arial" w:hAnsi="Arial"/>
                <w:sz w:val="19"/>
                <w:szCs w:val="19"/>
                <w:color w:val="auto"/>
              </w:rPr>
              <w:t>10.8*</w:t>
            </w:r>
          </w:p>
        </w:tc>
        <w:tc>
          <w:tcPr>
            <w:tcW w:w="10140" w:type="dxa"/>
            <w:vAlign w:val="bottom"/>
          </w:tcPr>
          <w:p>
            <w:pPr>
              <w:ind w:left="680"/>
              <w:spacing w:after="0"/>
              <w:rPr>
                <w:sz w:val="20"/>
                <w:szCs w:val="20"/>
                <w:color w:val="auto"/>
              </w:rPr>
            </w:pPr>
            <w:r>
              <w:rPr>
                <w:rFonts w:ascii="Arial" w:cs="Arial" w:eastAsia="Arial" w:hAnsi="Arial"/>
                <w:sz w:val="19"/>
                <w:szCs w:val="19"/>
                <w:color w:val="auto"/>
              </w:rPr>
              <w:t>Honeywell International Inc. Supplemental Pension Plan, as amended and restated (incorporated by</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reference to Exhibit 10.10 to Honeywell’s Form 10-K for the year ended December 31, 2008), and amended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by Exhibit 10.10 to Honeywell’s Form 10-K for the year ended December 31, 2009</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10.9*</w:t>
            </w:r>
          </w:p>
        </w:tc>
        <w:tc>
          <w:tcPr>
            <w:tcW w:w="10140" w:type="dxa"/>
            <w:vAlign w:val="bottom"/>
          </w:tcPr>
          <w:p>
            <w:pPr>
              <w:ind w:left="680"/>
              <w:spacing w:after="0"/>
              <w:rPr>
                <w:sz w:val="20"/>
                <w:szCs w:val="20"/>
                <w:color w:val="auto"/>
              </w:rPr>
            </w:pPr>
            <w:r>
              <w:rPr>
                <w:rFonts w:ascii="Arial" w:cs="Arial" w:eastAsia="Arial" w:hAnsi="Arial"/>
                <w:sz w:val="19"/>
                <w:szCs w:val="19"/>
                <w:color w:val="auto"/>
              </w:rPr>
              <w:t>Honeywell International Inc. Supplemental Executive Retirement Plan for Executives in Career Band 6 and</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Above, as amended and restated (incorporated by reference to Exhibit 10.12 to Honeywell’s Form 10-K for</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the year ended December 31, 2008), and amended by Exhibit 10.12 to Honeywell’s Form 10-K for the year</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ended December 31, 2009</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10.10*</w:t>
            </w:r>
          </w:p>
        </w:tc>
        <w:tc>
          <w:tcPr>
            <w:tcW w:w="10140" w:type="dxa"/>
            <w:vAlign w:val="bottom"/>
          </w:tcPr>
          <w:p>
            <w:pPr>
              <w:ind w:left="680"/>
              <w:spacing w:after="0"/>
              <w:rPr>
                <w:sz w:val="20"/>
                <w:szCs w:val="20"/>
                <w:color w:val="auto"/>
              </w:rPr>
            </w:pPr>
            <w:r>
              <w:rPr>
                <w:rFonts w:ascii="Arial" w:cs="Arial" w:eastAsia="Arial" w:hAnsi="Arial"/>
                <w:sz w:val="19"/>
                <w:szCs w:val="19"/>
                <w:color w:val="auto"/>
              </w:rPr>
              <w:t>Honeywell Supplemental Defined Benefit Retirement Plan, as amended and restated (incorporated by</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reference to Exhibit 10.13 to Honeywell’s Form 10-K for the year ended December 31, 2008), and amended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by Exhibit 10.13 to Honeywell’s Form 10-K for the year ended December 31, 2009</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10.11*</w:t>
            </w:r>
          </w:p>
        </w:tc>
        <w:tc>
          <w:tcPr>
            <w:tcW w:w="10140" w:type="dxa"/>
            <w:vAlign w:val="bottom"/>
          </w:tcPr>
          <w:p>
            <w:pPr>
              <w:ind w:left="680"/>
              <w:spacing w:after="0"/>
              <w:rPr>
                <w:sz w:val="20"/>
                <w:szCs w:val="20"/>
                <w:color w:val="auto"/>
              </w:rPr>
            </w:pPr>
            <w:r>
              <w:rPr>
                <w:rFonts w:ascii="Arial" w:cs="Arial" w:eastAsia="Arial" w:hAnsi="Arial"/>
                <w:sz w:val="19"/>
                <w:szCs w:val="19"/>
                <w:color w:val="auto"/>
              </w:rPr>
              <w:t>Letter between David J. Anderson and Honeywell International Inc. dated June 12, 2003 (incorporated by</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reference to Exhibit 10.26 to Honeywell’s Form 10-Q for the quarter ended June 30, 2003), and amended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by Exhibit 10.14 to Honeywell’s Form 10-K for the year ended December 31, 2008</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10.12*</w:t>
            </w:r>
          </w:p>
        </w:tc>
        <w:tc>
          <w:tcPr>
            <w:tcW w:w="10140" w:type="dxa"/>
            <w:vAlign w:val="bottom"/>
          </w:tcPr>
          <w:p>
            <w:pPr>
              <w:ind w:left="680"/>
              <w:spacing w:after="0"/>
              <w:rPr>
                <w:sz w:val="20"/>
                <w:szCs w:val="20"/>
                <w:color w:val="auto"/>
              </w:rPr>
            </w:pPr>
            <w:r>
              <w:rPr>
                <w:rFonts w:ascii="Arial" w:cs="Arial" w:eastAsia="Arial" w:hAnsi="Arial"/>
                <w:sz w:val="19"/>
                <w:szCs w:val="19"/>
                <w:color w:val="auto"/>
              </w:rPr>
              <w:t>Honeywell International Inc. Severance Plan for Corporate Staff Employees (Involuntary Termination</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Following a Change in Control), as amended and restated (incorporated by reference to Exhibit 10.16 to</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Honeywell’s Form 10-K for the year ended December 31, 2008)</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10.13*</w:t>
            </w:r>
          </w:p>
        </w:tc>
        <w:tc>
          <w:tcPr>
            <w:tcW w:w="10140" w:type="dxa"/>
            <w:vAlign w:val="bottom"/>
          </w:tcPr>
          <w:p>
            <w:pPr>
              <w:ind w:left="680"/>
              <w:spacing w:after="0"/>
              <w:rPr>
                <w:sz w:val="20"/>
                <w:szCs w:val="20"/>
                <w:color w:val="auto"/>
              </w:rPr>
            </w:pPr>
            <w:r>
              <w:rPr>
                <w:rFonts w:ascii="Arial" w:cs="Arial" w:eastAsia="Arial" w:hAnsi="Arial"/>
                <w:sz w:val="19"/>
                <w:szCs w:val="19"/>
                <w:color w:val="auto"/>
              </w:rPr>
              <w:t>Employment Agreement dated as of February 18, 2002 between Honeywell and David M. Cote (incorporated</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by reference to Exhibit 10.24 to Honeywell’s Form 8-K filed March 4, 2002), and amended by Exhibit 10.3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Honeywell’s Form 10-Q for the quarter ended September 30, 2008 and Exhibit 10.17 to Honeywell’s Form</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10-K for the year ended December 31, 2008</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10.14*</w:t>
            </w:r>
          </w:p>
        </w:tc>
        <w:tc>
          <w:tcPr>
            <w:tcW w:w="10140" w:type="dxa"/>
            <w:vAlign w:val="bottom"/>
          </w:tcPr>
          <w:p>
            <w:pPr>
              <w:ind w:left="680"/>
              <w:spacing w:after="0"/>
              <w:rPr>
                <w:sz w:val="20"/>
                <w:szCs w:val="20"/>
                <w:color w:val="auto"/>
              </w:rPr>
            </w:pPr>
            <w:r>
              <w:rPr>
                <w:rFonts w:ascii="Arial" w:cs="Arial" w:eastAsia="Arial" w:hAnsi="Arial"/>
                <w:sz w:val="19"/>
                <w:szCs w:val="19"/>
                <w:color w:val="auto"/>
              </w:rPr>
              <w:t>2003 Stock Incentive Plan for Employees of Honeywell International Inc. and its Affiliates Award Agreement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(incorporated by reference to Exhibit 10.1 to Honeywell’s Form 8-K filed February 7, 2005)</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10.15*</w:t>
            </w:r>
          </w:p>
        </w:tc>
        <w:tc>
          <w:tcPr>
            <w:tcW w:w="10140" w:type="dxa"/>
            <w:vAlign w:val="bottom"/>
          </w:tcPr>
          <w:p>
            <w:pPr>
              <w:ind w:left="680"/>
              <w:spacing w:after="0"/>
              <w:rPr>
                <w:sz w:val="20"/>
                <w:szCs w:val="20"/>
                <w:color w:val="auto"/>
              </w:rPr>
            </w:pPr>
            <w:r>
              <w:rPr>
                <w:rFonts w:ascii="Arial" w:cs="Arial" w:eastAsia="Arial" w:hAnsi="Arial"/>
                <w:sz w:val="19"/>
                <w:szCs w:val="19"/>
                <w:color w:val="auto"/>
              </w:rPr>
              <w:t>2003 Stock Incentive Plan for Employees of Honeywell International Inc. and its Affiliates Restricted Unit</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(incorporated by reference to Exhibit 10.21 to Honeywell’s Form 10-K for the year 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December 31, 2005)</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10.16*</w:t>
            </w:r>
          </w:p>
        </w:tc>
        <w:tc>
          <w:tcPr>
            <w:tcW w:w="10140" w:type="dxa"/>
            <w:vAlign w:val="bottom"/>
          </w:tcPr>
          <w:p>
            <w:pPr>
              <w:ind w:left="680"/>
              <w:spacing w:after="0"/>
              <w:rPr>
                <w:sz w:val="20"/>
                <w:szCs w:val="20"/>
                <w:color w:val="auto"/>
              </w:rPr>
            </w:pPr>
            <w:r>
              <w:rPr>
                <w:rFonts w:ascii="Arial" w:cs="Arial" w:eastAsia="Arial" w:hAnsi="Arial"/>
                <w:sz w:val="19"/>
                <w:szCs w:val="19"/>
                <w:color w:val="auto"/>
              </w:rPr>
              <w:t>Stock Plan For Non-Employee Directors of Honeywell International Inc. Option Agreement (incorporated by</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reference to Exhibit 10.1 to Honeywell’s Form 8-K filed April 29, 2005)</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10.17*</w:t>
            </w:r>
          </w:p>
        </w:tc>
        <w:tc>
          <w:tcPr>
            <w:tcW w:w="10140" w:type="dxa"/>
            <w:vAlign w:val="bottom"/>
          </w:tcPr>
          <w:p>
            <w:pPr>
              <w:ind w:left="680"/>
              <w:spacing w:after="0"/>
              <w:rPr>
                <w:sz w:val="20"/>
                <w:szCs w:val="20"/>
                <w:color w:val="auto"/>
              </w:rPr>
            </w:pPr>
            <w:r>
              <w:rPr>
                <w:rFonts w:ascii="Arial" w:cs="Arial" w:eastAsia="Arial" w:hAnsi="Arial"/>
                <w:sz w:val="19"/>
                <w:szCs w:val="19"/>
                <w:color w:val="auto"/>
              </w:rPr>
              <w:t>Deferred Compensation Agreement dated August 4, 2006 between Honeywell and David M. Cote</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(incorporated by reference to Exhibit 10.22 to Honeywell’s Form 10-K for the year ended December 31,</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2006) and amended by Exhibit 10.22 to Honeywell’s Form 10-K for the year ended December 31, 2009</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10.18*</w:t>
            </w:r>
          </w:p>
        </w:tc>
        <w:tc>
          <w:tcPr>
            <w:tcW w:w="10140" w:type="dxa"/>
            <w:vAlign w:val="bottom"/>
          </w:tcPr>
          <w:p>
            <w:pPr>
              <w:ind w:left="680"/>
              <w:spacing w:after="0"/>
              <w:rPr>
                <w:sz w:val="20"/>
                <w:szCs w:val="20"/>
                <w:color w:val="auto"/>
              </w:rPr>
            </w:pPr>
            <w:r>
              <w:rPr>
                <w:rFonts w:ascii="Arial" w:cs="Arial" w:eastAsia="Arial" w:hAnsi="Arial"/>
                <w:sz w:val="19"/>
                <w:szCs w:val="19"/>
                <w:color w:val="auto"/>
              </w:rPr>
              <w:t>Honeywell Supplemental Retirement Plan (incorporated by reference to Exhibit 10.24 to Honeywell’s Form 10-</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K for the year ended December 31, 2006)</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10.19*</w:t>
            </w:r>
          </w:p>
        </w:tc>
        <w:tc>
          <w:tcPr>
            <w:tcW w:w="10140" w:type="dxa"/>
            <w:vAlign w:val="bottom"/>
          </w:tcPr>
          <w:p>
            <w:pPr>
              <w:ind w:left="680"/>
              <w:spacing w:after="0"/>
              <w:rPr>
                <w:sz w:val="20"/>
                <w:szCs w:val="20"/>
                <w:color w:val="auto"/>
              </w:rPr>
            </w:pPr>
            <w:r>
              <w:rPr>
                <w:rFonts w:ascii="Arial" w:cs="Arial" w:eastAsia="Arial" w:hAnsi="Arial"/>
                <w:sz w:val="19"/>
                <w:szCs w:val="19"/>
                <w:color w:val="auto"/>
              </w:rPr>
              <w:t>Pittway Corporation Supplemental Executive Retirement Plan (incorporated by reference to Exhibit 10.25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Honeywell’s Form 10-K for the year ended December 31, 2006) and amended by Exhibit 10.25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Honeywell’s Form 10-K for the year ended December 31, 2008 and Exhibit 10.25 to Honeywell’s 10-K for</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the year ended December 31, 2009</w:t>
            </w:r>
          </w:p>
        </w:tc>
      </w:tr>
      <w:tr>
        <w:trPr>
          <w:trHeight w:val="226"/>
        </w:trPr>
        <w:tc>
          <w:tcPr>
            <w:tcW w:w="1280" w:type="dxa"/>
            <w:vAlign w:val="bottom"/>
          </w:tcPr>
          <w:p>
            <w:pPr>
              <w:ind w:left="20"/>
              <w:spacing w:after="0"/>
              <w:rPr>
                <w:sz w:val="20"/>
                <w:szCs w:val="20"/>
                <w:color w:val="auto"/>
              </w:rPr>
            </w:pPr>
            <w:r>
              <w:rPr>
                <w:rFonts w:ascii="Arial" w:cs="Arial" w:eastAsia="Arial" w:hAnsi="Arial"/>
                <w:sz w:val="19"/>
                <w:szCs w:val="19"/>
                <w:color w:val="auto"/>
              </w:rPr>
              <w:t>10.20*</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 as amended and restated</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(incorporated by reference to Exhibit 10.26 to Honeywell’s Form 10-K for the year ended December 31,</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2008), and amended by Exhibit 10.1 to Honeywell’s 10-Q for the quarter ended March 31, 2011</w:t>
            </w:r>
          </w:p>
        </w:tc>
      </w:tr>
      <w:tr>
        <w:trPr>
          <w:trHeight w:val="446"/>
        </w:trPr>
        <w:tc>
          <w:tcPr>
            <w:tcW w:w="1280" w:type="dxa"/>
            <w:vAlign w:val="bottom"/>
          </w:tcPr>
          <w:p>
            <w:pPr>
              <w:spacing w:after="0"/>
              <w:rPr>
                <w:sz w:val="24"/>
                <w:szCs w:val="24"/>
                <w:color w:val="auto"/>
              </w:rPr>
            </w:pPr>
          </w:p>
        </w:tc>
        <w:tc>
          <w:tcPr>
            <w:tcW w:w="10140" w:type="dxa"/>
            <w:vAlign w:val="bottom"/>
          </w:tcPr>
          <w:p>
            <w:pPr>
              <w:ind w:left="4280"/>
              <w:spacing w:after="0"/>
              <w:rPr>
                <w:sz w:val="20"/>
                <w:szCs w:val="20"/>
                <w:color w:val="auto"/>
              </w:rPr>
            </w:pPr>
            <w:r>
              <w:rPr>
                <w:rFonts w:ascii="Arial" w:cs="Arial" w:eastAsia="Arial" w:hAnsi="Arial"/>
                <w:sz w:val="19"/>
                <w:szCs w:val="19"/>
                <w:color w:val="auto"/>
              </w:rPr>
              <w:t>126</w:t>
            </w:r>
          </w:p>
        </w:tc>
      </w:tr>
      <w:tr>
        <w:trPr>
          <w:trHeight w:val="209"/>
        </w:trPr>
        <w:tc>
          <w:tcPr>
            <w:tcW w:w="1280" w:type="dxa"/>
            <w:vAlign w:val="bottom"/>
            <w:tcBorders>
              <w:bottom w:val="single" w:sz="8" w:color="auto"/>
            </w:tcBorders>
          </w:tcPr>
          <w:p>
            <w:pPr>
              <w:spacing w:after="0"/>
              <w:rPr>
                <w:sz w:val="18"/>
                <w:szCs w:val="18"/>
                <w:color w:val="auto"/>
              </w:rPr>
            </w:pPr>
          </w:p>
        </w:tc>
        <w:tc>
          <w:tcPr>
            <w:tcW w:w="101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30" w:name="page131"/>
    <w:bookmarkEnd w:id="130"/>
    <w:p>
      <w:pPr>
        <w:ind w:left="20"/>
        <w:spacing w:after="0"/>
        <w:tabs>
          <w:tab w:leader="none" w:pos="6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10.21*</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Option Award Agreement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(incorporated by reference to Exhibit 10.2 to Honeywell’s Form 10-Q for the quarter ended March 31, 2009)</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10.22*</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Restricted Unit</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(incorporated by reference to Exhibit 10.1 to Honeywell’s Form 10-Q for the quarter 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March 31, 2009)</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10.23*</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Growth Plan Agreement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(incorporated by reference to Exhibit 10.1 to Honeywell’s Form 10-Q for the quarter ended March 31,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10.24*</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Performance Share</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(incorporated by reference to Exhibit 10.30 to Honeywell’s Form 10-K for the year 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December 31, 2006)</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10.25*</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Plan for Non-Employee Directors of Honeywell International Inc., as amended and restated</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(incorporated by reference to Exhibit 10.31 to Honeywell’s Form 10-K for the year ended December 31,</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2008), and amended by Exhibit 10.27 to Honeywell’s Form 10-K for the year ended December 31, 2011</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10.26*</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Plan for Non-Employee Directors of Honeywell International Inc.—Form of Option Agreement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(incorporated by reference to Exhibit 10.3 to Honeywell’s Form 10-Q for the quarter ended March 31, 2012)</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10.27*</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Plan for Non-Employee Directors of Honeywell International Inc.—Form of Restricted Unit</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(incorporated by reference to Exhibit 10.4 to Honeywell’s Form 10-Q for the quarter ended</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March 31, 2012)</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10.28*</w:t>
            </w:r>
          </w:p>
        </w:tc>
        <w:tc>
          <w:tcPr>
            <w:tcW w:w="10140" w:type="dxa"/>
            <w:vAlign w:val="bottom"/>
          </w:tcPr>
          <w:p>
            <w:pPr>
              <w:ind w:left="680"/>
              <w:spacing w:after="0"/>
              <w:rPr>
                <w:sz w:val="20"/>
                <w:szCs w:val="20"/>
                <w:color w:val="auto"/>
              </w:rPr>
            </w:pPr>
            <w:r>
              <w:rPr>
                <w:rFonts w:ascii="Arial" w:cs="Arial" w:eastAsia="Arial" w:hAnsi="Arial"/>
                <w:sz w:val="19"/>
                <w:szCs w:val="19"/>
                <w:color w:val="auto"/>
              </w:rPr>
              <w:t>2007 Honeywell Global Employee Stock Plan (incorporated by reference to Honeywell’s Proxy Statement,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dated March 12, 2007, filed pursuant to Rule 14a-6 of the Securities Exchange Act of 1934)</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10.29*</w:t>
            </w:r>
          </w:p>
        </w:tc>
        <w:tc>
          <w:tcPr>
            <w:tcW w:w="10140" w:type="dxa"/>
            <w:vAlign w:val="bottom"/>
          </w:tcPr>
          <w:p>
            <w:pPr>
              <w:ind w:left="680"/>
              <w:spacing w:after="0"/>
              <w:rPr>
                <w:sz w:val="20"/>
                <w:szCs w:val="20"/>
                <w:color w:val="auto"/>
              </w:rPr>
            </w:pPr>
            <w:r>
              <w:rPr>
                <w:rFonts w:ascii="Arial" w:cs="Arial" w:eastAsia="Arial" w:hAnsi="Arial"/>
                <w:sz w:val="19"/>
                <w:szCs w:val="19"/>
                <w:color w:val="auto"/>
              </w:rPr>
              <w:t>Letter Agreement dated July 20, 2007 between Honeywell and Roger Fradin (incorporated by reference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Exhibit 10.1 to Honeywell’s Form 10-Q for the quarter ended September 30, 2007) and amended by Exhibit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10.36 to Honeywell’s Form 10-K for the year ended December 31, 2009</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10.30*</w:t>
            </w:r>
          </w:p>
        </w:tc>
        <w:tc>
          <w:tcPr>
            <w:tcW w:w="10140" w:type="dxa"/>
            <w:vAlign w:val="bottom"/>
          </w:tcPr>
          <w:p>
            <w:pPr>
              <w:ind w:left="680"/>
              <w:spacing w:after="0"/>
              <w:rPr>
                <w:sz w:val="20"/>
                <w:szCs w:val="20"/>
                <w:color w:val="auto"/>
              </w:rPr>
            </w:pPr>
            <w:r>
              <w:rPr>
                <w:rFonts w:ascii="Arial" w:cs="Arial" w:eastAsia="Arial" w:hAnsi="Arial"/>
                <w:sz w:val="19"/>
                <w:szCs w:val="19"/>
                <w:color w:val="auto"/>
              </w:rPr>
              <w:t>Letter Agreement dated October 6, 2010 between Honeywell and Roger Fradin (incorporated by reference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Exhibit 10.34 to Honeywell’s Form 10-K for the year ended December 31, 2010) and amended by Exhibit</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10.1 to Honeywell’s Form 10-Q for the quarter ended September 30, 2012</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10.31*</w:t>
            </w:r>
          </w:p>
        </w:tc>
        <w:tc>
          <w:tcPr>
            <w:tcW w:w="10140" w:type="dxa"/>
            <w:vAlign w:val="bottom"/>
          </w:tcPr>
          <w:p>
            <w:pPr>
              <w:ind w:left="680"/>
              <w:spacing w:after="0"/>
              <w:rPr>
                <w:sz w:val="20"/>
                <w:szCs w:val="20"/>
                <w:color w:val="auto"/>
              </w:rPr>
            </w:pPr>
            <w:r>
              <w:rPr>
                <w:rFonts w:ascii="Arial" w:cs="Arial" w:eastAsia="Arial" w:hAnsi="Arial"/>
                <w:sz w:val="19"/>
                <w:szCs w:val="19"/>
                <w:color w:val="auto"/>
              </w:rPr>
              <w:t>Employee Non-Competition Agreement dated October 26, 2010 for Andreas Kramvis (incorporated by</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reference to Exhibit 10.35 to Honeywell’s Form 10-K for the year ended December 31,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10.32*</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Restricted Unit</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Form 2 (incorporated by reference to Exhibit 10.2 to Honeywell’s Form 10-Q for the quarter</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ended June 30,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10.33*</w:t>
            </w:r>
          </w:p>
        </w:tc>
        <w:tc>
          <w:tcPr>
            <w:tcW w:w="10140" w:type="dxa"/>
            <w:vAlign w:val="bottom"/>
          </w:tcPr>
          <w:p>
            <w:pPr>
              <w:ind w:left="680"/>
              <w:spacing w:after="0"/>
              <w:rPr>
                <w:sz w:val="20"/>
                <w:szCs w:val="20"/>
                <w:color w:val="auto"/>
              </w:rPr>
            </w:pPr>
            <w:r>
              <w:rPr>
                <w:rFonts w:ascii="Arial" w:cs="Arial" w:eastAsia="Arial" w:hAnsi="Arial"/>
                <w:sz w:val="19"/>
                <w:szCs w:val="19"/>
                <w:color w:val="auto"/>
              </w:rPr>
              <w:t>2006 Stock Incentive Plan of Honeywell International Inc. and Its Affiliates—Form of Option Award</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Agreement, Form 2 (incorporated by reference to Exhibit 10.37 to Honeywell’s Form 10-K for the year</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ended December 31,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10.34*</w:t>
            </w:r>
          </w:p>
        </w:tc>
        <w:tc>
          <w:tcPr>
            <w:tcW w:w="10140" w:type="dxa"/>
            <w:vAlign w:val="bottom"/>
          </w:tcPr>
          <w:p>
            <w:pPr>
              <w:ind w:left="680"/>
              <w:spacing w:after="0"/>
              <w:rPr>
                <w:sz w:val="20"/>
                <w:szCs w:val="20"/>
                <w:color w:val="auto"/>
              </w:rPr>
            </w:pPr>
            <w:r>
              <w:rPr>
                <w:rFonts w:ascii="Arial" w:cs="Arial" w:eastAsia="Arial" w:hAnsi="Arial"/>
                <w:sz w:val="19"/>
                <w:szCs w:val="19"/>
                <w:color w:val="auto"/>
              </w:rPr>
              <w:t>Letter Agreement dated September 3, 2009 between Honeywell and Timothy Mahoney (incorporated by</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reference to Exhibit 10.38 to Honeywell’s Form 10-K for the year ended December 31,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10.35*</w:t>
            </w:r>
          </w:p>
        </w:tc>
        <w:tc>
          <w:tcPr>
            <w:tcW w:w="10140" w:type="dxa"/>
            <w:vAlign w:val="bottom"/>
          </w:tcPr>
          <w:p>
            <w:pPr>
              <w:ind w:left="680"/>
              <w:spacing w:after="0"/>
              <w:rPr>
                <w:sz w:val="20"/>
                <w:szCs w:val="20"/>
                <w:color w:val="auto"/>
              </w:rPr>
            </w:pPr>
            <w:r>
              <w:rPr>
                <w:rFonts w:ascii="Arial" w:cs="Arial" w:eastAsia="Arial" w:hAnsi="Arial"/>
                <w:sz w:val="19"/>
                <w:szCs w:val="19"/>
                <w:color w:val="auto"/>
              </w:rPr>
              <w:t>Form of Honeywell International Inc. Noncompete Agreement for Senior Executives (incorporated by</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reference to Exhibit 10.39 to Honeywell’s Form 10-K for the year ended December 31, 2010)</w:t>
            </w:r>
          </w:p>
        </w:tc>
      </w:tr>
      <w:tr>
        <w:trPr>
          <w:trHeight w:val="226"/>
        </w:trPr>
        <w:tc>
          <w:tcPr>
            <w:tcW w:w="1280" w:type="dxa"/>
            <w:vAlign w:val="bottom"/>
          </w:tcPr>
          <w:p>
            <w:pPr>
              <w:jc w:val="right"/>
              <w:ind w:right="603"/>
              <w:spacing w:after="0"/>
              <w:rPr>
                <w:sz w:val="20"/>
                <w:szCs w:val="20"/>
                <w:color w:val="auto"/>
              </w:rPr>
            </w:pPr>
            <w:r>
              <w:rPr>
                <w:rFonts w:ascii="Arial" w:cs="Arial" w:eastAsia="Arial" w:hAnsi="Arial"/>
                <w:sz w:val="19"/>
                <w:szCs w:val="19"/>
                <w:color w:val="auto"/>
              </w:rPr>
              <w:t>10.36*</w:t>
            </w:r>
          </w:p>
        </w:tc>
        <w:tc>
          <w:tcPr>
            <w:tcW w:w="10140" w:type="dxa"/>
            <w:vAlign w:val="bottom"/>
          </w:tcPr>
          <w:p>
            <w:pPr>
              <w:ind w:left="680"/>
              <w:spacing w:after="0"/>
              <w:rPr>
                <w:sz w:val="20"/>
                <w:szCs w:val="20"/>
                <w:color w:val="auto"/>
              </w:rPr>
            </w:pPr>
            <w:r>
              <w:rPr>
                <w:rFonts w:ascii="Arial" w:cs="Arial" w:eastAsia="Arial" w:hAnsi="Arial"/>
                <w:sz w:val="19"/>
                <w:szCs w:val="19"/>
                <w:color w:val="auto"/>
              </w:rPr>
              <w:t>2011 Stock Incentive Plan of Honeywell International Inc. and its Affiliates (incorporated by reference to</w:t>
            </w:r>
          </w:p>
        </w:tc>
      </w:tr>
      <w:tr>
        <w:trPr>
          <w:trHeight w:val="216"/>
        </w:trPr>
        <w:tc>
          <w:tcPr>
            <w:tcW w:w="1280" w:type="dxa"/>
            <w:vAlign w:val="bottom"/>
          </w:tcPr>
          <w:p>
            <w:pPr>
              <w:spacing w:after="0"/>
              <w:rPr>
                <w:sz w:val="18"/>
                <w:szCs w:val="18"/>
                <w:color w:val="auto"/>
              </w:rPr>
            </w:pPr>
          </w:p>
        </w:tc>
        <w:tc>
          <w:tcPr>
            <w:tcW w:w="10140" w:type="dxa"/>
            <w:vAlign w:val="bottom"/>
          </w:tcPr>
          <w:p>
            <w:pPr>
              <w:ind w:left="860"/>
              <w:spacing w:after="0" w:line="216" w:lineRule="exact"/>
              <w:rPr>
                <w:sz w:val="20"/>
                <w:szCs w:val="20"/>
                <w:color w:val="auto"/>
              </w:rPr>
            </w:pPr>
            <w:r>
              <w:rPr>
                <w:rFonts w:ascii="Arial" w:cs="Arial" w:eastAsia="Arial" w:hAnsi="Arial"/>
                <w:sz w:val="19"/>
                <w:szCs w:val="19"/>
                <w:color w:val="auto"/>
              </w:rPr>
              <w:t>Honeywell’s Proxy Statement, dated March 10, 2011, filed pursuant to Rule 14a-6 of the Securities</w:t>
            </w:r>
          </w:p>
        </w:tc>
      </w:tr>
      <w:tr>
        <w:trPr>
          <w:trHeight w:val="234"/>
        </w:trPr>
        <w:tc>
          <w:tcPr>
            <w:tcW w:w="1280" w:type="dxa"/>
            <w:vAlign w:val="bottom"/>
          </w:tcPr>
          <w:p>
            <w:pPr>
              <w:spacing w:after="0"/>
              <w:rPr>
                <w:sz w:val="20"/>
                <w:szCs w:val="20"/>
                <w:color w:val="auto"/>
              </w:rPr>
            </w:pPr>
          </w:p>
        </w:tc>
        <w:tc>
          <w:tcPr>
            <w:tcW w:w="10140" w:type="dxa"/>
            <w:vAlign w:val="bottom"/>
          </w:tcPr>
          <w:p>
            <w:pPr>
              <w:ind w:left="860"/>
              <w:spacing w:after="0"/>
              <w:rPr>
                <w:sz w:val="20"/>
                <w:szCs w:val="20"/>
                <w:color w:val="auto"/>
              </w:rPr>
            </w:pPr>
            <w:r>
              <w:rPr>
                <w:rFonts w:ascii="Arial" w:cs="Arial" w:eastAsia="Arial" w:hAnsi="Arial"/>
                <w:sz w:val="19"/>
                <w:szCs w:val="19"/>
                <w:color w:val="auto"/>
              </w:rPr>
              <w:t>Exchange Act of 1934), and amended by the attached amendment (filed herewith)</w:t>
            </w:r>
          </w:p>
        </w:tc>
      </w:tr>
      <w:tr>
        <w:trPr>
          <w:trHeight w:val="446"/>
        </w:trPr>
        <w:tc>
          <w:tcPr>
            <w:tcW w:w="1280" w:type="dxa"/>
            <w:vAlign w:val="bottom"/>
          </w:tcPr>
          <w:p>
            <w:pPr>
              <w:spacing w:after="0"/>
              <w:rPr>
                <w:sz w:val="24"/>
                <w:szCs w:val="24"/>
                <w:color w:val="auto"/>
              </w:rPr>
            </w:pPr>
          </w:p>
        </w:tc>
        <w:tc>
          <w:tcPr>
            <w:tcW w:w="10140" w:type="dxa"/>
            <w:vAlign w:val="bottom"/>
          </w:tcPr>
          <w:p>
            <w:pPr>
              <w:ind w:left="4280"/>
              <w:spacing w:after="0"/>
              <w:rPr>
                <w:sz w:val="20"/>
                <w:szCs w:val="20"/>
                <w:color w:val="auto"/>
              </w:rPr>
            </w:pPr>
            <w:r>
              <w:rPr>
                <w:rFonts w:ascii="Arial" w:cs="Arial" w:eastAsia="Arial" w:hAnsi="Arial"/>
                <w:sz w:val="19"/>
                <w:szCs w:val="19"/>
                <w:color w:val="auto"/>
              </w:rPr>
              <w:t>127</w:t>
            </w:r>
          </w:p>
        </w:tc>
      </w:tr>
      <w:tr>
        <w:trPr>
          <w:trHeight w:val="209"/>
        </w:trPr>
        <w:tc>
          <w:tcPr>
            <w:tcW w:w="1280" w:type="dxa"/>
            <w:vAlign w:val="bottom"/>
            <w:tcBorders>
              <w:bottom w:val="single" w:sz="8" w:color="auto"/>
            </w:tcBorders>
          </w:tcPr>
          <w:p>
            <w:pPr>
              <w:spacing w:after="0"/>
              <w:rPr>
                <w:sz w:val="18"/>
                <w:szCs w:val="18"/>
                <w:color w:val="auto"/>
              </w:rPr>
            </w:pPr>
          </w:p>
        </w:tc>
        <w:tc>
          <w:tcPr>
            <w:tcW w:w="101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31" w:name="page132"/>
    <w:bookmarkEnd w:id="131"/>
    <w:p>
      <w:pPr>
        <w:ind w:left="20"/>
        <w:spacing w:after="0"/>
        <w:tabs>
          <w:tab w:leader="none" w:pos="6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ind w:left="20"/>
              <w:spacing w:after="0"/>
              <w:rPr>
                <w:sz w:val="20"/>
                <w:szCs w:val="20"/>
                <w:color w:val="auto"/>
              </w:rPr>
            </w:pPr>
            <w:r>
              <w:rPr>
                <w:rFonts w:ascii="Arial" w:cs="Arial" w:eastAsia="Arial" w:hAnsi="Arial"/>
                <w:sz w:val="19"/>
                <w:szCs w:val="19"/>
                <w:color w:val="auto"/>
              </w:rPr>
              <w:t>10.37*</w:t>
            </w:r>
          </w:p>
        </w:tc>
        <w:tc>
          <w:tcPr>
            <w:tcW w:w="10040" w:type="dxa"/>
            <w:vAlign w:val="bottom"/>
          </w:tcPr>
          <w:p>
            <w:pPr>
              <w:ind w:left="580"/>
              <w:spacing w:after="0"/>
              <w:rPr>
                <w:sz w:val="20"/>
                <w:szCs w:val="20"/>
                <w:color w:val="auto"/>
              </w:rPr>
            </w:pPr>
            <w:r>
              <w:rPr>
                <w:rFonts w:ascii="Arial" w:cs="Arial" w:eastAsia="Arial" w:hAnsi="Arial"/>
                <w:sz w:val="19"/>
                <w:szCs w:val="19"/>
                <w:color w:val="auto"/>
              </w:rPr>
              <w:t>2011 Stock Incentive Plan of Honeywell International Inc. and its Affiliates—Form of Restricted Unit</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Agreement (incorporated by reference to Exhibit 10.2 to Honeywell’s Form 10-Q for the quarter ended June</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30, 2012)</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10.38*</w:t>
            </w:r>
          </w:p>
        </w:tc>
        <w:tc>
          <w:tcPr>
            <w:tcW w:w="10040" w:type="dxa"/>
            <w:vAlign w:val="bottom"/>
          </w:tcPr>
          <w:p>
            <w:pPr>
              <w:ind w:left="580"/>
              <w:spacing w:after="0"/>
              <w:rPr>
                <w:sz w:val="20"/>
                <w:szCs w:val="20"/>
                <w:color w:val="auto"/>
              </w:rPr>
            </w:pPr>
            <w:r>
              <w:rPr>
                <w:rFonts w:ascii="Arial" w:cs="Arial" w:eastAsia="Arial" w:hAnsi="Arial"/>
                <w:sz w:val="19"/>
                <w:szCs w:val="19"/>
                <w:color w:val="auto"/>
              </w:rPr>
              <w:t>2011 Stock Incentive Plan of Honeywell International Inc. and its Affiliates—Form of Restricted Unit</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Agreement, Form 2 (incorporated by reference to Exhibit 10.3 to Honeywell’s Form 10-Q for the quarter</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ended June 30, 2012)</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10.39*</w:t>
            </w:r>
          </w:p>
        </w:tc>
        <w:tc>
          <w:tcPr>
            <w:tcW w:w="10040" w:type="dxa"/>
            <w:vAlign w:val="bottom"/>
          </w:tcPr>
          <w:p>
            <w:pPr>
              <w:ind w:left="580"/>
              <w:spacing w:after="0"/>
              <w:rPr>
                <w:sz w:val="20"/>
                <w:szCs w:val="20"/>
                <w:color w:val="auto"/>
              </w:rPr>
            </w:pPr>
            <w:r>
              <w:rPr>
                <w:rFonts w:ascii="Arial" w:cs="Arial" w:eastAsia="Arial" w:hAnsi="Arial"/>
                <w:sz w:val="19"/>
                <w:szCs w:val="19"/>
                <w:color w:val="auto"/>
              </w:rPr>
              <w:t>2011 Stock Incentive Plan of Honeywell International Inc. and Its Affiliates—Form of Option Award Agreement</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(incorporated by reference to Exhibit 10.42 to Honeywell’s Form 10-K for the year ended December 31,</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2011)</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10.40*</w:t>
            </w:r>
          </w:p>
        </w:tc>
        <w:tc>
          <w:tcPr>
            <w:tcW w:w="10040" w:type="dxa"/>
            <w:vAlign w:val="bottom"/>
          </w:tcPr>
          <w:p>
            <w:pPr>
              <w:ind w:left="580"/>
              <w:spacing w:after="0"/>
              <w:rPr>
                <w:sz w:val="20"/>
                <w:szCs w:val="20"/>
                <w:color w:val="auto"/>
              </w:rPr>
            </w:pPr>
            <w:r>
              <w:rPr>
                <w:rFonts w:ascii="Arial" w:cs="Arial" w:eastAsia="Arial" w:hAnsi="Arial"/>
                <w:sz w:val="19"/>
                <w:szCs w:val="19"/>
                <w:color w:val="auto"/>
              </w:rPr>
              <w:t>2011 Stock Incentive Plan of Honeywell International Inc. and Its Affiliates—Form of Growth Plan Agreement</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(incorporated by reference to Exhibit 10.2 to Honeywell’s Form 10-Q for the quarter ended March 31, 2012)</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10.41*</w:t>
            </w:r>
          </w:p>
        </w:tc>
        <w:tc>
          <w:tcPr>
            <w:tcW w:w="10040" w:type="dxa"/>
            <w:vAlign w:val="bottom"/>
          </w:tcPr>
          <w:p>
            <w:pPr>
              <w:ind w:left="580"/>
              <w:spacing w:after="0"/>
              <w:rPr>
                <w:sz w:val="20"/>
                <w:szCs w:val="20"/>
                <w:color w:val="auto"/>
              </w:rPr>
            </w:pPr>
            <w:r>
              <w:rPr>
                <w:rFonts w:ascii="Arial" w:cs="Arial" w:eastAsia="Arial" w:hAnsi="Arial"/>
                <w:sz w:val="19"/>
                <w:szCs w:val="19"/>
                <w:color w:val="auto"/>
              </w:rPr>
              <w:t>Letter Agreement dated August 4, 2011 between Honeywell International Inc. and David M. Cote</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(incorporated by reference to Exhibit 10.1 to Honeywell’s Form 10-Q for the quarter ended September 30,</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2011)</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10.42</w:t>
            </w:r>
          </w:p>
        </w:tc>
        <w:tc>
          <w:tcPr>
            <w:tcW w:w="10040" w:type="dxa"/>
            <w:vAlign w:val="bottom"/>
          </w:tcPr>
          <w:p>
            <w:pPr>
              <w:ind w:left="580"/>
              <w:spacing w:after="0"/>
              <w:rPr>
                <w:sz w:val="20"/>
                <w:szCs w:val="20"/>
                <w:color w:val="auto"/>
              </w:rPr>
            </w:pPr>
            <w:r>
              <w:rPr>
                <w:rFonts w:ascii="Arial" w:cs="Arial" w:eastAsia="Arial" w:hAnsi="Arial"/>
                <w:sz w:val="19"/>
                <w:szCs w:val="19"/>
                <w:color w:val="auto"/>
              </w:rPr>
              <w:t>Amended and Restated Five Year Credit Agreement dated as of April 2, 2012 by and among Honeywell</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International Inc., the banks, financial institutions and other institutional lenders parties thereto, Citibank,</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N.A., as administrative agent, Citibank International PLC, as swing line agent, JPMorgan Chase Bank, N.A.,</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as syndication agent, Bank of America, N.A., Barclays Bank PLC, Deutsche Bank Securities Inc., Goldman</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Sachs Bank USA, Morgan Stanley MUFG Loan Partners, LLC and The Royal Bank of Scotland PLC, as</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documentation agents, and Citigroup Global Markets Inc., and J.P. Morgan Securities LLC, as joint lead</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arrangers and co-book managers (incorporated by reference to Exhibit 10.1 to Honeywell’s Form 8-K filed</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April 5, 2012)</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10.43</w:t>
            </w:r>
          </w:p>
        </w:tc>
        <w:tc>
          <w:tcPr>
            <w:tcW w:w="10040" w:type="dxa"/>
            <w:vAlign w:val="bottom"/>
          </w:tcPr>
          <w:p>
            <w:pPr>
              <w:ind w:left="580"/>
              <w:spacing w:after="0"/>
              <w:rPr>
                <w:sz w:val="20"/>
                <w:szCs w:val="20"/>
                <w:color w:val="auto"/>
              </w:rPr>
            </w:pPr>
            <w:r>
              <w:rPr>
                <w:rFonts w:ascii="Arial" w:cs="Arial" w:eastAsia="Arial" w:hAnsi="Arial"/>
                <w:sz w:val="19"/>
                <w:szCs w:val="19"/>
                <w:color w:val="auto"/>
              </w:rPr>
              <w:t>Stock and Asset Purchase Agreement dated June 9, 2008, by and between Honeywell International Inc. and</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BE Aerospace, Inc. (incorporated by reference to Exhibit 10.1 to Honeywell’s Form 8-K filed June 11, 2008)</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10.44</w:t>
            </w:r>
          </w:p>
        </w:tc>
        <w:tc>
          <w:tcPr>
            <w:tcW w:w="10040" w:type="dxa"/>
            <w:vAlign w:val="bottom"/>
          </w:tcPr>
          <w:p>
            <w:pPr>
              <w:ind w:left="580"/>
              <w:spacing w:after="0"/>
              <w:rPr>
                <w:sz w:val="20"/>
                <w:szCs w:val="20"/>
                <w:color w:val="auto"/>
              </w:rPr>
            </w:pPr>
            <w:r>
              <w:rPr>
                <w:rFonts w:ascii="Arial" w:cs="Arial" w:eastAsia="Arial" w:hAnsi="Arial"/>
                <w:sz w:val="19"/>
                <w:szCs w:val="19"/>
                <w:color w:val="auto"/>
              </w:rPr>
              <w:t>Tender Offer Agreement dated May 19, 2010 by and among Sperian Protection S.A., Honeywell International</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Inc. and Honeywell Holding France SAS (incorporated by reference to Exhibit 10.1 to Honeywell’s Form 10-</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Q for the quarter ended June 30, 2010)</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10.45</w:t>
            </w:r>
          </w:p>
        </w:tc>
        <w:tc>
          <w:tcPr>
            <w:tcW w:w="10040" w:type="dxa"/>
            <w:vAlign w:val="bottom"/>
          </w:tcPr>
          <w:p>
            <w:pPr>
              <w:ind w:left="580"/>
              <w:spacing w:after="0"/>
              <w:rPr>
                <w:sz w:val="20"/>
                <w:szCs w:val="20"/>
                <w:color w:val="auto"/>
              </w:rPr>
            </w:pPr>
            <w:r>
              <w:rPr>
                <w:rFonts w:ascii="Arial" w:cs="Arial" w:eastAsia="Arial" w:hAnsi="Arial"/>
                <w:sz w:val="19"/>
                <w:szCs w:val="19"/>
                <w:color w:val="auto"/>
              </w:rPr>
              <w:t>Stock and Asset Purchase Agreement dated January 27, 2011 by and among Honeywell International Inc.,</w:t>
            </w:r>
          </w:p>
        </w:tc>
      </w:tr>
      <w:tr>
        <w:trPr>
          <w:trHeight w:val="216"/>
        </w:trPr>
        <w:tc>
          <w:tcPr>
            <w:tcW w:w="1380" w:type="dxa"/>
            <w:vAlign w:val="bottom"/>
          </w:tcPr>
          <w:p>
            <w:pPr>
              <w:spacing w:after="0"/>
              <w:rPr>
                <w:sz w:val="18"/>
                <w:szCs w:val="18"/>
                <w:color w:val="auto"/>
              </w:rPr>
            </w:pPr>
          </w:p>
        </w:tc>
        <w:tc>
          <w:tcPr>
            <w:tcW w:w="10040" w:type="dxa"/>
            <w:vAlign w:val="bottom"/>
          </w:tcPr>
          <w:p>
            <w:pPr>
              <w:ind w:left="760"/>
              <w:spacing w:after="0" w:line="216" w:lineRule="exact"/>
              <w:rPr>
                <w:sz w:val="20"/>
                <w:szCs w:val="20"/>
                <w:color w:val="auto"/>
              </w:rPr>
            </w:pPr>
            <w:r>
              <w:rPr>
                <w:rFonts w:ascii="Arial" w:cs="Arial" w:eastAsia="Arial" w:hAnsi="Arial"/>
                <w:sz w:val="19"/>
                <w:szCs w:val="19"/>
                <w:color w:val="auto"/>
              </w:rPr>
              <w:t>Rank Group Limited and Autoparts Holdings Limited, (incorporated by reference to Exhibit 10.1 to</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Honeywell’s Form 8-K filed January 31, 2011)</w:t>
            </w:r>
          </w:p>
        </w:tc>
      </w:tr>
      <w:tr>
        <w:trPr>
          <w:trHeight w:val="243"/>
        </w:trPr>
        <w:tc>
          <w:tcPr>
            <w:tcW w:w="1380" w:type="dxa"/>
            <w:vAlign w:val="bottom"/>
          </w:tcPr>
          <w:p>
            <w:pPr>
              <w:ind w:left="20"/>
              <w:spacing w:after="0"/>
              <w:rPr>
                <w:sz w:val="20"/>
                <w:szCs w:val="20"/>
                <w:color w:val="auto"/>
              </w:rPr>
            </w:pPr>
            <w:r>
              <w:rPr>
                <w:rFonts w:ascii="Arial" w:cs="Arial" w:eastAsia="Arial" w:hAnsi="Arial"/>
                <w:sz w:val="19"/>
                <w:szCs w:val="19"/>
                <w:color w:val="auto"/>
              </w:rPr>
              <w:t>12</w:t>
            </w:r>
          </w:p>
        </w:tc>
        <w:tc>
          <w:tcPr>
            <w:tcW w:w="10040" w:type="dxa"/>
            <w:vAlign w:val="bottom"/>
          </w:tcPr>
          <w:p>
            <w:pPr>
              <w:ind w:left="580"/>
              <w:spacing w:after="0"/>
              <w:rPr>
                <w:sz w:val="20"/>
                <w:szCs w:val="20"/>
                <w:color w:val="auto"/>
              </w:rPr>
            </w:pPr>
            <w:r>
              <w:rPr>
                <w:rFonts w:ascii="Arial" w:cs="Arial" w:eastAsia="Arial" w:hAnsi="Arial"/>
                <w:sz w:val="19"/>
                <w:szCs w:val="19"/>
                <w:color w:val="auto"/>
              </w:rPr>
              <w:t>Statement re: Computation of Ratio of Earnings to Fixed Charges (filed herewith)</w:t>
            </w:r>
          </w:p>
        </w:tc>
      </w:tr>
      <w:tr>
        <w:trPr>
          <w:trHeight w:val="270"/>
        </w:trPr>
        <w:tc>
          <w:tcPr>
            <w:tcW w:w="1380" w:type="dxa"/>
            <w:vAlign w:val="bottom"/>
          </w:tcPr>
          <w:p>
            <w:pPr>
              <w:ind w:left="20"/>
              <w:spacing w:after="0"/>
              <w:rPr>
                <w:sz w:val="20"/>
                <w:szCs w:val="20"/>
                <w:color w:val="auto"/>
              </w:rPr>
            </w:pPr>
            <w:r>
              <w:rPr>
                <w:rFonts w:ascii="Arial" w:cs="Arial" w:eastAsia="Arial" w:hAnsi="Arial"/>
                <w:sz w:val="19"/>
                <w:szCs w:val="19"/>
                <w:color w:val="auto"/>
              </w:rPr>
              <w:t>21</w:t>
            </w:r>
          </w:p>
        </w:tc>
        <w:tc>
          <w:tcPr>
            <w:tcW w:w="10040" w:type="dxa"/>
            <w:vAlign w:val="bottom"/>
          </w:tcPr>
          <w:p>
            <w:pPr>
              <w:ind w:left="580"/>
              <w:spacing w:after="0"/>
              <w:rPr>
                <w:sz w:val="20"/>
                <w:szCs w:val="20"/>
                <w:color w:val="auto"/>
              </w:rPr>
            </w:pPr>
            <w:r>
              <w:rPr>
                <w:rFonts w:ascii="Arial" w:cs="Arial" w:eastAsia="Arial" w:hAnsi="Arial"/>
                <w:sz w:val="19"/>
                <w:szCs w:val="19"/>
                <w:color w:val="auto"/>
              </w:rPr>
              <w:t>Subsidiaries of the Registrant (filed herewith)</w:t>
            </w:r>
          </w:p>
        </w:tc>
      </w:tr>
      <w:tr>
        <w:trPr>
          <w:trHeight w:val="270"/>
        </w:trPr>
        <w:tc>
          <w:tcPr>
            <w:tcW w:w="1380" w:type="dxa"/>
            <w:vAlign w:val="bottom"/>
          </w:tcPr>
          <w:p>
            <w:pPr>
              <w:ind w:left="20"/>
              <w:spacing w:after="0"/>
              <w:rPr>
                <w:sz w:val="20"/>
                <w:szCs w:val="20"/>
                <w:color w:val="auto"/>
              </w:rPr>
            </w:pPr>
            <w:r>
              <w:rPr>
                <w:rFonts w:ascii="Arial" w:cs="Arial" w:eastAsia="Arial" w:hAnsi="Arial"/>
                <w:sz w:val="19"/>
                <w:szCs w:val="19"/>
                <w:color w:val="auto"/>
              </w:rPr>
              <w:t>23</w:t>
            </w:r>
          </w:p>
        </w:tc>
        <w:tc>
          <w:tcPr>
            <w:tcW w:w="10040" w:type="dxa"/>
            <w:vAlign w:val="bottom"/>
          </w:tcPr>
          <w:p>
            <w:pPr>
              <w:ind w:left="580"/>
              <w:spacing w:after="0"/>
              <w:rPr>
                <w:sz w:val="20"/>
                <w:szCs w:val="20"/>
                <w:color w:val="auto"/>
              </w:rPr>
            </w:pPr>
            <w:r>
              <w:rPr>
                <w:rFonts w:ascii="Arial" w:cs="Arial" w:eastAsia="Arial" w:hAnsi="Arial"/>
                <w:sz w:val="19"/>
                <w:szCs w:val="19"/>
                <w:color w:val="auto"/>
              </w:rPr>
              <w:t>Consent of PricewaterhouseCoopers LLP (filed herewith)</w:t>
            </w:r>
          </w:p>
        </w:tc>
      </w:tr>
      <w:tr>
        <w:trPr>
          <w:trHeight w:val="270"/>
        </w:trPr>
        <w:tc>
          <w:tcPr>
            <w:tcW w:w="1380" w:type="dxa"/>
            <w:vAlign w:val="bottom"/>
          </w:tcPr>
          <w:p>
            <w:pPr>
              <w:ind w:left="20"/>
              <w:spacing w:after="0"/>
              <w:rPr>
                <w:sz w:val="20"/>
                <w:szCs w:val="20"/>
                <w:color w:val="auto"/>
              </w:rPr>
            </w:pPr>
            <w:r>
              <w:rPr>
                <w:rFonts w:ascii="Arial" w:cs="Arial" w:eastAsia="Arial" w:hAnsi="Arial"/>
                <w:sz w:val="19"/>
                <w:szCs w:val="19"/>
                <w:color w:val="auto"/>
              </w:rPr>
              <w:t>24</w:t>
            </w:r>
          </w:p>
        </w:tc>
        <w:tc>
          <w:tcPr>
            <w:tcW w:w="10040" w:type="dxa"/>
            <w:vAlign w:val="bottom"/>
          </w:tcPr>
          <w:p>
            <w:pPr>
              <w:ind w:left="580"/>
              <w:spacing w:after="0"/>
              <w:rPr>
                <w:sz w:val="20"/>
                <w:szCs w:val="20"/>
                <w:color w:val="auto"/>
              </w:rPr>
            </w:pPr>
            <w:r>
              <w:rPr>
                <w:rFonts w:ascii="Arial" w:cs="Arial" w:eastAsia="Arial" w:hAnsi="Arial"/>
                <w:sz w:val="19"/>
                <w:szCs w:val="19"/>
                <w:color w:val="auto"/>
              </w:rPr>
              <w:t>Powers of Attorney (filed herewith)</w:t>
            </w:r>
          </w:p>
        </w:tc>
      </w:tr>
      <w:tr>
        <w:trPr>
          <w:trHeight w:val="253"/>
        </w:trPr>
        <w:tc>
          <w:tcPr>
            <w:tcW w:w="1380" w:type="dxa"/>
            <w:vAlign w:val="bottom"/>
          </w:tcPr>
          <w:p>
            <w:pPr>
              <w:ind w:left="20"/>
              <w:spacing w:after="0"/>
              <w:rPr>
                <w:sz w:val="20"/>
                <w:szCs w:val="20"/>
                <w:color w:val="auto"/>
              </w:rPr>
            </w:pPr>
            <w:r>
              <w:rPr>
                <w:rFonts w:ascii="Arial" w:cs="Arial" w:eastAsia="Arial" w:hAnsi="Arial"/>
                <w:sz w:val="19"/>
                <w:szCs w:val="19"/>
                <w:color w:val="auto"/>
              </w:rPr>
              <w:t>31.1</w:t>
            </w:r>
          </w:p>
        </w:tc>
        <w:tc>
          <w:tcPr>
            <w:tcW w:w="10040" w:type="dxa"/>
            <w:vAlign w:val="bottom"/>
          </w:tcPr>
          <w:p>
            <w:pPr>
              <w:ind w:left="580"/>
              <w:spacing w:after="0"/>
              <w:rPr>
                <w:sz w:val="20"/>
                <w:szCs w:val="20"/>
                <w:color w:val="auto"/>
              </w:rPr>
            </w:pPr>
            <w:r>
              <w:rPr>
                <w:rFonts w:ascii="Arial" w:cs="Arial" w:eastAsia="Arial" w:hAnsi="Arial"/>
                <w:sz w:val="19"/>
                <w:szCs w:val="19"/>
                <w:color w:val="auto"/>
              </w:rPr>
              <w:t>Certification of Principal Executive Officer Pursuant to Section 302 of the Sarbanes-Oxley Act of 2002 (filed</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herewith)</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31.2</w:t>
            </w:r>
          </w:p>
        </w:tc>
        <w:tc>
          <w:tcPr>
            <w:tcW w:w="10040" w:type="dxa"/>
            <w:vAlign w:val="bottom"/>
          </w:tcPr>
          <w:p>
            <w:pPr>
              <w:ind w:left="580"/>
              <w:spacing w:after="0"/>
              <w:rPr>
                <w:sz w:val="20"/>
                <w:szCs w:val="20"/>
                <w:color w:val="auto"/>
              </w:rPr>
            </w:pPr>
            <w:r>
              <w:rPr>
                <w:rFonts w:ascii="Arial" w:cs="Arial" w:eastAsia="Arial" w:hAnsi="Arial"/>
                <w:sz w:val="19"/>
                <w:szCs w:val="19"/>
                <w:color w:val="auto"/>
              </w:rPr>
              <w:t>Certification of Principal Financial Officer Pursuant to Section 302 of the Sarbanes-Oxley Act of 2002 (filed</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herewith)</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32.1</w:t>
            </w:r>
          </w:p>
        </w:tc>
        <w:tc>
          <w:tcPr>
            <w:tcW w:w="10040" w:type="dxa"/>
            <w:vAlign w:val="bottom"/>
          </w:tcPr>
          <w:p>
            <w:pPr>
              <w:ind w:left="580"/>
              <w:spacing w:after="0"/>
              <w:rPr>
                <w:sz w:val="20"/>
                <w:szCs w:val="20"/>
                <w:color w:val="auto"/>
              </w:rPr>
            </w:pPr>
            <w:r>
              <w:rPr>
                <w:rFonts w:ascii="Arial" w:cs="Arial" w:eastAsia="Arial" w:hAnsi="Arial"/>
                <w:sz w:val="19"/>
                <w:szCs w:val="19"/>
                <w:color w:val="auto"/>
              </w:rPr>
              <w:t>Certification of Principal Executive Officer Pursuant to 18 U.S.C. Section 1350, as Adopted Pursuant to</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Section 906 of the Sarbanes-Oxley Act of 2002 (filed herewith)</w:t>
            </w:r>
          </w:p>
        </w:tc>
      </w:tr>
      <w:tr>
        <w:trPr>
          <w:trHeight w:val="226"/>
        </w:trPr>
        <w:tc>
          <w:tcPr>
            <w:tcW w:w="1380" w:type="dxa"/>
            <w:vAlign w:val="bottom"/>
          </w:tcPr>
          <w:p>
            <w:pPr>
              <w:ind w:left="20"/>
              <w:spacing w:after="0"/>
              <w:rPr>
                <w:sz w:val="20"/>
                <w:szCs w:val="20"/>
                <w:color w:val="auto"/>
              </w:rPr>
            </w:pPr>
            <w:r>
              <w:rPr>
                <w:rFonts w:ascii="Arial" w:cs="Arial" w:eastAsia="Arial" w:hAnsi="Arial"/>
                <w:sz w:val="19"/>
                <w:szCs w:val="19"/>
                <w:color w:val="auto"/>
              </w:rPr>
              <w:t>32.2</w:t>
            </w:r>
          </w:p>
        </w:tc>
        <w:tc>
          <w:tcPr>
            <w:tcW w:w="10040" w:type="dxa"/>
            <w:vAlign w:val="bottom"/>
          </w:tcPr>
          <w:p>
            <w:pPr>
              <w:ind w:left="580"/>
              <w:spacing w:after="0"/>
              <w:rPr>
                <w:sz w:val="20"/>
                <w:szCs w:val="20"/>
                <w:color w:val="auto"/>
              </w:rPr>
            </w:pPr>
            <w:r>
              <w:rPr>
                <w:rFonts w:ascii="Arial" w:cs="Arial" w:eastAsia="Arial" w:hAnsi="Arial"/>
                <w:sz w:val="19"/>
                <w:szCs w:val="19"/>
                <w:color w:val="auto"/>
              </w:rPr>
              <w:t>Certification of Principal Financial Officer Pursuant to 18 U.S.C. Section 1350, as Adopted Pursuant to</w:t>
            </w:r>
          </w:p>
        </w:tc>
      </w:tr>
      <w:tr>
        <w:trPr>
          <w:trHeight w:val="234"/>
        </w:trPr>
        <w:tc>
          <w:tcPr>
            <w:tcW w:w="1380" w:type="dxa"/>
            <w:vAlign w:val="bottom"/>
          </w:tcPr>
          <w:p>
            <w:pPr>
              <w:spacing w:after="0"/>
              <w:rPr>
                <w:sz w:val="20"/>
                <w:szCs w:val="20"/>
                <w:color w:val="auto"/>
              </w:rPr>
            </w:pPr>
          </w:p>
        </w:tc>
        <w:tc>
          <w:tcPr>
            <w:tcW w:w="10040" w:type="dxa"/>
            <w:vAlign w:val="bottom"/>
          </w:tcPr>
          <w:p>
            <w:pPr>
              <w:ind w:left="760"/>
              <w:spacing w:after="0"/>
              <w:rPr>
                <w:sz w:val="20"/>
                <w:szCs w:val="20"/>
                <w:color w:val="auto"/>
              </w:rPr>
            </w:pPr>
            <w:r>
              <w:rPr>
                <w:rFonts w:ascii="Arial" w:cs="Arial" w:eastAsia="Arial" w:hAnsi="Arial"/>
                <w:sz w:val="19"/>
                <w:szCs w:val="19"/>
                <w:color w:val="auto"/>
              </w:rPr>
              <w:t>Section 906 of the Sarbanes-Oxley Act of 2002 (filed herewith)</w:t>
            </w:r>
          </w:p>
        </w:tc>
      </w:tr>
      <w:tr>
        <w:trPr>
          <w:trHeight w:val="243"/>
        </w:trPr>
        <w:tc>
          <w:tcPr>
            <w:tcW w:w="1380" w:type="dxa"/>
            <w:vAlign w:val="bottom"/>
          </w:tcPr>
          <w:p>
            <w:pPr>
              <w:ind w:left="20"/>
              <w:spacing w:after="0"/>
              <w:rPr>
                <w:sz w:val="20"/>
                <w:szCs w:val="20"/>
                <w:color w:val="auto"/>
              </w:rPr>
            </w:pPr>
            <w:r>
              <w:rPr>
                <w:rFonts w:ascii="Arial" w:cs="Arial" w:eastAsia="Arial" w:hAnsi="Arial"/>
                <w:sz w:val="19"/>
                <w:szCs w:val="19"/>
                <w:color w:val="auto"/>
              </w:rPr>
              <w:t>101.INS</w:t>
            </w:r>
          </w:p>
        </w:tc>
        <w:tc>
          <w:tcPr>
            <w:tcW w:w="10040" w:type="dxa"/>
            <w:vAlign w:val="bottom"/>
          </w:tcPr>
          <w:p>
            <w:pPr>
              <w:ind w:left="580"/>
              <w:spacing w:after="0"/>
              <w:rPr>
                <w:sz w:val="20"/>
                <w:szCs w:val="20"/>
                <w:color w:val="auto"/>
              </w:rPr>
            </w:pPr>
            <w:r>
              <w:rPr>
                <w:rFonts w:ascii="Arial" w:cs="Arial" w:eastAsia="Arial" w:hAnsi="Arial"/>
                <w:sz w:val="19"/>
                <w:szCs w:val="19"/>
                <w:color w:val="auto"/>
              </w:rPr>
              <w:t>XBRL Instance Document (filed herewith)</w:t>
            </w:r>
          </w:p>
        </w:tc>
      </w:tr>
      <w:tr>
        <w:trPr>
          <w:trHeight w:val="270"/>
        </w:trPr>
        <w:tc>
          <w:tcPr>
            <w:tcW w:w="1380" w:type="dxa"/>
            <w:vAlign w:val="bottom"/>
          </w:tcPr>
          <w:p>
            <w:pPr>
              <w:ind w:left="20"/>
              <w:spacing w:after="0"/>
              <w:rPr>
                <w:sz w:val="20"/>
                <w:szCs w:val="20"/>
                <w:color w:val="auto"/>
              </w:rPr>
            </w:pPr>
            <w:r>
              <w:rPr>
                <w:rFonts w:ascii="Arial" w:cs="Arial" w:eastAsia="Arial" w:hAnsi="Arial"/>
                <w:sz w:val="19"/>
                <w:szCs w:val="19"/>
                <w:color w:val="auto"/>
              </w:rPr>
              <w:t>101.SCH</w:t>
            </w:r>
          </w:p>
        </w:tc>
        <w:tc>
          <w:tcPr>
            <w:tcW w:w="10040" w:type="dxa"/>
            <w:vAlign w:val="bottom"/>
          </w:tcPr>
          <w:p>
            <w:pPr>
              <w:ind w:left="580"/>
              <w:spacing w:after="0"/>
              <w:rPr>
                <w:sz w:val="20"/>
                <w:szCs w:val="20"/>
                <w:color w:val="auto"/>
              </w:rPr>
            </w:pPr>
            <w:r>
              <w:rPr>
                <w:rFonts w:ascii="Arial" w:cs="Arial" w:eastAsia="Arial" w:hAnsi="Arial"/>
                <w:sz w:val="19"/>
                <w:szCs w:val="19"/>
                <w:color w:val="auto"/>
              </w:rPr>
              <w:t>XBRL Taxonomy Extension Schema (filed herewith)</w:t>
            </w:r>
          </w:p>
        </w:tc>
      </w:tr>
      <w:tr>
        <w:trPr>
          <w:trHeight w:val="473"/>
        </w:trPr>
        <w:tc>
          <w:tcPr>
            <w:tcW w:w="1380" w:type="dxa"/>
            <w:vAlign w:val="bottom"/>
          </w:tcPr>
          <w:p>
            <w:pPr>
              <w:spacing w:after="0"/>
              <w:rPr>
                <w:sz w:val="24"/>
                <w:szCs w:val="24"/>
                <w:color w:val="auto"/>
              </w:rPr>
            </w:pPr>
          </w:p>
        </w:tc>
        <w:tc>
          <w:tcPr>
            <w:tcW w:w="10040" w:type="dxa"/>
            <w:vAlign w:val="bottom"/>
          </w:tcPr>
          <w:p>
            <w:pPr>
              <w:ind w:left="4180"/>
              <w:spacing w:after="0"/>
              <w:rPr>
                <w:sz w:val="20"/>
                <w:szCs w:val="20"/>
                <w:color w:val="auto"/>
              </w:rPr>
            </w:pPr>
            <w:r>
              <w:rPr>
                <w:rFonts w:ascii="Arial" w:cs="Arial" w:eastAsia="Arial" w:hAnsi="Arial"/>
                <w:sz w:val="19"/>
                <w:szCs w:val="19"/>
                <w:color w:val="auto"/>
              </w:rPr>
              <w:t>128</w:t>
            </w:r>
          </w:p>
        </w:tc>
      </w:tr>
      <w:tr>
        <w:trPr>
          <w:trHeight w:val="209"/>
        </w:trPr>
        <w:tc>
          <w:tcPr>
            <w:tcW w:w="1380" w:type="dxa"/>
            <w:vAlign w:val="bottom"/>
            <w:tcBorders>
              <w:bottom w:val="single" w:sz="8" w:color="auto"/>
            </w:tcBorders>
          </w:tcPr>
          <w:p>
            <w:pPr>
              <w:spacing w:after="0"/>
              <w:rPr>
                <w:sz w:val="18"/>
                <w:szCs w:val="18"/>
                <w:color w:val="auto"/>
              </w:rPr>
            </w:pPr>
          </w:p>
        </w:tc>
        <w:tc>
          <w:tcPr>
            <w:tcW w:w="100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4"/>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ind w:left="4860"/>
              <w:spacing w:after="0"/>
              <w:rPr>
                <w:sz w:val="20"/>
                <w:szCs w:val="20"/>
                <w:color w:val="auto"/>
              </w:rPr>
            </w:pPr>
            <w:r>
              <w:rPr>
                <w:rFonts w:ascii="Arial" w:cs="Arial" w:eastAsia="Arial" w:hAnsi="Arial"/>
                <w:sz w:val="16"/>
                <w:szCs w:val="16"/>
                <w:b w:val="1"/>
                <w:bCs w:val="1"/>
                <w:color w:val="auto"/>
              </w:rPr>
              <w:t>Description</w:t>
            </w:r>
          </w:p>
        </w:tc>
      </w:tr>
      <w:tr>
        <w:trPr>
          <w:trHeight w:val="281"/>
        </w:trPr>
        <w:tc>
          <w:tcPr>
            <w:tcW w:w="1400" w:type="dxa"/>
            <w:vAlign w:val="bottom"/>
          </w:tcPr>
          <w:p>
            <w:pPr>
              <w:ind w:left="20"/>
              <w:spacing w:after="0"/>
              <w:rPr>
                <w:sz w:val="20"/>
                <w:szCs w:val="20"/>
                <w:color w:val="auto"/>
              </w:rPr>
            </w:pPr>
            <w:r>
              <w:rPr>
                <w:rFonts w:ascii="Arial" w:cs="Arial" w:eastAsia="Arial" w:hAnsi="Arial"/>
                <w:sz w:val="19"/>
                <w:szCs w:val="19"/>
                <w:color w:val="auto"/>
              </w:rPr>
              <w:t>101.CAL</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Calculation Linkbase (filed herewith)</w:t>
            </w:r>
          </w:p>
        </w:tc>
      </w:tr>
      <w:tr>
        <w:trPr>
          <w:trHeight w:val="270"/>
        </w:trPr>
        <w:tc>
          <w:tcPr>
            <w:tcW w:w="1400" w:type="dxa"/>
            <w:vAlign w:val="bottom"/>
          </w:tcPr>
          <w:p>
            <w:pPr>
              <w:ind w:left="20"/>
              <w:spacing w:after="0"/>
              <w:rPr>
                <w:sz w:val="20"/>
                <w:szCs w:val="20"/>
                <w:color w:val="auto"/>
              </w:rPr>
            </w:pPr>
            <w:r>
              <w:rPr>
                <w:rFonts w:ascii="Arial" w:cs="Arial" w:eastAsia="Arial" w:hAnsi="Arial"/>
                <w:sz w:val="19"/>
                <w:szCs w:val="19"/>
                <w:color w:val="auto"/>
              </w:rPr>
              <w:t>101.DEF</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Definition Linkbase (filed herewith)</w:t>
            </w:r>
          </w:p>
        </w:tc>
      </w:tr>
      <w:tr>
        <w:trPr>
          <w:trHeight w:val="270"/>
        </w:trPr>
        <w:tc>
          <w:tcPr>
            <w:tcW w:w="1400" w:type="dxa"/>
            <w:vAlign w:val="bottom"/>
          </w:tcPr>
          <w:p>
            <w:pPr>
              <w:ind w:left="20"/>
              <w:spacing w:after="0"/>
              <w:rPr>
                <w:sz w:val="20"/>
                <w:szCs w:val="20"/>
                <w:color w:val="auto"/>
              </w:rPr>
            </w:pPr>
            <w:r>
              <w:rPr>
                <w:rFonts w:ascii="Arial" w:cs="Arial" w:eastAsia="Arial" w:hAnsi="Arial"/>
                <w:sz w:val="19"/>
                <w:szCs w:val="19"/>
                <w:color w:val="auto"/>
              </w:rPr>
              <w:t>101.LAB</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Label Linkbase (filed herewith)</w:t>
            </w:r>
          </w:p>
        </w:tc>
      </w:tr>
      <w:tr>
        <w:trPr>
          <w:trHeight w:val="270"/>
        </w:trPr>
        <w:tc>
          <w:tcPr>
            <w:tcW w:w="1400" w:type="dxa"/>
            <w:vAlign w:val="bottom"/>
          </w:tcPr>
          <w:p>
            <w:pPr>
              <w:ind w:left="20"/>
              <w:spacing w:after="0"/>
              <w:rPr>
                <w:sz w:val="20"/>
                <w:szCs w:val="20"/>
                <w:color w:val="auto"/>
              </w:rPr>
            </w:pPr>
            <w:r>
              <w:rPr>
                <w:rFonts w:ascii="Arial" w:cs="Arial" w:eastAsia="Arial" w:hAnsi="Arial"/>
                <w:sz w:val="19"/>
                <w:szCs w:val="19"/>
                <w:color w:val="auto"/>
              </w:rPr>
              <w:t>101.PRE</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7023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560" w:right="1020" w:hanging="5186"/>
        <w:spacing w:after="0" w:line="372" w:lineRule="auto"/>
        <w:rPr>
          <w:sz w:val="20"/>
          <w:szCs w:val="20"/>
          <w:color w:val="auto"/>
        </w:rPr>
      </w:pPr>
      <w:r>
        <w:rPr>
          <w:rFonts w:ascii="Arial" w:cs="Arial" w:eastAsia="Arial" w:hAnsi="Arial"/>
          <w:sz w:val="19"/>
          <w:szCs w:val="19"/>
          <w:color w:val="auto"/>
        </w:rPr>
        <w:t>The Exhibits identified above with an asterisk (*) are management contracts or compensatory plans or arrangements.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80"/>
        </w:trPr>
        <w:tc>
          <w:tcPr>
            <w:tcW w:w="10460" w:type="dxa"/>
            <w:vAlign w:val="bottom"/>
          </w:tcPr>
          <w:p>
            <w:pPr>
              <w:jc w:val="center"/>
              <w:ind w:left="863"/>
              <w:spacing w:after="0"/>
              <w:rPr>
                <w:sz w:val="20"/>
                <w:szCs w:val="20"/>
                <w:color w:val="auto"/>
              </w:rPr>
            </w:pPr>
            <w:r>
              <w:rPr>
                <w:rFonts w:ascii="Arial" w:cs="Arial" w:eastAsia="Arial" w:hAnsi="Arial"/>
                <w:sz w:val="23"/>
                <w:szCs w:val="23"/>
                <w:b w:val="1"/>
                <w:bCs w:val="1"/>
                <w:color w:val="auto"/>
                <w:w w:val="99"/>
              </w:rPr>
              <w:t>HONEYWELL INTERNATIONAL INC.</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460" w:type="dxa"/>
            <w:vAlign w:val="bottom"/>
          </w:tcPr>
          <w:p>
            <w:pPr>
              <w:jc w:val="center"/>
              <w:ind w:left="883"/>
              <w:spacing w:after="0"/>
              <w:rPr>
                <w:sz w:val="20"/>
                <w:szCs w:val="20"/>
                <w:color w:val="auto"/>
              </w:rPr>
            </w:pPr>
            <w:r>
              <w:rPr>
                <w:rFonts w:ascii="Arial" w:cs="Arial" w:eastAsia="Arial" w:hAnsi="Arial"/>
                <w:sz w:val="19"/>
                <w:szCs w:val="19"/>
                <w:b w:val="1"/>
                <w:bCs w:val="1"/>
                <w:color w:val="auto"/>
              </w:rPr>
              <w:t>SCHEDULE II—VALUATION AND QUALIFYING ACCOUNTS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460" w:type="dxa"/>
            <w:vAlign w:val="bottom"/>
          </w:tcPr>
          <w:p>
            <w:pPr>
              <w:jc w:val="center"/>
              <w:ind w:left="863"/>
              <w:spacing w:after="0" w:line="176" w:lineRule="exact"/>
              <w:rPr>
                <w:sz w:val="20"/>
                <w:szCs w:val="20"/>
                <w:color w:val="auto"/>
              </w:rPr>
            </w:pPr>
            <w:r>
              <w:rPr>
                <w:rFonts w:ascii="Arial" w:cs="Arial" w:eastAsia="Arial" w:hAnsi="Arial"/>
                <w:sz w:val="16"/>
                <w:szCs w:val="16"/>
                <w:b w:val="1"/>
                <w:bCs w:val="1"/>
                <w:color w:val="auto"/>
                <w:w w:val="98"/>
              </w:rPr>
              <w:t>Three Years Ended December 31, 2012</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460" w:type="dxa"/>
            <w:vAlign w:val="bottom"/>
          </w:tcPr>
          <w:p>
            <w:pPr>
              <w:jc w:val="center"/>
              <w:ind w:left="863"/>
              <w:spacing w:after="0"/>
              <w:rPr>
                <w:sz w:val="20"/>
                <w:szCs w:val="20"/>
                <w:color w:val="auto"/>
              </w:rPr>
            </w:pPr>
            <w:r>
              <w:rPr>
                <w:rFonts w:ascii="Arial" w:cs="Arial" w:eastAsia="Arial" w:hAnsi="Arial"/>
                <w:sz w:val="16"/>
                <w:szCs w:val="16"/>
                <w:b w:val="1"/>
                <w:bCs w:val="1"/>
                <w:color w:val="auto"/>
                <w:w w:val="98"/>
              </w:rPr>
              <w:t>(Dollars in millions)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0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04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Allowance for Doubtful Accounts:</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2009</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230</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Provision charged to income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Deductions from reserves</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(111 )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Acquisitions</w:t>
            </w:r>
          </w:p>
        </w:tc>
        <w:tc>
          <w:tcPr>
            <w:tcW w:w="3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304"/>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2010</w:t>
            </w:r>
          </w:p>
        </w:tc>
        <w:tc>
          <w:tcPr>
            <w:tcW w:w="320" w:type="dxa"/>
            <w:vAlign w:val="bottom"/>
          </w:tcPr>
          <w:p>
            <w:pPr>
              <w:spacing w:after="0"/>
              <w:rPr>
                <w:sz w:val="24"/>
                <w:szCs w:val="24"/>
                <w:color w:val="auto"/>
              </w:rPr>
            </w:pP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272</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Provision charged to income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79</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Deductions from reserves</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(112 )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Acquisitions</w:t>
            </w:r>
          </w:p>
        </w:tc>
        <w:tc>
          <w:tcPr>
            <w:tcW w:w="3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304"/>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2011</w:t>
            </w:r>
          </w:p>
        </w:tc>
        <w:tc>
          <w:tcPr>
            <w:tcW w:w="320" w:type="dxa"/>
            <w:vAlign w:val="bottom"/>
          </w:tcPr>
          <w:p>
            <w:pPr>
              <w:spacing w:after="0"/>
              <w:rPr>
                <w:sz w:val="24"/>
                <w:szCs w:val="24"/>
                <w:color w:val="auto"/>
              </w:rPr>
            </w:pP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Provision charged to income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Deductions from reserves</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(129 )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Acquisitions</w:t>
            </w:r>
          </w:p>
        </w:tc>
        <w:tc>
          <w:tcPr>
            <w:tcW w:w="3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304"/>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226</w:t>
            </w:r>
          </w:p>
        </w:tc>
        <w:tc>
          <w:tcPr>
            <w:tcW w:w="0" w:type="dxa"/>
            <w:vAlign w:val="bottom"/>
          </w:tcPr>
          <w:p>
            <w:pPr>
              <w:spacing w:after="0"/>
              <w:rPr>
                <w:sz w:val="1"/>
                <w:szCs w:val="1"/>
                <w:color w:val="auto"/>
              </w:rPr>
            </w:pPr>
          </w:p>
        </w:tc>
      </w:tr>
      <w:tr>
        <w:trPr>
          <w:trHeight w:val="20"/>
        </w:trPr>
        <w:tc>
          <w:tcPr>
            <w:tcW w:w="10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460" w:type="dxa"/>
            <w:vAlign w:val="bottom"/>
            <w:shd w:val="clear" w:color="auto" w:fill="E5FFFF"/>
          </w:tcPr>
          <w:p>
            <w:pPr>
              <w:ind w:left="20"/>
              <w:spacing w:after="0"/>
              <w:rPr>
                <w:sz w:val="20"/>
                <w:szCs w:val="20"/>
                <w:color w:val="auto"/>
              </w:rPr>
            </w:pPr>
            <w:r>
              <w:rPr>
                <w:rFonts w:ascii="Arial" w:cs="Arial" w:eastAsia="Arial" w:hAnsi="Arial"/>
                <w:sz w:val="19"/>
                <w:szCs w:val="19"/>
                <w:b w:val="1"/>
                <w:bCs w:val="1"/>
                <w:color w:val="auto"/>
              </w:rPr>
              <w:t>Deferred Tax Assets—Valuation Allowance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2009</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578</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Additions charged to income tax expense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129</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credited to income tax expense</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(90 )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Reductions due to expiring NOLs</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(7 )</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due to capital loss carryforwards</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Reductions credited to equity</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(17 )</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Additions charged to goodwill</w:t>
            </w: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34"/>
        </w:trPr>
        <w:tc>
          <w:tcPr>
            <w:tcW w:w="10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December 31, 2010</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636</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Additions charged to income tax expense</w:t>
            </w:r>
          </w:p>
        </w:tc>
        <w:tc>
          <w:tcPr>
            <w:tcW w:w="320" w:type="dxa"/>
            <w:vAlign w:val="bottom"/>
          </w:tcPr>
          <w:p>
            <w:pPr>
              <w:spacing w:after="0"/>
              <w:rPr>
                <w:sz w:val="23"/>
                <w:szCs w:val="23"/>
                <w:color w:val="auto"/>
              </w:rPr>
            </w:pP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109</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Reductions credited to income tax expense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(152 )</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due to expiring NOLs</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Reductions due to capital loss carryforwards</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(5 )</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credited to equity</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(13 )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Additions charged to goodwill</w:t>
            </w:r>
          </w:p>
        </w:tc>
        <w:tc>
          <w:tcPr>
            <w:tcW w:w="320" w:type="dxa"/>
            <w:vAlign w:val="bottom"/>
            <w:tcBorders>
              <w:bottom w:val="single" w:sz="8" w:color="auto"/>
            </w:tcBorders>
            <w:shd w:val="clear" w:color="auto" w:fill="E5FFFF"/>
          </w:tcPr>
          <w:p>
            <w:pPr>
              <w:spacing w:after="0"/>
              <w:rPr>
                <w:sz w:val="23"/>
                <w:szCs w:val="23"/>
                <w:color w:val="auto"/>
              </w:rPr>
            </w:pPr>
          </w:p>
        </w:tc>
        <w:tc>
          <w:tcPr>
            <w:tcW w:w="64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304"/>
        </w:trPr>
        <w:tc>
          <w:tcPr>
            <w:tcW w:w="10460" w:type="dxa"/>
            <w:vAlign w:val="bottom"/>
          </w:tcPr>
          <w:p>
            <w:pPr>
              <w:ind w:left="20"/>
              <w:spacing w:after="0"/>
              <w:rPr>
                <w:sz w:val="20"/>
                <w:szCs w:val="20"/>
                <w:color w:val="auto"/>
              </w:rPr>
            </w:pPr>
            <w:r>
              <w:rPr>
                <w:rFonts w:ascii="Arial" w:cs="Arial" w:eastAsia="Arial" w:hAnsi="Arial"/>
                <w:sz w:val="19"/>
                <w:szCs w:val="19"/>
                <w:color w:val="auto"/>
              </w:rPr>
              <w:t>Balance December 31, 2011</w:t>
            </w:r>
          </w:p>
        </w:tc>
        <w:tc>
          <w:tcPr>
            <w:tcW w:w="320" w:type="dxa"/>
            <w:vAlign w:val="bottom"/>
          </w:tcPr>
          <w:p>
            <w:pPr>
              <w:spacing w:after="0"/>
              <w:rPr>
                <w:sz w:val="24"/>
                <w:szCs w:val="24"/>
                <w:color w:val="auto"/>
              </w:rPr>
            </w:pP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591</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Additions charged to income tax expense</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72</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credited to income tax expense</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(54 )</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Reductions due to expiring NOLs</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Additions due to capital loss carryforwards</w:t>
            </w:r>
          </w:p>
        </w:tc>
        <w:tc>
          <w:tcPr>
            <w:tcW w:w="320" w:type="dxa"/>
            <w:vAlign w:val="bottom"/>
          </w:tcPr>
          <w:p>
            <w:pPr>
              <w:spacing w:after="0"/>
              <w:rPr>
                <w:sz w:val="23"/>
                <w:szCs w:val="23"/>
                <w:color w:val="auto"/>
              </w:rPr>
            </w:pPr>
          </w:p>
        </w:tc>
        <w:tc>
          <w:tcPr>
            <w:tcW w:w="640" w:type="dxa"/>
            <w:vAlign w:val="bottom"/>
          </w:tcPr>
          <w:p>
            <w:pPr>
              <w:jc w:val="right"/>
              <w:ind w:right="103"/>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70"/>
        </w:trPr>
        <w:tc>
          <w:tcPr>
            <w:tcW w:w="10460" w:type="dxa"/>
            <w:vAlign w:val="bottom"/>
            <w:shd w:val="clear" w:color="auto" w:fill="E5FFFF"/>
          </w:tcPr>
          <w:p>
            <w:pPr>
              <w:ind w:left="380"/>
              <w:spacing w:after="0"/>
              <w:rPr>
                <w:sz w:val="20"/>
                <w:szCs w:val="20"/>
                <w:color w:val="auto"/>
              </w:rPr>
            </w:pPr>
            <w:r>
              <w:rPr>
                <w:rFonts w:ascii="Arial" w:cs="Arial" w:eastAsia="Arial" w:hAnsi="Arial"/>
                <w:sz w:val="19"/>
                <w:szCs w:val="19"/>
                <w:color w:val="auto"/>
              </w:rPr>
              <w:t>Additions charged to equity</w:t>
            </w:r>
          </w:p>
        </w:tc>
        <w:tc>
          <w:tcPr>
            <w:tcW w:w="32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103"/>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70"/>
        </w:trPr>
        <w:tc>
          <w:tcPr>
            <w:tcW w:w="10460" w:type="dxa"/>
            <w:vAlign w:val="bottom"/>
          </w:tcPr>
          <w:p>
            <w:pPr>
              <w:ind w:left="380"/>
              <w:spacing w:after="0"/>
              <w:rPr>
                <w:sz w:val="20"/>
                <w:szCs w:val="20"/>
                <w:color w:val="auto"/>
              </w:rPr>
            </w:pPr>
            <w:r>
              <w:rPr>
                <w:rFonts w:ascii="Arial" w:cs="Arial" w:eastAsia="Arial" w:hAnsi="Arial"/>
                <w:sz w:val="19"/>
                <w:szCs w:val="19"/>
                <w:color w:val="auto"/>
              </w:rPr>
              <w:t>Reductions credited to goodwill</w:t>
            </w: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(35 )</w:t>
            </w:r>
          </w:p>
        </w:tc>
        <w:tc>
          <w:tcPr>
            <w:tcW w:w="0" w:type="dxa"/>
            <w:vAlign w:val="bottom"/>
          </w:tcPr>
          <w:p>
            <w:pPr>
              <w:spacing w:after="0"/>
              <w:rPr>
                <w:sz w:val="1"/>
                <w:szCs w:val="1"/>
                <w:color w:val="auto"/>
              </w:rPr>
            </w:pPr>
          </w:p>
        </w:tc>
      </w:tr>
      <w:tr>
        <w:trPr>
          <w:trHeight w:val="34"/>
        </w:trPr>
        <w:tc>
          <w:tcPr>
            <w:tcW w:w="10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Balance December 31, 2012</w:t>
            </w:r>
          </w:p>
        </w:tc>
        <w:tc>
          <w:tcPr>
            <w:tcW w:w="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9"/>
                <w:szCs w:val="19"/>
                <w:color w:val="auto"/>
              </w:rPr>
              <w:t>598</w:t>
            </w:r>
          </w:p>
        </w:tc>
        <w:tc>
          <w:tcPr>
            <w:tcW w:w="0" w:type="dxa"/>
            <w:vAlign w:val="bottom"/>
          </w:tcPr>
          <w:p>
            <w:pPr>
              <w:spacing w:after="0"/>
              <w:rPr>
                <w:sz w:val="1"/>
                <w:szCs w:val="1"/>
                <w:color w:val="auto"/>
              </w:rPr>
            </w:pPr>
          </w:p>
        </w:tc>
      </w:tr>
      <w:tr>
        <w:trPr>
          <w:trHeight w:val="20"/>
        </w:trPr>
        <w:tc>
          <w:tcPr>
            <w:tcW w:w="10460" w:type="dxa"/>
            <w:vAlign w:val="bottom"/>
            <w:vMerge w:val="restart"/>
          </w:tcPr>
          <w:p>
            <w:pPr>
              <w:jc w:val="center"/>
              <w:ind w:left="883"/>
              <w:spacing w:after="0"/>
              <w:rPr>
                <w:sz w:val="20"/>
                <w:szCs w:val="20"/>
                <w:color w:val="auto"/>
              </w:rPr>
            </w:pPr>
            <w:r>
              <w:rPr>
                <w:rFonts w:ascii="Arial" w:cs="Arial" w:eastAsia="Arial" w:hAnsi="Arial"/>
                <w:sz w:val="19"/>
                <w:szCs w:val="19"/>
                <w:color w:val="auto"/>
              </w:rPr>
              <w:t>130</w:t>
            </w: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0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u w:val="single" w:color="auto"/>
          <w:color w:val="auto"/>
        </w:rPr>
        <w:t>Exhibit 10.6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jc w:val="center"/>
        <w:spacing w:after="0" w:line="230" w:lineRule="auto"/>
        <w:rPr>
          <w:sz w:val="20"/>
          <w:szCs w:val="20"/>
          <w:color w:val="auto"/>
        </w:rPr>
      </w:pPr>
      <w:r>
        <w:rPr>
          <w:rFonts w:ascii="Arial" w:cs="Arial" w:eastAsia="Arial" w:hAnsi="Arial"/>
          <w:sz w:val="22"/>
          <w:szCs w:val="22"/>
          <w:b w:val="1"/>
          <w:bCs w:val="1"/>
          <w:color w:val="auto"/>
        </w:rPr>
        <w:t>SEVERANCE PLAN FOR SENIOR EXECUTIVES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January 1, 2009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00" w:lineRule="exact"/>
        <w:rPr>
          <w:sz w:val="20"/>
          <w:szCs w:val="20"/>
          <w:color w:val="auto"/>
        </w:rPr>
      </w:pP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Honeywell International Inc. (the “Corporation”) is the sponsor of the Honeywell International Inc. Severance Plan</w:t>
      </w:r>
      <w:r>
        <w:rPr>
          <w:rFonts w:ascii="Arial" w:cs="Arial" w:eastAsia="Arial" w:hAnsi="Arial"/>
          <w:sz w:val="22"/>
          <w:szCs w:val="22"/>
          <w:b w:val="1"/>
          <w:bCs w:val="1"/>
          <w:color w:val="auto"/>
        </w:rPr>
        <w:t xml:space="preserve"> </w:t>
      </w:r>
      <w:r>
        <w:rPr>
          <w:rFonts w:ascii="Arial" w:cs="Arial" w:eastAsia="Arial" w:hAnsi="Arial"/>
          <w:sz w:val="22"/>
          <w:szCs w:val="22"/>
          <w:color w:val="auto"/>
        </w:rPr>
        <w:t>for Senior Executives (the “Plan”); and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12 of the Plans reserves to the Corporation the right to amend the Plans at any time; 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Corporation is desirous of amending the Plans in certain particulars;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Plans are hereby amended, effective January 1, 2013, as follows:</w:t>
      </w:r>
    </w:p>
    <w:p>
      <w:pPr>
        <w:spacing w:after="0" w:line="239" w:lineRule="exact"/>
        <w:rPr>
          <w:sz w:val="20"/>
          <w:szCs w:val="20"/>
          <w:color w:val="auto"/>
        </w:rPr>
      </w:pPr>
    </w:p>
    <w:p>
      <w:pPr>
        <w:ind w:left="740" w:hanging="732"/>
        <w:spacing w:after="0"/>
        <w:tabs>
          <w:tab w:leader="none" w:pos="7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Section 15(b) is amended to read as follows:</w:t>
      </w:r>
    </w:p>
    <w:p>
      <w:pPr>
        <w:spacing w:after="0" w:line="206" w:lineRule="exact"/>
        <w:rPr>
          <w:rFonts w:ascii="Arial" w:cs="Arial" w:eastAsia="Arial" w:hAnsi="Arial"/>
          <w:sz w:val="22"/>
          <w:szCs w:val="22"/>
          <w:color w:val="auto"/>
        </w:rPr>
      </w:pPr>
    </w:p>
    <w:p>
      <w:pPr>
        <w:ind w:left="960" w:hanging="304"/>
        <w:spacing w:after="0"/>
        <w:tabs>
          <w:tab w:leader="none" w:pos="96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5"/>
        <w:spacing w:after="0" w:line="244" w:lineRule="auto"/>
        <w:tabs>
          <w:tab w:leader="none" w:pos="2454" w:val="left"/>
        </w:tabs>
        <w:numPr>
          <w:ilvl w:val="2"/>
          <w:numId w:val="47"/>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Notwithstanding the other provisions hereof, this Plan is intended to comply with the applicable requirements of Section 409A of the Code and this Plan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All payments to be made upon a termination of employment under this Plan may only be made upon a “separation from service”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For purposes of Section 409A of the Code, each payment made under this Plan shall be treated as a separate payment and each installment and the right to a series of installment payments under this Plan is to be treated as a right to a series of separate payments. In no event may the Participant, directly or indirectly, designate the calendar year of payment.</w:t>
      </w:r>
    </w:p>
    <w:p>
      <w:pPr>
        <w:spacing w:after="0" w:line="189" w:lineRule="exact"/>
        <w:rPr>
          <w:rFonts w:ascii="Arial" w:cs="Arial" w:eastAsia="Arial" w:hAnsi="Arial"/>
          <w:sz w:val="21"/>
          <w:szCs w:val="21"/>
          <w:color w:val="auto"/>
        </w:rPr>
      </w:pPr>
    </w:p>
    <w:p>
      <w:pPr>
        <w:jc w:val="both"/>
        <w:ind w:firstLine="1305"/>
        <w:spacing w:after="0" w:line="272" w:lineRule="auto"/>
        <w:tabs>
          <w:tab w:leader="none" w:pos="2100" w:val="left"/>
        </w:tabs>
        <w:numPr>
          <w:ilvl w:val="2"/>
          <w:numId w:val="47"/>
        </w:numPr>
        <w:rPr>
          <w:rFonts w:ascii="Arial" w:cs="Arial" w:eastAsia="Arial" w:hAnsi="Arial"/>
          <w:sz w:val="19"/>
          <w:szCs w:val="19"/>
          <w:color w:val="auto"/>
        </w:rPr>
      </w:pPr>
      <w:r>
        <w:rPr>
          <w:rFonts w:ascii="Arial" w:cs="Arial" w:eastAsia="Arial" w:hAnsi="Arial"/>
          <w:sz w:val="19"/>
          <w:szCs w:val="19"/>
          <w:u w:val="single" w:color="auto"/>
          <w:color w:val="auto"/>
        </w:rPr>
        <w:t>Payment Delay</w:t>
      </w:r>
      <w:r>
        <w:rPr>
          <w:rFonts w:ascii="Arial" w:cs="Arial" w:eastAsia="Arial" w:hAnsi="Arial"/>
          <w:sz w:val="19"/>
          <w:szCs w:val="19"/>
          <w:color w:val="auto"/>
        </w:rPr>
        <w:t>. To the maximum extent permitted under Section 409A of the Code, the severance benefits provided under this Plan are intended to comply with the “short-term deferral exception” under Treas. Reg. §1.409A-1(b)(4), and any remaining amount is intended to comply with the “separation pay exception” under Treas. Reg. §1.409A-1(b)(9)(iii); provided, however, if on the date of the Participant’s termination of employment, Honeywell’s stock is publicly-traded on an established securities market or otherwise and the Participant is a Specified Employee, then all cash severance payments payable to the Participant under this Plan that are deemed as deferred compensation subject to the requirements of Section 409A of the Code and payable within six (6) months following the Participant’s “separation from service” shall be postponed for a period of six (6) months following the Participant’s “separation from service” with Honeywell. The postponed amounts shall be paid to the Participant in a lump sum within thirty (30) days after the date that is six (6) months following the Participant’s “separation from service” with Honeywell, without earnings or interest. If the Participant dies during such six-month period and prior to payment of the postponed cash amounts hereunder, the amounts delayed on account of Section 409A of the Code shall be paid to the Participant’s beneficiary within sixty (60) days after Participant’s death, without earnings or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ind w:firstLine="1305"/>
        <w:spacing w:after="0" w:line="275" w:lineRule="auto"/>
        <w:tabs>
          <w:tab w:leader="none" w:pos="223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Reimbursements</w:t>
      </w:r>
      <w:r>
        <w:rPr>
          <w:rFonts w:ascii="Arial" w:cs="Arial" w:eastAsia="Arial" w:hAnsi="Arial"/>
          <w:sz w:val="19"/>
          <w:szCs w:val="19"/>
          <w:color w:val="auto"/>
        </w:rPr>
        <w:t>. All reimbursements provided under this Plan shall be made or provided in accordance with the requirements of Section 409A of the Code, including, where applicable, the requirement that (A) any reimbursement is for expenses incurred during the Participant’s lifetime (or during a shorter period of time specified in this Plan),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Any tax gross up payments to be made hereunder shall be made not later than the end of the Participant’s taxable year next following the Participant’s taxable year in which the related taxes are remitted to the taxing authority.</w:t>
      </w:r>
    </w:p>
    <w:p>
      <w:pPr>
        <w:spacing w:after="0" w:line="158" w:lineRule="exact"/>
        <w:rPr>
          <w:rFonts w:ascii="Arial" w:cs="Arial" w:eastAsia="Arial" w:hAnsi="Arial"/>
          <w:sz w:val="19"/>
          <w:szCs w:val="19"/>
          <w:color w:val="auto"/>
        </w:rPr>
      </w:pPr>
    </w:p>
    <w:p>
      <w:pPr>
        <w:jc w:val="both"/>
        <w:ind w:firstLine="1305"/>
        <w:spacing w:after="0" w:line="279" w:lineRule="auto"/>
        <w:tabs>
          <w:tab w:leader="none" w:pos="232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Multiple Calendar Years</w:t>
      </w:r>
      <w:r>
        <w:rPr>
          <w:rFonts w:ascii="Arial" w:cs="Arial" w:eastAsia="Arial" w:hAnsi="Arial"/>
          <w:sz w:val="19"/>
          <w:szCs w:val="19"/>
          <w:color w:val="auto"/>
        </w:rPr>
        <w:t>. Notwithstanding any provision of the Plan to the contrary, any payments of severance benefits under this Plan that (i) are, or may be, deferred compensation subject to Code Section 409A (“409A Severance Benefits”), and (ii) are subject to a release of claims pursuant to Section 3(b), where the period for execution and non-revocation of the Release spans more than one calendar year, any payment of 409A Severance Benefits that is contingent on the execution of the Release shall not be paid until the second calendar year, or later if required by the applicable terms of the Plan. In no event may a Participant, either directly or indirectly, designate the calendar year of payment of any 409A Severance Benefits.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u w:val="single" w:color="auto"/>
          <w:color w:val="auto"/>
        </w:rPr>
        <w:t>Exhibit 10.36</w:t>
      </w:r>
    </w:p>
    <w:p>
      <w:pPr>
        <w:spacing w:after="0" w:line="200" w:lineRule="exact"/>
        <w:rPr>
          <w:sz w:val="20"/>
          <w:szCs w:val="20"/>
          <w:color w:val="auto"/>
        </w:rPr>
      </w:pPr>
    </w:p>
    <w:p>
      <w:pPr>
        <w:spacing w:after="0" w:line="244"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AMENDMENT</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TO THE</w:t>
      </w:r>
    </w:p>
    <w:p>
      <w:pPr>
        <w:jc w:val="center"/>
        <w:ind w:right="640"/>
        <w:spacing w:after="0" w:line="230" w:lineRule="auto"/>
        <w:rPr>
          <w:sz w:val="20"/>
          <w:szCs w:val="20"/>
          <w:color w:val="auto"/>
        </w:rPr>
      </w:pPr>
      <w:r>
        <w:rPr>
          <w:rFonts w:ascii="Arial" w:cs="Arial" w:eastAsia="Arial" w:hAnsi="Arial"/>
          <w:sz w:val="22"/>
          <w:szCs w:val="22"/>
          <w:b w:val="1"/>
          <w:bCs w:val="1"/>
          <w:color w:val="auto"/>
        </w:rPr>
        <w:t>2011 STOCK INCENTIVE PLAN OF</w:t>
      </w:r>
    </w:p>
    <w:p>
      <w:pPr>
        <w:jc w:val="center"/>
        <w:ind w:right="640"/>
        <w:spacing w:after="0" w:line="231" w:lineRule="auto"/>
        <w:rPr>
          <w:sz w:val="20"/>
          <w:szCs w:val="20"/>
          <w:color w:val="auto"/>
        </w:rPr>
      </w:pPr>
      <w:r>
        <w:rPr>
          <w:rFonts w:ascii="Arial" w:cs="Arial" w:eastAsia="Arial" w:hAnsi="Arial"/>
          <w:sz w:val="22"/>
          <w:szCs w:val="22"/>
          <w:b w:val="1"/>
          <w:bCs w:val="1"/>
          <w:color w:val="auto"/>
        </w:rPr>
        <w:t>HONEYWELL INTERNATIONAL INC.</w:t>
      </w:r>
    </w:p>
    <w:p>
      <w:pPr>
        <w:jc w:val="center"/>
        <w:ind w:right="640"/>
        <w:spacing w:after="0"/>
        <w:rPr>
          <w:sz w:val="20"/>
          <w:szCs w:val="20"/>
          <w:color w:val="auto"/>
        </w:rPr>
      </w:pPr>
      <w:r>
        <w:rPr>
          <w:rFonts w:ascii="Arial" w:cs="Arial" w:eastAsia="Arial" w:hAnsi="Arial"/>
          <w:sz w:val="22"/>
          <w:szCs w:val="22"/>
          <w:b w:val="1"/>
          <w:bCs w:val="1"/>
          <w:color w:val="auto"/>
        </w:rPr>
        <w:t>AND ITS AFFILIATES</w:t>
      </w:r>
    </w:p>
    <w:p>
      <w:pPr>
        <w:spacing w:after="0" w:line="215"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2011 Stock Incentive Plan of Honeywell International Inc. and Its Affiliates (the “Plan”) is hereby amended by replacing Section 4.6(a) in its entirety with the following Section 4.6(a):</w:t>
      </w:r>
    </w:p>
    <w:p>
      <w:pPr>
        <w:spacing w:after="0" w:line="200" w:lineRule="exact"/>
        <w:rPr>
          <w:sz w:val="20"/>
          <w:szCs w:val="20"/>
          <w:color w:val="auto"/>
        </w:rPr>
      </w:pPr>
    </w:p>
    <w:p>
      <w:pPr>
        <w:ind w:left="640" w:right="40"/>
        <w:spacing w:after="0" w:line="234" w:lineRule="auto"/>
        <w:rPr>
          <w:sz w:val="20"/>
          <w:szCs w:val="20"/>
          <w:color w:val="auto"/>
        </w:rPr>
      </w:pPr>
      <w:r>
        <w:rPr>
          <w:rFonts w:ascii="Arial" w:cs="Arial" w:eastAsia="Arial" w:hAnsi="Arial"/>
          <w:sz w:val="22"/>
          <w:szCs w:val="22"/>
          <w:color w:val="auto"/>
        </w:rPr>
        <w:t>“(a) Vesting. Except for Other Stock-Based Awards granted as Performance Awards and except as provided in Section 5.1 or 5.3, restrictions on Other Stock-Based Awards will lapse, in the discretion of the Committee, over a period of three years from the date of grant or any longer period that is specified in the Award Agreement. If the restrictions on Other Stock-Based Awards have not lapsed or been satisfied as of the Participant’s Termination of Employment, except as otherwise provided in an Award Agreement, the Shares will be forfeited by the Participant if the termination is for any reason other than Full Retirement, death or Disability of the Participant or a Change in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219075</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1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0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Determination of Earnings:</w:t>
            </w: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40"/>
              <w:spacing w:after="0" w:line="202" w:lineRule="exact"/>
              <w:rPr>
                <w:sz w:val="20"/>
                <w:szCs w:val="20"/>
                <w:color w:val="auto"/>
              </w:rPr>
            </w:pPr>
            <w:r>
              <w:rPr>
                <w:rFonts w:ascii="Arial" w:cs="Arial" w:eastAsia="Arial" w:hAnsi="Arial"/>
                <w:sz w:val="18"/>
                <w:szCs w:val="18"/>
                <w:color w:val="auto"/>
              </w:rPr>
              <w:t>Income before taxes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3,875</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2,282</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2,722</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1,964</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584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E5FFFF"/>
          </w:tcPr>
          <w:p>
            <w:pPr>
              <w:ind w:left="140"/>
              <w:spacing w:after="0" w:line="202" w:lineRule="exact"/>
              <w:rPr>
                <w:sz w:val="20"/>
                <w:szCs w:val="20"/>
                <w:color w:val="auto"/>
              </w:rPr>
            </w:pPr>
            <w:r>
              <w:rPr>
                <w:rFonts w:ascii="Arial" w:cs="Arial" w:eastAsia="Arial" w:hAnsi="Arial"/>
                <w:sz w:val="18"/>
                <w:szCs w:val="18"/>
                <w:color w:val="auto"/>
              </w:rPr>
              <w:t>Add (Deduct):</w:t>
            </w: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00"/>
              <w:spacing w:after="0" w:line="202" w:lineRule="exact"/>
              <w:rPr>
                <w:sz w:val="20"/>
                <w:szCs w:val="20"/>
                <w:color w:val="auto"/>
              </w:rPr>
            </w:pPr>
            <w:r>
              <w:rPr>
                <w:rFonts w:ascii="Arial" w:cs="Arial" w:eastAsia="Arial" w:hAnsi="Arial"/>
                <w:sz w:val="18"/>
                <w:szCs w:val="18"/>
                <w:color w:val="auto"/>
              </w:rPr>
              <w:t>Amortization of capitalized interest</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E5FFFF"/>
          </w:tcPr>
          <w:p>
            <w:pPr>
              <w:ind w:left="300"/>
              <w:spacing w:after="0" w:line="202" w:lineRule="exact"/>
              <w:rPr>
                <w:sz w:val="20"/>
                <w:szCs w:val="20"/>
                <w:color w:val="auto"/>
              </w:rPr>
            </w:pPr>
            <w:r>
              <w:rPr>
                <w:rFonts w:ascii="Arial" w:cs="Arial" w:eastAsia="Arial" w:hAnsi="Arial"/>
                <w:sz w:val="18"/>
                <w:szCs w:val="18"/>
                <w:color w:val="auto"/>
              </w:rPr>
              <w:t>Fixed charges</w:t>
            </w: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404</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432</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451</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539</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542</w:t>
            </w: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rPr>
              <w:t>Equity income, net of distributions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E5FFFF"/>
          </w:tcPr>
          <w:p>
            <w:pPr>
              <w:ind w:left="460"/>
              <w:spacing w:after="0" w:line="196" w:lineRule="exact"/>
              <w:rPr>
                <w:sz w:val="20"/>
                <w:szCs w:val="20"/>
                <w:color w:val="auto"/>
              </w:rPr>
            </w:pPr>
            <w:r>
              <w:rPr>
                <w:rFonts w:ascii="Arial" w:cs="Arial" w:eastAsia="Arial" w:hAnsi="Arial"/>
                <w:sz w:val="18"/>
                <w:szCs w:val="18"/>
                <w:b w:val="1"/>
                <w:bCs w:val="1"/>
                <w:color w:val="auto"/>
              </w:rPr>
              <w:t>Total earnings, as defined</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4,254</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2,683</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3,166</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2,498</w:t>
            </w:r>
          </w:p>
        </w:tc>
        <w:tc>
          <w:tcPr>
            <w:tcW w:w="380" w:type="dxa"/>
            <w:vAlign w:val="bottom"/>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1,085</w:t>
            </w: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shd w:val="clear" w:color="auto" w:fill="E5FFFF"/>
          </w:tcPr>
          <w:p>
            <w:pPr>
              <w:ind w:left="14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53</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65</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86</w:t>
            </w:r>
          </w:p>
        </w:tc>
        <w:tc>
          <w:tcPr>
            <w:tcW w:w="2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Interest and other financial charges</w:t>
            </w: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404</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432</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451</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539</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542</w:t>
            </w: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E5FFFF"/>
          </w:tcPr>
          <w:p>
            <w:pPr>
              <w:ind w:left="460"/>
              <w:spacing w:after="0" w:line="196" w:lineRule="exact"/>
              <w:rPr>
                <w:sz w:val="20"/>
                <w:szCs w:val="20"/>
                <w:color w:val="auto"/>
              </w:rPr>
            </w:pPr>
            <w:r>
              <w:rPr>
                <w:rFonts w:ascii="Arial" w:cs="Arial" w:eastAsia="Arial" w:hAnsi="Arial"/>
                <w:sz w:val="18"/>
                <w:szCs w:val="18"/>
                <w:b w:val="1"/>
                <w:bCs w:val="1"/>
                <w:color w:val="auto"/>
              </w:rPr>
              <w:t>Total fixed charges</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422</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445</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467</w:t>
            </w:r>
          </w:p>
        </w:tc>
        <w:tc>
          <w:tcPr>
            <w:tcW w:w="40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554</w:t>
            </w:r>
          </w:p>
        </w:tc>
        <w:tc>
          <w:tcPr>
            <w:tcW w:w="380" w:type="dxa"/>
            <w:vAlign w:val="bottom"/>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568</w:t>
            </w: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10.08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6.03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6.78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4.51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1.91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6560" w:firstLine="8"/>
        <w:spacing w:after="0" w:line="238"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9"/>
        </w:trPr>
        <w:tc>
          <w:tcPr>
            <w:tcW w:w="7620" w:type="dxa"/>
            <w:vAlign w:val="bottom"/>
            <w:gridSpan w:val="3"/>
            <w:vMerge w:val="restart"/>
          </w:tcPr>
          <w:p>
            <w:pPr>
              <w:ind w:left="4180"/>
              <w:spacing w:after="0"/>
              <w:rPr>
                <w:sz w:val="20"/>
                <w:szCs w:val="20"/>
                <w:color w:val="auto"/>
              </w:rPr>
            </w:pPr>
            <w:r>
              <w:rPr>
                <w:rFonts w:ascii="Arial" w:cs="Arial" w:eastAsia="Arial" w:hAnsi="Arial"/>
                <w:sz w:val="18"/>
                <w:szCs w:val="18"/>
                <w:b w:val="1"/>
                <w:bCs w:val="1"/>
                <w:color w:val="auto"/>
              </w:rPr>
              <w:t>HONEYWELL INTERNATIONAL INC.</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166"/>
        </w:trPr>
        <w:tc>
          <w:tcPr>
            <w:tcW w:w="7620" w:type="dxa"/>
            <w:vAlign w:val="bottom"/>
            <w:gridSpan w:val="3"/>
            <w:vMerge w:val="continue"/>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620" w:type="dxa"/>
            <w:vAlign w:val="bottom"/>
            <w:gridSpan w:val="3"/>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Country or State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5"/>
        </w:trPr>
        <w:tc>
          <w:tcPr>
            <w:tcW w:w="690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rPr>
              <w:t>of Incorporation</w:t>
            </w:r>
          </w:p>
        </w:tc>
        <w:tc>
          <w:tcPr>
            <w:tcW w:w="2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398"/>
        </w:trPr>
        <w:tc>
          <w:tcPr>
            <w:tcW w:w="7620" w:type="dxa"/>
            <w:vAlign w:val="bottom"/>
            <w:gridSpan w:val="3"/>
          </w:tcPr>
          <w:p>
            <w:pPr>
              <w:ind w:left="120"/>
              <w:spacing w:after="0"/>
              <w:rPr>
                <w:sz w:val="20"/>
                <w:szCs w:val="20"/>
                <w:color w:val="auto"/>
              </w:rPr>
            </w:pPr>
            <w:r>
              <w:rPr>
                <w:rFonts w:ascii="Arial" w:cs="Arial" w:eastAsia="Arial" w:hAnsi="Arial"/>
                <w:sz w:val="18"/>
                <w:szCs w:val="18"/>
                <w:color w:val="auto"/>
              </w:rPr>
              <w:t>ADI-Gardiner Limited</w:t>
            </w:r>
          </w:p>
        </w:tc>
        <w:tc>
          <w:tcPr>
            <w:tcW w:w="2560" w:type="dxa"/>
            <w:vAlign w:val="bottom"/>
            <w:gridSpan w:val="2"/>
          </w:tcPr>
          <w:p>
            <w:pPr>
              <w:jc w:val="center"/>
              <w:ind w:right="720"/>
              <w:spacing w:after="0"/>
              <w:rPr>
                <w:sz w:val="20"/>
                <w:szCs w:val="20"/>
                <w:color w:val="auto"/>
              </w:rPr>
            </w:pPr>
            <w:r>
              <w:rPr>
                <w:rFonts w:ascii="Arial" w:cs="Arial" w:eastAsia="Arial" w:hAnsi="Arial"/>
                <w:sz w:val="18"/>
                <w:szCs w:val="18"/>
                <w:color w:val="auto"/>
                <w:w w:val="99"/>
              </w:rPr>
              <w:t>United Kingdom</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AlliedSignal Aerospace Service Corporation</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EMS Aviation, Inc.</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New Jersey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Grimes Aerospace Company</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Hand Held Products, Inc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(China) Co.,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China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Aerospace de México, S. de R.L. de C.V.</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8"/>
              </w:rPr>
              <w:t>Mexico</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ASCa Inc.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Canada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Automation India Limited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India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Automotive Parts Services (Shanghai) Co.,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China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Aerospace Avionics Malaysia Sdn Bhd.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Malaysia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Aerospace UK</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United Kingdom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Co.,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Korea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Control Systems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United Kingdom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Deutschland GmbH</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Germany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Electronic Materials, Inc.</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8"/>
              </w:rPr>
              <w:t>Washington</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Europe NV</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8"/>
              </w:rPr>
              <w:t>Belgium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Finance LP</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Holdings Pty. Ltd.</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Australia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International Sàrl</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8"/>
              </w:rPr>
              <w:t>Switzerland</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International Services S.r.l.</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Romania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Japan Inc.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7"/>
              </w:rPr>
              <w:t>Japan</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Korea,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Korea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Limited</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Australia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Limited Honeywell Limitee</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Canada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Luxembourg Holding S.a.r.l.</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Luxembourg</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Pte. Ltd.</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Singapore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Specialty Chemicals Seelze GmbH</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Germany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spol. sr.o.</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Czech Republic</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TECHNOLOGIES Sarl</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8"/>
              </w:rPr>
              <w:t>Switzerland</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Technology Solutions Inc.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Technology Solutions Lab Pvt. Ltd.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India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UK Limited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United Kingdom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Life Safety Distribution AG</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8"/>
              </w:rPr>
              <w:t>Switzerland</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LXE LLC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Maxon Corporation</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rPr>
              <w:t>Indiana</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Metrologic Instruments, Inc.</w:t>
            </w:r>
          </w:p>
        </w:tc>
        <w:tc>
          <w:tcPr>
            <w:tcW w:w="2560" w:type="dxa"/>
            <w:vAlign w:val="bottom"/>
            <w:gridSpan w:val="2"/>
          </w:tcPr>
          <w:p>
            <w:pPr>
              <w:jc w:val="center"/>
              <w:ind w:right="700"/>
              <w:spacing w:after="0" w:line="202" w:lineRule="exact"/>
              <w:rPr>
                <w:sz w:val="20"/>
                <w:szCs w:val="20"/>
                <w:color w:val="auto"/>
              </w:rPr>
            </w:pPr>
            <w:r>
              <w:rPr>
                <w:rFonts w:ascii="Arial" w:cs="Arial" w:eastAsia="Arial" w:hAnsi="Arial"/>
                <w:sz w:val="18"/>
                <w:szCs w:val="18"/>
                <w:color w:val="auto"/>
                <w:w w:val="99"/>
              </w:rPr>
              <w:t>New Jersey</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Norcross Safety Products L.L.C.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Novar ED&amp;S Limited</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United Kingdom</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Honeywell Safety Products Europe SAS</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Sperian Protection Europe SAS</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France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76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UOP LLC</w:t>
            </w:r>
          </w:p>
        </w:tc>
        <w:tc>
          <w:tcPr>
            <w:tcW w:w="256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7"/>
        </w:trPr>
        <w:tc>
          <w:tcPr>
            <w:tcW w:w="7620" w:type="dxa"/>
            <w:vAlign w:val="bottom"/>
            <w:gridSpan w:val="3"/>
          </w:tcPr>
          <w:p>
            <w:pPr>
              <w:ind w:left="120"/>
              <w:spacing w:after="0"/>
              <w:rPr>
                <w:sz w:val="20"/>
                <w:szCs w:val="20"/>
                <w:color w:val="auto"/>
              </w:rPr>
            </w:pPr>
            <w:r>
              <w:rPr>
                <w:rFonts w:ascii="Arial" w:cs="Arial" w:eastAsia="Arial" w:hAnsi="Arial"/>
                <w:sz w:val="18"/>
                <w:szCs w:val="18"/>
                <w:color w:val="auto"/>
              </w:rPr>
              <w:t>UOP Russell LLC</w:t>
            </w:r>
          </w:p>
        </w:tc>
        <w:tc>
          <w:tcPr>
            <w:tcW w:w="2560" w:type="dxa"/>
            <w:vAlign w:val="bottom"/>
            <w:gridSpan w:val="2"/>
          </w:tcPr>
          <w:p>
            <w:pPr>
              <w:jc w:val="center"/>
              <w:ind w:right="720"/>
              <w:spacing w:after="0"/>
              <w:rPr>
                <w:sz w:val="20"/>
                <w:szCs w:val="20"/>
                <w:color w:val="auto"/>
              </w:rPr>
            </w:pPr>
            <w:r>
              <w:rPr>
                <w:rFonts w:ascii="Arial" w:cs="Arial" w:eastAsia="Arial" w:hAnsi="Arial"/>
                <w:sz w:val="18"/>
                <w:szCs w:val="18"/>
                <w:color w:val="auto"/>
                <w:w w:val="99"/>
              </w:rPr>
              <w:t>Delaware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91"/>
        </w:trPr>
        <w:tc>
          <w:tcPr>
            <w:tcW w:w="6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9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hereby consent to the incorporation by reference in the Registration Statement on Form S-3 (No.033-55425, 333-22355, 333-101455 and 333-165036), Form S-8 (No. 033-51455, 033-58347, 333-57515, 333-57517, 333-57519, 333-83511, 333-49280, 333-57868, 333-105065, 333-108461, 333-136083, 333-136086, 333-146932, 333-148995, and 333-175260) and Form S-4 (No. 333-82049) of Honeywell International Inc. of our report dated February 15, 2013 relating to the financial statements, financial statement schedule and the effectiveness of internal control over financial reporting, which appears in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rPr>
          <w:sz w:val="20"/>
          <w:szCs w:val="20"/>
          <w:color w:val="auto"/>
        </w:rPr>
      </w:pPr>
      <w:r>
        <w:rPr>
          <w:rFonts w:ascii="Arial" w:cs="Arial" w:eastAsia="Arial" w:hAnsi="Arial"/>
          <w:sz w:val="18"/>
          <w:szCs w:val="18"/>
          <w:color w:val="auto"/>
        </w:rPr>
        <w:t>February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480" w:firstLine="439"/>
        <w:spacing w:after="0" w:line="306"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David M. Cote, Katherine L. Adams, David J. Anderson, Adam M. Matteo, Jeffrey N. Neuman and John J. Tus, each with power to act without the other and with power of substitution and resubstitution, as my attorney-in-fact and agent for me and in my name, place and stead in any and all capacities,</w:t>
      </w:r>
    </w:p>
    <w:p>
      <w:pPr>
        <w:spacing w:after="0" w:line="161" w:lineRule="exact"/>
        <w:rPr>
          <w:sz w:val="20"/>
          <w:szCs w:val="20"/>
          <w:color w:val="auto"/>
        </w:rPr>
      </w:pPr>
    </w:p>
    <w:p>
      <w:pPr>
        <w:ind w:left="660" w:hanging="213"/>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2012,</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1"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jc w:val="center"/>
        <w:ind w:right="3700"/>
        <w:spacing w:after="0"/>
        <w:rPr>
          <w:sz w:val="20"/>
          <w:szCs w:val="20"/>
          <w:color w:val="auto"/>
        </w:rPr>
      </w:pPr>
      <w:r>
        <w:rPr>
          <w:rFonts w:ascii="Arial" w:cs="Arial" w:eastAsia="Arial" w:hAnsi="Arial"/>
          <w:sz w:val="15"/>
          <w:szCs w:val="15"/>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1746250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5000" w:space="720"/>
            <w:col w:w="5700"/>
          </w:cols>
          <w:pgMar w:left="240" w:top="131" w:right="239" w:bottom="1440" w:gutter="0" w:footer="0" w:header="0"/>
          <w:type w:val="continuous"/>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David M. Cote, Katherine L. Adams, David J. Anderson, Adam M. Matteo, Jeffrey N. Neuman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2013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w:t>
      </w:r>
    </w:p>
    <w:p>
      <w:pPr>
        <w:spacing w:after="0" w:line="178"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2" w:name="page143"/>
    <w:bookmarkEnd w:id="142"/>
    <w:p>
      <w:pPr>
        <w:ind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80"/>
          </w:cols>
          <w:pgMar w:left="240" w:top="131" w:right="4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jc w:val="center"/>
        <w:ind w:right="3460"/>
        <w:spacing w:after="0"/>
        <w:rPr>
          <w:sz w:val="20"/>
          <w:szCs w:val="20"/>
          <w:color w:val="auto"/>
        </w:rPr>
      </w:pPr>
      <w:r>
        <w:rPr>
          <w:rFonts w:ascii="Arial" w:cs="Arial" w:eastAsia="Arial" w:hAnsi="Arial"/>
          <w:sz w:val="15"/>
          <w:szCs w:val="15"/>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1746250</wp:posOffset>
            </wp:positionV>
            <wp:extent cx="726757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5000" w:space="720"/>
            <w:col w:w="5460"/>
          </w:cols>
          <w:pgMar w:left="240" w:top="131" w:right="479" w:bottom="1440" w:gutter="0" w:footer="0" w:header="0"/>
          <w:type w:val="continuous"/>
        </w:sectPr>
      </w:pPr>
    </w:p>
    <w:bookmarkStart w:id="143" w:name="page144"/>
    <w:bookmarkEnd w:id="14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60" w:firstLine="439"/>
        <w:spacing w:after="0" w:line="318" w:lineRule="auto"/>
        <w:rPr>
          <w:sz w:val="20"/>
          <w:szCs w:val="20"/>
          <w:color w:val="auto"/>
        </w:rPr>
      </w:pPr>
      <w:r>
        <w:rPr>
          <w:rFonts w:ascii="Arial" w:cs="Arial" w:eastAsia="Arial" w:hAnsi="Arial"/>
          <w:sz w:val="15"/>
          <w:szCs w:val="15"/>
          <w:color w:val="auto"/>
        </w:rPr>
        <w:t>Each of the undersigned, as a director of Honeywell International Inc. (the “Company”), a Delaware corporation, hereby appoints David M. Cote, Katherine L. Adams, David J. Anderson, Adam M. Matteo, Jeffrey N. Neuman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2013,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54" w:lineRule="exact"/>
        <w:rPr>
          <w:sz w:val="20"/>
          <w:szCs w:val="20"/>
          <w:color w:val="auto"/>
        </w:rPr>
      </w:pPr>
    </w:p>
    <w:p>
      <w:pPr>
        <w:ind w:right="200" w:firstLine="447"/>
        <w:spacing w:after="0" w:line="268" w:lineRule="auto"/>
        <w:tabs>
          <w:tab w:leader="none" w:pos="6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60" w:firstLine="447"/>
        <w:spacing w:after="0" w:line="268" w:lineRule="auto"/>
        <w:tabs>
          <w:tab w:leader="none" w:pos="7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85" w:lineRule="exact"/>
        <w:rPr>
          <w:rFonts w:ascii="Arial" w:cs="Arial" w:eastAsia="Arial" w:hAnsi="Arial"/>
          <w:sz w:val="18"/>
          <w:szCs w:val="18"/>
          <w:color w:val="auto"/>
        </w:rPr>
      </w:pPr>
    </w:p>
    <w:p>
      <w:pPr>
        <w:ind w:right="700" w:firstLine="447"/>
        <w:spacing w:after="0" w:line="370" w:lineRule="auto"/>
        <w:tabs>
          <w:tab w:leader="none" w:pos="736" w:val="left"/>
        </w:tabs>
        <w:numPr>
          <w:ilvl w:val="0"/>
          <w:numId w:val="51"/>
        </w:numPr>
        <w:rPr>
          <w:rFonts w:ascii="Arial" w:cs="Arial" w:eastAsia="Arial" w:hAnsi="Arial"/>
          <w:sz w:val="15"/>
          <w:szCs w:val="15"/>
          <w:color w:val="auto"/>
        </w:rPr>
      </w:pPr>
      <w:r>
        <w:rPr>
          <w:rFonts w:ascii="Arial" w:cs="Arial" w:eastAsia="Arial" w:hAnsi="Arial"/>
          <w:sz w:val="15"/>
          <w:szCs w:val="15"/>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16"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4" w:name="page145"/>
    <w:bookmarkEnd w:id="144"/>
    <w:p>
      <w:pPr>
        <w:ind w:firstLine="436"/>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80"/>
          </w:cols>
          <w:pgMar w:left="240" w:top="131" w:right="47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4751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14, 2012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14662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jc w:val="center"/>
        <w:ind w:right="3460"/>
        <w:spacing w:after="0"/>
        <w:rPr>
          <w:sz w:val="20"/>
          <w:szCs w:val="20"/>
          <w:color w:val="auto"/>
        </w:rPr>
      </w:pPr>
      <w:r>
        <w:rPr>
          <w:rFonts w:ascii="Arial" w:cs="Arial" w:eastAsia="Arial" w:hAnsi="Arial"/>
          <w:sz w:val="15"/>
          <w:szCs w:val="15"/>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1746250</wp:posOffset>
            </wp:positionV>
            <wp:extent cx="72675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5000" w:space="720"/>
            <w:col w:w="5460"/>
          </w:cols>
          <w:pgMar w:left="240" w:top="131" w:right="479" w:bottom="1440" w:gutter="0" w:footer="0" w:header="0"/>
          <w:type w:val="continuous"/>
        </w:sectPr>
      </w:pPr>
    </w:p>
    <w:bookmarkStart w:id="145" w:name="page146"/>
    <w:bookmarkEnd w:id="145"/>
    <w:p>
      <w:pPr>
        <w:jc w:val="center"/>
        <w:ind w:right="-2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 David M. Cote, a director of Honeywell International Inc. (the “Company”), a Delaware corporation, hereby appoint Katherine L. Adams, David J. Anderson, Adam M. Matteo, Jeffrey N. Neuman and John J. Tus, each with power to act without the other and with power of substitution and resubstitution, as my attorney-in-fact and agent for me and in my name, place and stead in any and all capacities,</w:t>
      </w:r>
    </w:p>
    <w:p>
      <w:pPr>
        <w:spacing w:after="0" w:line="194" w:lineRule="exact"/>
        <w:rPr>
          <w:sz w:val="20"/>
          <w:szCs w:val="20"/>
          <w:color w:val="auto"/>
        </w:rPr>
      </w:pPr>
    </w:p>
    <w:p>
      <w:pPr>
        <w:ind w:left="660" w:hanging="213"/>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sign the Company’s Annual Report on Form 10-K under the Securities Exchange Act of 1934 for the year ended December 31, 2012,</w:t>
      </w:r>
    </w:p>
    <w:p>
      <w:pPr>
        <w:spacing w:after="0" w:line="248" w:lineRule="exact"/>
        <w:rPr>
          <w:rFonts w:ascii="Arial" w:cs="Arial" w:eastAsia="Arial" w:hAnsi="Arial"/>
          <w:sz w:val="16"/>
          <w:szCs w:val="16"/>
          <w:color w:val="auto"/>
        </w:rPr>
      </w:pPr>
    </w:p>
    <w:p>
      <w:pPr>
        <w:ind w:left="700" w:hanging="253"/>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760" w:hanging="313"/>
        <w:spacing w:after="0"/>
        <w:tabs>
          <w:tab w:leader="none" w:pos="7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file the documents described in (i) and (ii) above and all exhibits thereto and any and all other documents in connection therewith,</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Katherine L. Adams, David J. Anderson, Adam M. Matteo, Jeffrey N. Neuman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2013,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w:t>
      </w:r>
    </w:p>
    <w:p>
      <w:pPr>
        <w:spacing w:after="0" w:line="178"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31" w:lineRule="exact"/>
        <w:rPr>
          <w:sz w:val="20"/>
          <w:szCs w:val="20"/>
          <w:color w:val="auto"/>
        </w:rPr>
      </w:pPr>
    </w:p>
    <w:p>
      <w:pPr>
        <w:ind w:right="220" w:firstLine="439"/>
        <w:spacing w:after="0" w:line="294"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Katherine L. Adams, David J. Anderson, Adam M. Matteo, Jeffrey N. Neuman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2013,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70" w:lineRule="exact"/>
        <w:rPr>
          <w:sz w:val="20"/>
          <w:szCs w:val="20"/>
          <w:color w:val="auto"/>
        </w:rPr>
      </w:pPr>
    </w:p>
    <w:p>
      <w:pPr>
        <w:ind w:right="200" w:firstLine="447"/>
        <w:spacing w:after="0" w:line="268" w:lineRule="auto"/>
        <w:tabs>
          <w:tab w:leader="none" w:pos="6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85" w:lineRule="exact"/>
        <w:rPr>
          <w:rFonts w:ascii="Arial" w:cs="Arial" w:eastAsia="Arial" w:hAnsi="Arial"/>
          <w:sz w:val="18"/>
          <w:szCs w:val="18"/>
          <w:color w:val="auto"/>
        </w:rPr>
      </w:pPr>
    </w:p>
    <w:p>
      <w:pPr>
        <w:ind w:left="700" w:hanging="253"/>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60" w:firstLine="447"/>
        <w:spacing w:after="0" w:line="268" w:lineRule="auto"/>
        <w:tabs>
          <w:tab w:leader="none" w:pos="7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85" w:lineRule="exact"/>
        <w:rPr>
          <w:rFonts w:ascii="Arial" w:cs="Arial" w:eastAsia="Arial" w:hAnsi="Arial"/>
          <w:sz w:val="18"/>
          <w:szCs w:val="18"/>
          <w:color w:val="auto"/>
        </w:rPr>
      </w:pPr>
    </w:p>
    <w:p>
      <w:pPr>
        <w:ind w:right="700" w:firstLine="447"/>
        <w:spacing w:after="0" w:line="370" w:lineRule="auto"/>
        <w:tabs>
          <w:tab w:leader="none" w:pos="736"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16"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4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44"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920" w:right="220" w:hanging="453"/>
        <w:spacing w:after="0" w:line="238"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60" w:hanging="452"/>
        <w:spacing w:after="0" w:line="299"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6"/>
          <w:szCs w:val="16"/>
          <w:color w:val="auto"/>
        </w:rPr>
      </w:pPr>
    </w:p>
    <w:p>
      <w:pPr>
        <w:ind w:left="920" w:hanging="453"/>
        <w:spacing w:after="0" w:line="239"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920" w:hanging="453"/>
        <w:spacing w:after="0" w:line="239"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8"/>
          <w:szCs w:val="18"/>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149860</wp:posOffset>
            </wp:positionV>
            <wp:extent cx="9264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2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David M. Cote</w:t>
      </w:r>
    </w:p>
    <w:p>
      <w:pPr>
        <w:ind w:left="6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Anderson, Chief Financial Officer, certify that:</w:t>
      </w:r>
    </w:p>
    <w:p>
      <w:pPr>
        <w:spacing w:after="0" w:line="14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144"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920" w:right="220" w:hanging="453"/>
        <w:spacing w:after="0" w:line="238"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920" w:hanging="453"/>
        <w:spacing w:after="0" w:line="238"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60" w:hanging="452"/>
        <w:spacing w:after="0" w:line="299"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sz w:val="20"/>
          <w:szCs w:val="20"/>
          <w:color w:val="auto"/>
        </w:rPr>
      </w:pPr>
    </w:p>
    <w:p>
      <w:pPr>
        <w:ind w:left="920" w:hanging="453"/>
        <w:spacing w:after="0" w:line="23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920" w:hanging="453"/>
        <w:spacing w:after="0" w:line="23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color w:val="auto"/>
        </w:rPr>
        <w:t>By: /s/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149860</wp:posOffset>
            </wp:positionV>
            <wp:extent cx="11493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David J. Anderson</w:t>
      </w:r>
    </w:p>
    <w:p>
      <w:pPr>
        <w:ind w:left="6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2012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222" w:lineRule="exact"/>
        <w:rPr>
          <w:sz w:val="20"/>
          <w:szCs w:val="20"/>
          <w:color w:val="auto"/>
        </w:rPr>
      </w:pPr>
    </w:p>
    <w:p>
      <w:pPr>
        <w:ind w:left="1160" w:hanging="571"/>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160" w:right="20" w:hanging="571"/>
        <w:spacing w:after="0" w:line="239"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149860</wp:posOffset>
            </wp:positionV>
            <wp:extent cx="9436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M. Cote</w:t>
      </w:r>
    </w:p>
    <w:p>
      <w:pPr>
        <w:ind w:left="3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February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2012 as filed with the Securities and Exchange Commission on the date hereof (the Report), I, David J. Anderson, Chief Financial Officer of the Company, certify, pursuant to 18 U.S.C. Section 1350, as adopted pursuant to Section 906 of the Sarbanes-Oxley Act of 2002, that:</w:t>
      </w:r>
    </w:p>
    <w:p>
      <w:pPr>
        <w:spacing w:after="0" w:line="222" w:lineRule="exact"/>
        <w:rPr>
          <w:sz w:val="20"/>
          <w:szCs w:val="20"/>
          <w:color w:val="auto"/>
        </w:rPr>
      </w:pPr>
    </w:p>
    <w:p>
      <w:pPr>
        <w:ind w:left="1160" w:hanging="57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160" w:right="20" w:hanging="571"/>
        <w:spacing w:after="0" w:line="239"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149860</wp:posOffset>
            </wp:positionV>
            <wp:extent cx="11404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J. Anderson</w:t>
      </w:r>
    </w:p>
    <w:p>
      <w:pPr>
        <w:ind w:left="3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February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6"/>
    </w:lvl>
  </w:abstractNum>
  <w:abstractNum w:abstractNumId="46">
    <w:nsid w:val="12E685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
    <w:nsid w:val="70C6A529"/>
    <w:multiLevelType w:val="hybridMultilevel"/>
    <w:lvl w:ilvl="0">
      <w:lvlJc w:val="left"/>
      <w:lvlText w:val="(%1)"/>
      <w:numFmt w:val="lowerRoman"/>
      <w:start w:val="3"/>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Roman"/>
      <w:start w:val="1"/>
    </w:lvl>
  </w:abstractNum>
  <w:abstractNum w:abstractNumId="50">
    <w:nsid w:val="4F4EF005"/>
    <w:multiLevelType w:val="hybridMultilevel"/>
    <w:lvl w:ilvl="0">
      <w:lvlJc w:val="left"/>
      <w:lvlText w:val="(%1)"/>
      <w:numFmt w:val="lowerRoman"/>
      <w:start w:val="1"/>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1)"/>
      <w:numFmt w:val="lowerRoman"/>
      <w:start w:val="1"/>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2022-06-07T09:21:08Z</dcterms:created>
  <dcterms:modified xsi:type="dcterms:W3CDTF">2022-06-07T09:21:08Z</dcterms:modified>
</cp:coreProperties>
</file>